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580" w:lineRule="exact"/>
        <w:ind w:firstLine="0" w:firstLineChars="0"/>
        <w:jc w:val="center"/>
        <w:textAlignment w:val="auto"/>
        <w:rPr>
          <w:rFonts w:hint="eastAsia" w:ascii="方正小标宋简体" w:hAnsi="Times New Roman" w:eastAsia="方正小标宋简体" w:cs="Times New Roman"/>
          <w:kern w:val="0"/>
          <w:sz w:val="44"/>
          <w:szCs w:val="44"/>
        </w:rPr>
      </w:pPr>
      <w:bookmarkStart w:id="0" w:name="_Toc89524718"/>
      <w:bookmarkStart w:id="1" w:name="_Toc4948"/>
      <w:bookmarkStart w:id="2" w:name="_Toc89525975"/>
      <w:bookmarkStart w:id="3" w:name="_Toc31761"/>
      <w:bookmarkStart w:id="4" w:name="_Toc89526159"/>
      <w:bookmarkStart w:id="5" w:name="_Toc7987"/>
      <w:r>
        <w:rPr>
          <w:rFonts w:hint="eastAsia" w:ascii="方正小标宋简体" w:hAnsi="Times New Roman" w:eastAsia="方正小标宋简体" w:cs="Times New Roman"/>
          <w:kern w:val="0"/>
          <w:sz w:val="44"/>
          <w:szCs w:val="44"/>
        </w:rPr>
        <w:t>盐池县城市消防专项规划</w:t>
      </w:r>
    </w:p>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580" w:lineRule="exact"/>
        <w:ind w:firstLine="0" w:firstLineChars="0"/>
        <w:jc w:val="center"/>
        <w:textAlignment w:val="auto"/>
        <w:rPr>
          <w:rFonts w:hint="eastAsia" w:ascii="楷体_GB2312" w:hAnsi="楷体_GB2312" w:eastAsia="楷体_GB2312" w:cs="楷体_GB2312"/>
          <w:kern w:val="0"/>
          <w:sz w:val="32"/>
          <w:szCs w:val="32"/>
          <w:lang w:eastAsia="zh-CN"/>
        </w:rPr>
      </w:pPr>
      <w:r>
        <w:rPr>
          <w:rFonts w:hint="eastAsia" w:ascii="楷体_GB2312" w:hAnsi="楷体_GB2312" w:eastAsia="楷体_GB2312" w:cs="楷体_GB2312"/>
          <w:kern w:val="0"/>
          <w:sz w:val="32"/>
          <w:szCs w:val="32"/>
          <w:lang w:eastAsia="zh-CN"/>
        </w:rPr>
        <w:t>（</w:t>
      </w:r>
      <w:r>
        <w:rPr>
          <w:rFonts w:hint="eastAsia" w:ascii="楷体_GB2312" w:hAnsi="楷体_GB2312" w:eastAsia="楷体_GB2312" w:cs="楷体_GB2312"/>
          <w:kern w:val="0"/>
          <w:sz w:val="32"/>
          <w:szCs w:val="32"/>
          <w:lang w:val="en-US" w:eastAsia="zh-CN"/>
        </w:rPr>
        <w:t>征求意见稿</w:t>
      </w:r>
      <w:r>
        <w:rPr>
          <w:rFonts w:hint="eastAsia" w:ascii="楷体_GB2312" w:hAnsi="楷体_GB2312" w:eastAsia="楷体_GB2312" w:cs="楷体_GB2312"/>
          <w:kern w:val="0"/>
          <w:sz w:val="32"/>
          <w:szCs w:val="32"/>
          <w:lang w:eastAsia="zh-CN"/>
        </w:rPr>
        <w:t>）</w:t>
      </w:r>
    </w:p>
    <w:p>
      <w:pPr>
        <w:pStyle w:val="2"/>
        <w:spacing w:before="190" w:after="190"/>
        <w:jc w:val="center"/>
        <w:rPr>
          <w:rFonts w:ascii="宋体" w:hAnsi="宋体"/>
        </w:rPr>
      </w:pPr>
      <w:r>
        <w:rPr>
          <w:rFonts w:hint="eastAsia" w:ascii="宋体" w:hAnsi="宋体"/>
        </w:rPr>
        <w:t>第一章  总则</w:t>
      </w:r>
      <w:bookmarkEnd w:id="0"/>
      <w:bookmarkEnd w:id="1"/>
      <w:bookmarkEnd w:id="2"/>
      <w:bookmarkEnd w:id="3"/>
      <w:bookmarkEnd w:id="4"/>
      <w:bookmarkEnd w:id="5"/>
    </w:p>
    <w:p>
      <w:pPr>
        <w:spacing w:before="190" w:after="190"/>
        <w:ind w:firstLine="560"/>
        <w:rPr>
          <w:rFonts w:ascii="宋体" w:hAnsi="宋体"/>
        </w:rPr>
      </w:pPr>
      <w:r>
        <w:rPr>
          <w:rFonts w:hint="eastAsia" w:ascii="宋体" w:hAnsi="宋体"/>
        </w:rPr>
        <w:t>第一条：规划背景</w:t>
      </w:r>
    </w:p>
    <w:p>
      <w:pPr>
        <w:spacing w:before="190" w:after="190"/>
        <w:ind w:firstLine="560"/>
      </w:pPr>
      <w:r>
        <w:rPr>
          <w:rFonts w:hint="eastAsia"/>
        </w:rPr>
        <w:t>为构建科学、先进、完善的城市消防安全体系，指导城市消防安全布局和公共消防设施的建设发展，增强城市抗御火灾和处置各种灾害事故的综合能力，满足城市社会和经济建设快速发展对消防工作的新要求，保障城市消防安全，编制《盐池县城市消防专项规划（2021-2035）》。</w:t>
      </w:r>
    </w:p>
    <w:p>
      <w:pPr>
        <w:spacing w:before="190" w:after="190"/>
        <w:ind w:firstLine="560"/>
      </w:pPr>
      <w:r>
        <w:rPr>
          <w:rFonts w:hint="eastAsia"/>
        </w:rPr>
        <w:t>第二条：规划依据</w:t>
      </w:r>
    </w:p>
    <w:p>
      <w:pPr>
        <w:spacing w:before="190" w:after="190"/>
        <w:ind w:firstLineChars="150"/>
      </w:pPr>
      <w:r>
        <w:rPr>
          <w:rFonts w:hint="eastAsia"/>
        </w:rPr>
        <w:t>（一）法律法规</w:t>
      </w:r>
    </w:p>
    <w:p>
      <w:pPr>
        <w:spacing w:before="190" w:after="190"/>
        <w:ind w:firstLineChars="150"/>
      </w:pPr>
      <w:r>
        <w:rPr>
          <w:rFonts w:hint="eastAsia"/>
        </w:rPr>
        <w:t>（1）《中华人民共和国城乡规划法》（2019年修正）；</w:t>
      </w:r>
    </w:p>
    <w:p>
      <w:pPr>
        <w:spacing w:before="190" w:after="190"/>
        <w:ind w:firstLineChars="150"/>
      </w:pPr>
      <w:r>
        <w:rPr>
          <w:rFonts w:hint="eastAsia"/>
        </w:rPr>
        <w:t>（2）《中华人民共和国消防法》（2019年修订）；</w:t>
      </w:r>
    </w:p>
    <w:p>
      <w:pPr>
        <w:spacing w:before="190" w:after="190"/>
        <w:ind w:firstLineChars="150"/>
      </w:pPr>
      <w:r>
        <w:rPr>
          <w:rFonts w:hint="eastAsia"/>
        </w:rPr>
        <w:t>（3）《中华人民共和国安全生产法》（2014年修订）；</w:t>
      </w:r>
    </w:p>
    <w:p>
      <w:pPr>
        <w:spacing w:before="190" w:after="190"/>
        <w:ind w:firstLineChars="150"/>
      </w:pPr>
      <w:r>
        <w:rPr>
          <w:rFonts w:hint="eastAsia"/>
        </w:rPr>
        <w:t>（4）《危险化学品安全管理条例》（2011年修订）。</w:t>
      </w:r>
    </w:p>
    <w:p>
      <w:pPr>
        <w:spacing w:before="190" w:after="190"/>
        <w:ind w:firstLine="417" w:firstLineChars="149"/>
      </w:pPr>
      <w:r>
        <w:rPr>
          <w:rFonts w:hint="eastAsia"/>
        </w:rPr>
        <w:t>（二）规章及规范性文件</w:t>
      </w:r>
    </w:p>
    <w:p>
      <w:pPr>
        <w:spacing w:before="190" w:after="190"/>
        <w:ind w:firstLineChars="150"/>
      </w:pPr>
      <w:r>
        <w:rPr>
          <w:rFonts w:hint="eastAsia"/>
        </w:rPr>
        <w:t>（1）《消防监督检查规定》（2012年公安部令第120号）；</w:t>
      </w:r>
    </w:p>
    <w:p>
      <w:pPr>
        <w:spacing w:before="190" w:after="190"/>
        <w:ind w:firstLineChars="0"/>
      </w:pPr>
      <w:r>
        <w:rPr>
          <w:rFonts w:hint="eastAsia"/>
        </w:rPr>
        <w:t>（2）《建设工程消防设计审查验收管理暂行规定》（2020年住房和城乡建设部令第51号）；</w:t>
      </w:r>
    </w:p>
    <w:p>
      <w:pPr>
        <w:spacing w:before="190" w:after="190"/>
        <w:ind w:firstLineChars="0"/>
      </w:pPr>
      <w:r>
        <w:rPr>
          <w:rFonts w:hint="eastAsia"/>
        </w:rPr>
        <w:t>（3）《宁夏回族自治区专职消防队伍管理办法》（宁政发〔2015〕66号）；</w:t>
      </w:r>
    </w:p>
    <w:p>
      <w:pPr>
        <w:spacing w:before="190" w:after="190"/>
        <w:ind w:firstLineChars="0"/>
      </w:pPr>
      <w:r>
        <w:rPr>
          <w:rFonts w:hint="eastAsia"/>
        </w:rPr>
        <w:t>（4）《宁夏回族自治区公安乡镇消防队管理规定》（宁政办发〔2014〕8号）；</w:t>
      </w:r>
    </w:p>
    <w:p>
      <w:pPr>
        <w:spacing w:before="190" w:after="190"/>
        <w:ind w:firstLineChars="150"/>
      </w:pPr>
      <w:r>
        <w:rPr>
          <w:rFonts w:hint="eastAsia"/>
        </w:rPr>
        <w:t>（5）《宁夏回族自治区消防安全责任制实施细则》（宁政办规发〔2018〕1号）。</w:t>
      </w:r>
    </w:p>
    <w:p>
      <w:pPr>
        <w:spacing w:before="190" w:after="190"/>
        <w:ind w:firstLineChars="150"/>
      </w:pPr>
      <w:r>
        <w:rPr>
          <w:rFonts w:hint="eastAsia"/>
        </w:rPr>
        <w:t>（三）技术标准</w:t>
      </w:r>
    </w:p>
    <w:p>
      <w:pPr>
        <w:spacing w:before="190" w:after="190"/>
        <w:ind w:firstLineChars="150"/>
      </w:pPr>
      <w:r>
        <w:rPr>
          <w:rFonts w:hint="eastAsia"/>
        </w:rPr>
        <w:t>（1）《城市用地分类与规划建设用地标准》（GB50137-2011）；</w:t>
      </w:r>
    </w:p>
    <w:p>
      <w:pPr>
        <w:spacing w:before="190" w:after="190"/>
        <w:ind w:firstLineChars="150"/>
      </w:pPr>
      <w:r>
        <w:rPr>
          <w:rFonts w:hint="eastAsia"/>
        </w:rPr>
        <w:t>（2）《城市消防规划规范》（GB51080-2015）；</w:t>
      </w:r>
    </w:p>
    <w:p>
      <w:pPr>
        <w:spacing w:before="190" w:after="190"/>
        <w:ind w:firstLineChars="150"/>
      </w:pPr>
      <w:r>
        <w:rPr>
          <w:rFonts w:hint="eastAsia"/>
        </w:rPr>
        <w:t>（3）《城市消防站建设标准》（建标152-2017）；</w:t>
      </w:r>
    </w:p>
    <w:p>
      <w:pPr>
        <w:spacing w:before="190" w:after="190"/>
        <w:ind w:firstLineChars="150"/>
      </w:pPr>
      <w:r>
        <w:rPr>
          <w:rFonts w:hint="eastAsia"/>
        </w:rPr>
        <w:t>（4）《消防通信指挥系统设计规范》（GB50313-2013）；</w:t>
      </w:r>
    </w:p>
    <w:p>
      <w:pPr>
        <w:spacing w:before="190" w:after="190"/>
        <w:ind w:firstLineChars="150"/>
      </w:pPr>
      <w:r>
        <w:rPr>
          <w:rFonts w:hint="eastAsia"/>
        </w:rPr>
        <w:t>（5）《消防给水及消火栓系统技术规范》（GB50974-2014）；</w:t>
      </w:r>
    </w:p>
    <w:p>
      <w:pPr>
        <w:spacing w:before="190" w:after="190"/>
        <w:ind w:firstLineChars="150"/>
      </w:pPr>
      <w:r>
        <w:rPr>
          <w:rFonts w:hint="eastAsia"/>
        </w:rPr>
        <w:t>（6）《乡镇消防队》（GB/T35547-2017）。</w:t>
      </w:r>
    </w:p>
    <w:p>
      <w:pPr>
        <w:spacing w:before="190" w:after="190"/>
        <w:ind w:firstLineChars="150"/>
      </w:pPr>
      <w:r>
        <w:rPr>
          <w:rFonts w:hint="eastAsia"/>
        </w:rPr>
        <w:t>（四）相关规划</w:t>
      </w:r>
    </w:p>
    <w:p>
      <w:pPr>
        <w:spacing w:before="190" w:after="190"/>
        <w:ind w:firstLineChars="150"/>
      </w:pPr>
      <w:r>
        <w:rPr>
          <w:rFonts w:hint="eastAsia"/>
        </w:rPr>
        <w:t>（1）《盐池县空间规划》（2016-2035）；</w:t>
      </w:r>
    </w:p>
    <w:p>
      <w:pPr>
        <w:spacing w:before="190" w:after="190"/>
        <w:ind w:firstLineChars="150"/>
      </w:pPr>
      <w:r>
        <w:rPr>
          <w:rFonts w:hint="eastAsia"/>
        </w:rPr>
        <w:t>（2）《盐池县城市总体规划》（2010-2030）；</w:t>
      </w:r>
    </w:p>
    <w:p>
      <w:pPr>
        <w:spacing w:before="190" w:after="190"/>
        <w:ind w:firstLineChars="150"/>
        <w:rPr>
          <w:rFonts w:hint="eastAsia"/>
        </w:rPr>
      </w:pPr>
      <w:r>
        <w:rPr>
          <w:rFonts w:hint="eastAsia"/>
        </w:rPr>
        <w:t>（3）《盐池县国土空间规划》（20</w:t>
      </w:r>
      <w:r>
        <w:t>21</w:t>
      </w:r>
      <w:r>
        <w:rPr>
          <w:rFonts w:hint="eastAsia"/>
        </w:rPr>
        <w:t>-203</w:t>
      </w:r>
      <w:r>
        <w:t>5</w:t>
      </w:r>
      <w:r>
        <w:rPr>
          <w:rFonts w:hint="eastAsia"/>
        </w:rPr>
        <w:t>）。</w:t>
      </w:r>
    </w:p>
    <w:p>
      <w:pPr>
        <w:spacing w:before="190" w:after="190"/>
        <w:ind w:firstLine="560"/>
      </w:pPr>
      <w:r>
        <w:rPr>
          <w:rFonts w:hint="eastAsia"/>
        </w:rPr>
        <w:t>第三条：规划指导思想</w:t>
      </w:r>
    </w:p>
    <w:p>
      <w:pPr>
        <w:spacing w:before="190" w:after="190"/>
        <w:ind w:firstLine="560"/>
        <w:rPr>
          <w:rFonts w:ascii="宋体" w:hAnsi="宋体"/>
        </w:rPr>
      </w:pPr>
      <w:r>
        <w:rPr>
          <w:rFonts w:hint="eastAsia" w:ascii="宋体" w:hAnsi="宋体"/>
        </w:rPr>
        <w:t>以习</w:t>
      </w:r>
      <w:r>
        <w:rPr>
          <w:rFonts w:hint="eastAsia" w:ascii="宋体" w:hAnsi="宋体"/>
          <w:lang w:eastAsia="zh-CN"/>
        </w:rPr>
        <w:t>近</w:t>
      </w:r>
      <w:r>
        <w:rPr>
          <w:rFonts w:hint="eastAsia" w:ascii="宋体" w:hAnsi="宋体"/>
        </w:rPr>
        <w:t>平新时代中国特色社会主义思想为指引，以建设黄河流域生态保护和高质量发展先行区为契机，坚持“预防为主、防消结合”的消防工作方针，遵循“科学实用、技术先进、经济合理、分步实施”的规划原则，从城市社会经济发展和城市建设的实际情况出发，统筹城乡建设与消防安全保障体系的相互关系，从火灾预防、灭火和应急救援等方面满足城乡发展的安全需要，体现盐池县城市消防规划的先进性、前瞻性、开放性和可操作性，促进消防力量向多种形式发展，全面提升消防救援能力和水平。</w:t>
      </w:r>
    </w:p>
    <w:p>
      <w:pPr>
        <w:spacing w:before="190" w:after="190"/>
        <w:ind w:firstLine="560"/>
      </w:pPr>
      <w:r>
        <w:rPr>
          <w:rFonts w:hint="eastAsia"/>
        </w:rPr>
        <w:t>第四条：规划原则</w:t>
      </w:r>
    </w:p>
    <w:p>
      <w:pPr>
        <w:spacing w:before="190" w:after="190"/>
        <w:ind w:firstLine="560"/>
        <w:rPr>
          <w:rFonts w:ascii="宋体" w:hAnsi="宋体"/>
        </w:rPr>
      </w:pPr>
      <w:r>
        <w:rPr>
          <w:rFonts w:hint="eastAsia"/>
        </w:rPr>
        <w:t>（</w:t>
      </w:r>
      <w:r>
        <w:rPr>
          <w:rFonts w:hint="eastAsia" w:ascii="宋体" w:hAnsi="宋体"/>
        </w:rPr>
        <w:t>1）合理布局、系统规划</w:t>
      </w:r>
    </w:p>
    <w:p>
      <w:pPr>
        <w:spacing w:before="190" w:after="190"/>
        <w:ind w:firstLine="560"/>
        <w:rPr>
          <w:rFonts w:ascii="宋体" w:hAnsi="宋体"/>
        </w:rPr>
      </w:pPr>
      <w:r>
        <w:rPr>
          <w:rFonts w:hint="eastAsia" w:ascii="宋体" w:hAnsi="宋体"/>
        </w:rPr>
        <w:t>（2）远近结合、全面发展</w:t>
      </w:r>
    </w:p>
    <w:p>
      <w:pPr>
        <w:spacing w:before="190" w:after="190"/>
        <w:ind w:firstLine="560"/>
        <w:rPr>
          <w:rFonts w:ascii="宋体" w:hAnsi="宋体"/>
        </w:rPr>
      </w:pPr>
      <w:r>
        <w:rPr>
          <w:rFonts w:hint="eastAsia" w:ascii="宋体" w:hAnsi="宋体"/>
        </w:rPr>
        <w:t>（3）综合控制、分类管理</w:t>
      </w:r>
    </w:p>
    <w:p>
      <w:pPr>
        <w:spacing w:before="190" w:after="190"/>
        <w:ind w:firstLine="560"/>
        <w:rPr>
          <w:rFonts w:ascii="宋体" w:hAnsi="宋体"/>
        </w:rPr>
      </w:pPr>
      <w:r>
        <w:rPr>
          <w:rFonts w:hint="eastAsia" w:ascii="宋体" w:hAnsi="宋体"/>
        </w:rPr>
        <w:t>（4）预防为主、防消结合</w:t>
      </w:r>
    </w:p>
    <w:p>
      <w:pPr>
        <w:spacing w:before="190" w:after="190"/>
        <w:ind w:firstLine="562"/>
        <w:rPr>
          <w:b/>
        </w:rPr>
      </w:pPr>
      <w:r>
        <w:rPr>
          <w:rFonts w:hint="eastAsia"/>
          <w:b/>
        </w:rPr>
        <w:t>第五条：规划范围</w:t>
      </w:r>
    </w:p>
    <w:p>
      <w:pPr>
        <w:spacing w:before="190" w:after="190"/>
        <w:ind w:firstLine="562"/>
        <w:rPr>
          <w:rFonts w:ascii="宋体" w:hAnsi="宋体"/>
          <w:b/>
        </w:rPr>
      </w:pPr>
      <w:r>
        <w:rPr>
          <w:rFonts w:hint="eastAsia" w:ascii="宋体" w:hAnsi="宋体"/>
          <w:b/>
        </w:rPr>
        <w:t>本规划范围与总体规划范围一致，分为两个层次：</w:t>
      </w:r>
    </w:p>
    <w:p>
      <w:pPr>
        <w:spacing w:before="190" w:after="190"/>
        <w:ind w:firstLine="562"/>
        <w:rPr>
          <w:rFonts w:ascii="宋体" w:hAnsi="宋体"/>
          <w:b/>
        </w:rPr>
      </w:pPr>
      <w:r>
        <w:rPr>
          <w:rFonts w:hint="eastAsia" w:ascii="宋体" w:hAnsi="宋体"/>
          <w:b/>
        </w:rPr>
        <w:t xml:space="preserve">第一层次——县域规划范围。即县行政辖区范围，总面积为 8557.7 平方公里（大水坑镇、惠安堡镇及工业园区单独编制消防专项规划）。 </w:t>
      </w:r>
    </w:p>
    <w:p>
      <w:pPr>
        <w:spacing w:before="190" w:after="190"/>
        <w:ind w:firstLine="562"/>
        <w:rPr>
          <w:rFonts w:ascii="宋体" w:hAnsi="宋体"/>
          <w:b/>
        </w:rPr>
      </w:pPr>
      <w:r>
        <w:rPr>
          <w:rFonts w:hint="eastAsia" w:ascii="宋体" w:hAnsi="宋体"/>
          <w:b/>
        </w:rPr>
        <w:t>第二层次——城市建设用地规划范围，北至物流园区、南至凝翠街、东至宁鲁石化以东规划路 、西至五原南路。规划范围用地面积</w:t>
      </w:r>
      <w:r>
        <w:rPr>
          <w:rFonts w:ascii="宋体" w:hAnsi="宋体"/>
          <w:b/>
        </w:rPr>
        <w:t>26.62</w:t>
      </w:r>
      <w:r>
        <w:rPr>
          <w:rFonts w:hint="eastAsia" w:ascii="宋体" w:hAnsi="宋体"/>
          <w:b/>
        </w:rPr>
        <w:t>平方公里。</w:t>
      </w:r>
    </w:p>
    <w:p>
      <w:pPr>
        <w:spacing w:before="190" w:after="190"/>
        <w:ind w:firstLine="560"/>
        <w:rPr>
          <w:rFonts w:ascii="宋体" w:hAnsi="宋体"/>
        </w:rPr>
      </w:pPr>
      <w:r>
        <w:rPr>
          <w:rFonts w:hint="eastAsia" w:ascii="宋体" w:hAnsi="宋体"/>
        </w:rPr>
        <w:t>第六条：规划内容</w:t>
      </w:r>
    </w:p>
    <w:p>
      <w:pPr>
        <w:spacing w:before="190" w:after="190"/>
        <w:ind w:firstLine="560"/>
        <w:rPr>
          <w:rFonts w:ascii="宋体" w:hAnsi="宋体"/>
        </w:rPr>
      </w:pPr>
      <w:r>
        <w:rPr>
          <w:rFonts w:hint="eastAsia" w:ascii="宋体" w:hAnsi="宋体"/>
        </w:rPr>
        <w:t>县域消防规划——确定县域消防体系和城乡公共消防设施建设原则。</w:t>
      </w:r>
    </w:p>
    <w:p>
      <w:pPr>
        <w:spacing w:before="190" w:after="190"/>
        <w:ind w:firstLine="560"/>
        <w:rPr>
          <w:rFonts w:ascii="宋体" w:hAnsi="宋体"/>
        </w:rPr>
      </w:pPr>
      <w:r>
        <w:rPr>
          <w:rFonts w:hint="eastAsia" w:ascii="宋体" w:hAnsi="宋体"/>
        </w:rPr>
        <w:t>城市消防规划——本次规划的重点。构建城市消防安全体系、总体部署规划期限内城市消防安全目标、城市消防安全布局和公共消防基础设施建设。科学分析评估城市火灾风险，合理布局城市消防站及消防装备、消防通信、消防供水、消防车通道等，完善城市综合防灾体系，增强城市抗御火灾和处置各种灾害事故的综合能力。</w:t>
      </w:r>
    </w:p>
    <w:p>
      <w:pPr>
        <w:spacing w:before="190" w:after="190"/>
        <w:ind w:firstLine="562"/>
        <w:rPr>
          <w:b/>
        </w:rPr>
      </w:pPr>
      <w:r>
        <w:rPr>
          <w:rFonts w:hint="eastAsia"/>
          <w:b/>
        </w:rPr>
        <w:t>第七条：规划期限</w:t>
      </w:r>
    </w:p>
    <w:p>
      <w:pPr>
        <w:spacing w:before="190" w:after="190"/>
        <w:ind w:firstLine="562"/>
        <w:rPr>
          <w:rFonts w:ascii="宋体" w:hAnsi="宋体"/>
          <w:b/>
        </w:rPr>
      </w:pPr>
      <w:r>
        <w:rPr>
          <w:rFonts w:hint="eastAsia" w:ascii="宋体" w:hAnsi="宋体"/>
          <w:b/>
        </w:rPr>
        <w:t>近期2021—2025年；</w:t>
      </w:r>
    </w:p>
    <w:p>
      <w:pPr>
        <w:spacing w:before="190" w:after="190"/>
        <w:ind w:firstLine="562"/>
        <w:rPr>
          <w:rFonts w:ascii="宋体" w:hAnsi="宋体"/>
          <w:b/>
        </w:rPr>
      </w:pPr>
      <w:r>
        <w:rPr>
          <w:rFonts w:hint="eastAsia" w:ascii="宋体" w:hAnsi="宋体"/>
          <w:b/>
        </w:rPr>
        <w:t>远期2026—2035年。</w:t>
      </w:r>
    </w:p>
    <w:p>
      <w:pPr>
        <w:spacing w:before="190" w:after="190"/>
        <w:ind w:firstLine="560"/>
      </w:pPr>
      <w:r>
        <w:rPr>
          <w:rFonts w:hint="eastAsia"/>
        </w:rPr>
        <w:t>第八条：规划目标</w:t>
      </w:r>
    </w:p>
    <w:p>
      <w:pPr>
        <w:spacing w:before="190" w:after="190"/>
        <w:ind w:firstLine="560"/>
        <w:rPr>
          <w:rFonts w:ascii="宋体" w:hAnsi="宋体"/>
        </w:rPr>
      </w:pPr>
      <w:r>
        <w:rPr>
          <w:rFonts w:hint="eastAsia" w:ascii="宋体" w:hAnsi="宋体"/>
        </w:rPr>
        <w:t>近期目标：主要加强消防站点和消防装备的建设，重点改造城市建成区消防薄弱地段，加大消防安全宣传力度，初步建立适应盐池县经济发展和城市建设的城市消防安全体系。</w:t>
      </w:r>
    </w:p>
    <w:p>
      <w:pPr>
        <w:spacing w:before="190" w:after="190"/>
        <w:ind w:firstLine="560"/>
        <w:rPr>
          <w:rFonts w:ascii="宋体" w:hAnsi="宋体"/>
        </w:rPr>
      </w:pPr>
      <w:r>
        <w:rPr>
          <w:rFonts w:hint="eastAsia" w:ascii="宋体" w:hAnsi="宋体"/>
        </w:rPr>
        <w:t>远期目标：实现消防队伍和设施的多功能发展，满足盐池县防火、灭火和应急救援各种灾害事件、抢险的要求，逐步建立布局合理、装备精良、设施完备、技术先进、体制合理、队伍精干、训练有素、保障有力，适应城市发展和建设需要的现代化消防安全体系。</w:t>
      </w:r>
    </w:p>
    <w:p>
      <w:pPr>
        <w:pStyle w:val="2"/>
        <w:spacing w:before="190" w:after="190"/>
        <w:jc w:val="center"/>
        <w:rPr>
          <w:rFonts w:ascii="宋体" w:hAnsi="宋体"/>
        </w:rPr>
      </w:pPr>
      <w:bookmarkStart w:id="6" w:name="_Toc89526160"/>
      <w:bookmarkStart w:id="7" w:name="_Toc89525976"/>
      <w:bookmarkStart w:id="8" w:name="_Toc31107"/>
      <w:bookmarkStart w:id="9" w:name="_Toc89524719"/>
      <w:bookmarkStart w:id="10" w:name="_Toc11289"/>
      <w:bookmarkStart w:id="11" w:name="_Toc3488"/>
      <w:r>
        <w:rPr>
          <w:rFonts w:hint="eastAsia" w:ascii="宋体" w:hAnsi="宋体"/>
        </w:rPr>
        <w:t>第二章   城市用地消防分区</w:t>
      </w:r>
      <w:bookmarkEnd w:id="6"/>
      <w:bookmarkEnd w:id="7"/>
      <w:bookmarkEnd w:id="8"/>
      <w:bookmarkEnd w:id="9"/>
      <w:bookmarkEnd w:id="10"/>
      <w:bookmarkEnd w:id="11"/>
    </w:p>
    <w:p>
      <w:pPr>
        <w:spacing w:before="190" w:after="190"/>
        <w:ind w:firstLine="560"/>
        <w:rPr>
          <w:rFonts w:ascii="宋体" w:hAnsi="宋体"/>
        </w:rPr>
      </w:pPr>
      <w:r>
        <w:rPr>
          <w:rFonts w:hint="eastAsia" w:ascii="宋体" w:hAnsi="宋体"/>
        </w:rPr>
        <w:t>第九条：按照《城市消防规划规范》，将城市规划建成区分为三大类：城市重点消防地区、城市一般消防地区、防火隔离带及避难疏散场地。</w:t>
      </w:r>
    </w:p>
    <w:p>
      <w:pPr>
        <w:spacing w:before="190" w:after="190"/>
        <w:ind w:firstLine="562"/>
        <w:rPr>
          <w:rFonts w:ascii="宋体" w:hAnsi="宋体"/>
          <w:b/>
        </w:rPr>
      </w:pPr>
      <w:r>
        <w:rPr>
          <w:rFonts w:hint="eastAsia" w:ascii="宋体" w:hAnsi="宋体"/>
          <w:b/>
        </w:rPr>
        <w:t>第十条：重点消防地区</w:t>
      </w:r>
    </w:p>
    <w:p>
      <w:pPr>
        <w:spacing w:before="190" w:after="190"/>
        <w:ind w:firstLine="562"/>
        <w:rPr>
          <w:rFonts w:ascii="宋体" w:hAnsi="宋体"/>
          <w:b/>
        </w:rPr>
      </w:pPr>
      <w:r>
        <w:rPr>
          <w:rFonts w:hint="eastAsia" w:ascii="宋体" w:hAnsi="宋体"/>
          <w:b/>
        </w:rPr>
        <w:t>（一）A类重点消防地区：以工业用地、仓储用地为主的重点消防地区。</w:t>
      </w:r>
    </w:p>
    <w:p>
      <w:pPr>
        <w:spacing w:before="190" w:after="190"/>
        <w:ind w:firstLine="562"/>
        <w:rPr>
          <w:rFonts w:ascii="宋体" w:hAnsi="宋体"/>
          <w:b/>
        </w:rPr>
      </w:pPr>
      <w:r>
        <w:rPr>
          <w:rFonts w:hint="eastAsia" w:ascii="宋体" w:hAnsi="宋体"/>
          <w:b/>
        </w:rPr>
        <w:t>规划A类重点消防地区为城市东部的东顺工业园区和北部的仓储物流园区。</w:t>
      </w:r>
    </w:p>
    <w:p>
      <w:pPr>
        <w:spacing w:before="190" w:after="190"/>
        <w:ind w:firstLine="562"/>
        <w:rPr>
          <w:rFonts w:ascii="宋体" w:hAnsi="宋体"/>
          <w:b/>
        </w:rPr>
      </w:pPr>
      <w:r>
        <w:rPr>
          <w:rFonts w:hint="eastAsia" w:ascii="宋体" w:hAnsi="宋体"/>
          <w:b/>
        </w:rPr>
        <w:t>A类重点消防地区是城市消防安全重点保护地区，原则上布置一级普通消防站；其范围内影响城市消防安全的生产、使用、储存易燃易爆危险物品的单位，应在近期内采取措施进行整改，尽快完善其消防设施，如消防供水、消防通道、消防通讯等，加大消防监督力度。应建立火灾监控检查体系和通讯指挥系统，大型工厂、仓库应设置环形消防车通道。</w:t>
      </w:r>
    </w:p>
    <w:p>
      <w:pPr>
        <w:spacing w:before="190" w:after="190"/>
        <w:ind w:firstLine="562"/>
        <w:rPr>
          <w:rFonts w:ascii="宋体" w:hAnsi="宋体"/>
          <w:b/>
        </w:rPr>
      </w:pPr>
      <w:r>
        <w:rPr>
          <w:rFonts w:hint="eastAsia" w:ascii="宋体" w:hAnsi="宋体"/>
          <w:b/>
        </w:rPr>
        <w:t>（二</w:t>
      </w:r>
      <w:r>
        <w:rPr>
          <w:rFonts w:ascii="宋体" w:hAnsi="宋体"/>
          <w:b/>
        </w:rPr>
        <w:t>）</w:t>
      </w:r>
      <w:r>
        <w:rPr>
          <w:rFonts w:hint="eastAsia" w:ascii="宋体" w:hAnsi="宋体"/>
          <w:b/>
        </w:rPr>
        <w:t>B类重点消防地区：以公共设施用地、高层居住用地为主的重点消防地区。</w:t>
      </w:r>
    </w:p>
    <w:p>
      <w:pPr>
        <w:spacing w:before="190" w:after="190"/>
        <w:ind w:firstLine="562"/>
        <w:rPr>
          <w:rFonts w:ascii="宋体" w:hAnsi="宋体"/>
          <w:b/>
        </w:rPr>
      </w:pPr>
      <w:r>
        <w:rPr>
          <w:rFonts w:hint="eastAsia" w:ascii="宋体" w:hAnsi="宋体"/>
          <w:b/>
        </w:rPr>
        <w:t>规划B类重点消防地区包括城市公共建筑、商业设施、市场、高层住宅小区等。</w:t>
      </w:r>
    </w:p>
    <w:p>
      <w:pPr>
        <w:spacing w:before="190" w:after="190"/>
        <w:ind w:firstLine="562"/>
        <w:rPr>
          <w:rFonts w:ascii="宋体" w:hAnsi="宋体"/>
          <w:b/>
        </w:rPr>
      </w:pPr>
      <w:r>
        <w:rPr>
          <w:rFonts w:hint="eastAsia" w:ascii="宋体" w:hAnsi="宋体"/>
          <w:b/>
        </w:rPr>
        <w:t>B类重点消防地区各类建设项目须按相关法律法规、技术规范进行规划、设计、施工。行政、文化、教育、医疗机构及商业服务区等人员密集的公共场所，至少应设置两个出入口与城区主要道路相连，且出入口处应留有适当疏散场地。</w:t>
      </w:r>
    </w:p>
    <w:p>
      <w:pPr>
        <w:spacing w:before="190" w:after="190"/>
        <w:ind w:firstLine="562"/>
        <w:rPr>
          <w:rFonts w:ascii="宋体" w:hAnsi="宋体"/>
          <w:b/>
        </w:rPr>
      </w:pPr>
      <w:r>
        <w:rPr>
          <w:rFonts w:hint="eastAsia" w:ascii="宋体" w:hAnsi="宋体"/>
          <w:b/>
        </w:rPr>
        <w:t>（三）C类重点消防地区：以地下空间和对外交通用地、市政公用设施用地为主的重点消防地区。</w:t>
      </w:r>
    </w:p>
    <w:p>
      <w:pPr>
        <w:spacing w:before="190" w:after="190"/>
        <w:ind w:firstLine="562"/>
        <w:rPr>
          <w:rFonts w:ascii="宋体" w:hAnsi="宋体"/>
          <w:b/>
        </w:rPr>
      </w:pPr>
      <w:r>
        <w:rPr>
          <w:rFonts w:hint="eastAsia" w:ascii="宋体" w:hAnsi="宋体"/>
          <w:b/>
        </w:rPr>
        <w:t>规划C类重点消防地区包括汽车站、加油加气站、水厂、污水处理厂、供热站等。</w:t>
      </w:r>
    </w:p>
    <w:p>
      <w:pPr>
        <w:spacing w:before="190" w:after="190"/>
        <w:ind w:firstLine="562"/>
        <w:rPr>
          <w:rFonts w:ascii="宋体" w:hAnsi="宋体"/>
          <w:b/>
        </w:rPr>
      </w:pPr>
      <w:r>
        <w:rPr>
          <w:rFonts w:hint="eastAsia" w:ascii="宋体" w:hAnsi="宋体"/>
          <w:b/>
        </w:rPr>
        <w:t>C类重点消防地区规划新建的易燃易爆危险品生产、储存场所的选址应位于城市常年主导风向下风向，与人员密集的公共场所保持规范规定的防火安全距离。</w:t>
      </w:r>
    </w:p>
    <w:p>
      <w:pPr>
        <w:spacing w:before="190" w:after="190"/>
        <w:ind w:firstLine="562"/>
        <w:rPr>
          <w:rFonts w:ascii="宋体" w:hAnsi="宋体"/>
          <w:b/>
        </w:rPr>
      </w:pPr>
      <w:r>
        <w:rPr>
          <w:rFonts w:hint="eastAsia" w:ascii="宋体" w:hAnsi="宋体"/>
          <w:b/>
        </w:rPr>
        <w:t>第十一条：防火隔离带及避难疏散场地</w:t>
      </w:r>
    </w:p>
    <w:p>
      <w:pPr>
        <w:spacing w:before="190" w:after="190"/>
        <w:ind w:firstLine="562"/>
        <w:rPr>
          <w:rFonts w:ascii="宋体" w:hAnsi="宋体"/>
          <w:b/>
        </w:rPr>
      </w:pPr>
      <w:r>
        <w:rPr>
          <w:rFonts w:hint="eastAsia" w:ascii="宋体" w:hAnsi="宋体"/>
          <w:b/>
        </w:rPr>
        <w:t>（一）防火隔离带：规划防火隔离带包括青银高速、民族街、北环路、盐川大道、东顺路、五原路、凝翠街等主干道路防护绿地。</w:t>
      </w:r>
    </w:p>
    <w:p>
      <w:pPr>
        <w:spacing w:before="190" w:after="190"/>
        <w:ind w:firstLine="562"/>
        <w:rPr>
          <w:rFonts w:ascii="宋体" w:hAnsi="宋体"/>
          <w:b/>
        </w:rPr>
      </w:pPr>
      <w:r>
        <w:rPr>
          <w:rFonts w:hint="eastAsia" w:ascii="宋体" w:hAnsi="宋体"/>
          <w:b/>
        </w:rPr>
        <w:t>（二）避难疏散场地：规划避难疏散场地包括长城公园、行政中心广场、中小学操场及其它公园绿地、广场等。</w:t>
      </w:r>
    </w:p>
    <w:p>
      <w:pPr>
        <w:spacing w:before="190" w:after="190"/>
        <w:ind w:firstLine="562"/>
        <w:rPr>
          <w:rFonts w:ascii="宋体" w:hAnsi="宋体"/>
          <w:b/>
        </w:rPr>
      </w:pPr>
      <w:r>
        <w:rPr>
          <w:rFonts w:hint="eastAsia" w:ascii="宋体" w:hAnsi="宋体"/>
          <w:b/>
        </w:rPr>
        <w:t>第十二条：一般消防地区</w:t>
      </w:r>
    </w:p>
    <w:p>
      <w:pPr>
        <w:spacing w:before="190" w:after="190"/>
        <w:ind w:firstLine="562"/>
        <w:rPr>
          <w:rFonts w:ascii="宋体" w:hAnsi="宋体"/>
        </w:rPr>
      </w:pPr>
      <w:r>
        <w:rPr>
          <w:rFonts w:hint="eastAsia" w:ascii="宋体" w:hAnsi="宋体"/>
          <w:b/>
        </w:rPr>
        <w:t>城市一般消防地区是指城市规划建成区内除城市重点消防地区、防火隔离带及避难疏散场地以外的地区。规划城市一般消防地区主要包括城市高层住宅以外的其它居住用地等</w:t>
      </w:r>
      <w:r>
        <w:rPr>
          <w:rFonts w:hint="eastAsia" w:ascii="宋体" w:hAnsi="宋体"/>
        </w:rPr>
        <w:t>。</w:t>
      </w:r>
    </w:p>
    <w:p>
      <w:pPr>
        <w:pStyle w:val="2"/>
        <w:spacing w:before="190" w:after="190"/>
        <w:jc w:val="center"/>
        <w:rPr>
          <w:rFonts w:ascii="宋体" w:hAnsi="宋体"/>
        </w:rPr>
      </w:pPr>
      <w:bookmarkStart w:id="12" w:name="_Toc7358"/>
      <w:bookmarkStart w:id="13" w:name="_Toc89526161"/>
      <w:bookmarkStart w:id="14" w:name="_Toc8280"/>
      <w:bookmarkStart w:id="15" w:name="_Toc23205"/>
      <w:bookmarkStart w:id="16" w:name="_Toc89524720"/>
      <w:bookmarkStart w:id="17" w:name="_Toc89525977"/>
      <w:r>
        <w:rPr>
          <w:rFonts w:hint="eastAsia" w:ascii="宋体" w:hAnsi="宋体"/>
        </w:rPr>
        <w:t>第三章   县域消防规划</w:t>
      </w:r>
      <w:bookmarkEnd w:id="12"/>
      <w:bookmarkEnd w:id="13"/>
      <w:bookmarkEnd w:id="14"/>
      <w:bookmarkEnd w:id="15"/>
      <w:bookmarkEnd w:id="16"/>
      <w:bookmarkEnd w:id="17"/>
    </w:p>
    <w:p>
      <w:pPr>
        <w:spacing w:before="190" w:after="190"/>
        <w:ind w:firstLine="560"/>
        <w:rPr>
          <w:rFonts w:ascii="宋体" w:hAnsi="宋体"/>
        </w:rPr>
      </w:pPr>
      <w:r>
        <w:rPr>
          <w:rFonts w:hint="eastAsia" w:ascii="宋体" w:hAnsi="宋体"/>
        </w:rPr>
        <w:t>第十三条：县域消防体系规划</w:t>
      </w:r>
    </w:p>
    <w:p>
      <w:pPr>
        <w:spacing w:before="190" w:after="190"/>
        <w:ind w:firstLine="560"/>
        <w:rPr>
          <w:rFonts w:ascii="宋体" w:hAnsi="宋体"/>
        </w:rPr>
      </w:pPr>
      <w:r>
        <w:rPr>
          <w:rFonts w:hint="eastAsia" w:ascii="宋体" w:hAnsi="宋体"/>
        </w:rPr>
        <w:t>以城市消防救援站为全县消防救援的核心力量，合理配置、优化县域消防救援资源，构建以盐池县消防救援大队为主体，政府专职消防队、企业事业单位专职消防队为辅助，乡镇专职消防队、志愿消防队为补充，全面覆盖城乡、有效控制各类火灾及突发灾害事件的盐池县域消防救援力量体系。</w:t>
      </w:r>
    </w:p>
    <w:p>
      <w:pPr>
        <w:spacing w:before="190" w:after="190"/>
        <w:ind w:firstLine="560"/>
        <w:rPr>
          <w:rFonts w:ascii="宋体" w:hAnsi="宋体"/>
        </w:rPr>
      </w:pPr>
      <w:r>
        <w:rPr>
          <w:rFonts w:hint="eastAsia" w:ascii="宋体" w:hAnsi="宋体"/>
        </w:rPr>
        <w:t>第十四条：县域消防实施策略</w:t>
      </w:r>
    </w:p>
    <w:p>
      <w:pPr>
        <w:spacing w:before="190" w:after="190"/>
        <w:ind w:firstLine="560"/>
        <w:rPr>
          <w:rFonts w:ascii="宋体" w:hAnsi="宋体"/>
        </w:rPr>
      </w:pPr>
      <w:r>
        <w:rPr>
          <w:rFonts w:hint="eastAsia" w:ascii="宋体" w:hAnsi="宋体"/>
        </w:rPr>
        <w:t>各级人民政府、工业园区、大型企事业单位应当将消防规划纳入城镇总体规划等相关发展规划中，编制年度实施计划，负责组织实施，加快城乡消防站、消防水源、消防装备、消防车通道等公共消防设施建设。农村公共消防设施要纳入社会主义新农村建设，根据需要，应与村庄整治和人居环境改造等配套建设、同步实施。</w:t>
      </w:r>
    </w:p>
    <w:p>
      <w:pPr>
        <w:spacing w:before="190" w:after="190"/>
        <w:ind w:firstLine="562"/>
        <w:rPr>
          <w:rFonts w:ascii="宋体" w:hAnsi="宋体"/>
          <w:b/>
        </w:rPr>
      </w:pPr>
      <w:r>
        <w:rPr>
          <w:rFonts w:hint="eastAsia" w:ascii="宋体" w:hAnsi="宋体"/>
          <w:b/>
        </w:rPr>
        <w:t>第十五条：县域消防队（站）规划</w:t>
      </w:r>
    </w:p>
    <w:p>
      <w:pPr>
        <w:numPr>
          <w:ilvl w:val="0"/>
          <w:numId w:val="1"/>
        </w:numPr>
        <w:spacing w:before="190" w:after="190"/>
        <w:ind w:firstLineChars="0"/>
        <w:rPr>
          <w:rFonts w:ascii="宋体" w:hAnsi="宋体"/>
          <w:b/>
        </w:rPr>
      </w:pPr>
      <w:r>
        <w:rPr>
          <w:rFonts w:hint="eastAsia" w:ascii="宋体" w:hAnsi="宋体"/>
          <w:b/>
        </w:rPr>
        <w:t>政府专职消防救援站</w:t>
      </w:r>
    </w:p>
    <w:p>
      <w:pPr>
        <w:spacing w:before="190" w:after="190"/>
        <w:ind w:firstLine="560"/>
        <w:rPr>
          <w:rFonts w:ascii="宋体" w:hAnsi="宋体"/>
        </w:rPr>
      </w:pPr>
      <w:r>
        <w:rPr>
          <w:rFonts w:hint="eastAsia" w:ascii="宋体" w:hAnsi="宋体"/>
        </w:rPr>
        <w:t>现状已建成东顺路政府专职消防救援站和高沙窝政府专职消防救援站，规划予以保留并逐步完善政府专职消防救援站人员、车辆装备建设。</w:t>
      </w:r>
    </w:p>
    <w:p>
      <w:pPr>
        <w:spacing w:before="190" w:after="190"/>
        <w:ind w:firstLine="560"/>
        <w:rPr>
          <w:rFonts w:ascii="宋体" w:hAnsi="宋体"/>
        </w:rPr>
      </w:pPr>
      <w:r>
        <w:rPr>
          <w:rFonts w:ascii="宋体" w:hAnsi="宋体"/>
        </w:rPr>
        <w:t>规划期内</w:t>
      </w:r>
      <w:r>
        <w:rPr>
          <w:rFonts w:hint="eastAsia" w:ascii="宋体" w:hAnsi="宋体"/>
        </w:rPr>
        <w:t>，逐步完善东顺路政府专职消防救援站、高沙窝政府专职消防救援站人员、车辆装备；东顺路政府专职消防救援站达到二级普通消防站标准，责任区范围主要为县城东部工业园区并兼顾县城及周边乡镇消防救援；高沙窝政府专职消防救援站达到一级普通消防站标准，责任区范围以高沙窝工业园区为主，兼顾县域草原消防救援。</w:t>
      </w:r>
    </w:p>
    <w:p>
      <w:pPr>
        <w:spacing w:before="0" w:beforeLines="0" w:after="0" w:afterLines="0"/>
        <w:ind w:firstLine="0" w:firstLineChars="0"/>
        <w:jc w:val="center"/>
        <w:rPr>
          <w:rFonts w:ascii="仿宋" w:hAnsi="仿宋" w:eastAsia="仿宋"/>
          <w:sz w:val="24"/>
        </w:rPr>
      </w:pPr>
      <w:r>
        <w:rPr>
          <w:rFonts w:hint="eastAsia" w:ascii="仿宋" w:hAnsi="仿宋" w:eastAsia="仿宋"/>
          <w:sz w:val="24"/>
        </w:rPr>
        <w:t>政府专职消防救援站车辆、人员配置一览表</w:t>
      </w:r>
    </w:p>
    <w:tbl>
      <w:tblPr>
        <w:tblStyle w:val="10"/>
        <w:tblW w:w="4999"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095"/>
        <w:gridCol w:w="1218"/>
        <w:gridCol w:w="3777"/>
        <w:gridCol w:w="1827"/>
        <w:gridCol w:w="609"/>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4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名称</w:t>
            </w:r>
          </w:p>
        </w:tc>
        <w:tc>
          <w:tcPr>
            <w:tcW w:w="714"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消防站</w:t>
            </w:r>
          </w:p>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等级</w:t>
            </w:r>
          </w:p>
        </w:tc>
        <w:tc>
          <w:tcPr>
            <w:tcW w:w="2214" w:type="pct"/>
            <w:shd w:val="clear" w:color="auto" w:fill="A8D08D"/>
            <w:noWrap w:val="0"/>
            <w:vAlign w:val="center"/>
          </w:tcPr>
          <w:p>
            <w:pPr>
              <w:spacing w:before="0" w:beforeLines="0" w:after="0" w:afterLines="0" w:line="240" w:lineRule="auto"/>
              <w:ind w:firstLine="0" w:firstLineChars="0"/>
              <w:jc w:val="center"/>
              <w:rPr>
                <w:rFonts w:hint="eastAsia" w:ascii="仿宋" w:hAnsi="仿宋" w:eastAsia="仿宋"/>
                <w:b/>
                <w:bCs/>
                <w:sz w:val="24"/>
              </w:rPr>
            </w:pPr>
            <w:r>
              <w:rPr>
                <w:rFonts w:hint="eastAsia" w:ascii="仿宋" w:hAnsi="仿宋" w:eastAsia="仿宋"/>
                <w:b/>
                <w:bCs/>
                <w:sz w:val="24"/>
              </w:rPr>
              <w:t>消防车辆</w:t>
            </w:r>
          </w:p>
        </w:tc>
        <w:tc>
          <w:tcPr>
            <w:tcW w:w="1071" w:type="pct"/>
            <w:shd w:val="clear" w:color="auto" w:fill="A8D08D"/>
            <w:noWrap w:val="0"/>
            <w:vAlign w:val="center"/>
          </w:tcPr>
          <w:p>
            <w:pPr>
              <w:spacing w:before="0" w:beforeLines="0" w:after="0" w:afterLines="0" w:line="240" w:lineRule="auto"/>
              <w:ind w:firstLine="0" w:firstLineChars="0"/>
              <w:jc w:val="center"/>
              <w:rPr>
                <w:rFonts w:hint="eastAsia" w:ascii="仿宋" w:hAnsi="仿宋" w:eastAsia="仿宋"/>
                <w:b/>
                <w:bCs/>
                <w:sz w:val="24"/>
              </w:rPr>
            </w:pPr>
            <w:r>
              <w:rPr>
                <w:rFonts w:hint="eastAsia" w:ascii="仿宋" w:hAnsi="仿宋" w:eastAsia="仿宋"/>
                <w:b/>
                <w:bCs/>
                <w:sz w:val="24"/>
              </w:rPr>
              <w:t>消防人员</w:t>
            </w:r>
          </w:p>
        </w:tc>
        <w:tc>
          <w:tcPr>
            <w:tcW w:w="35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东顺路政府专职消防救援站</w:t>
            </w:r>
          </w:p>
        </w:tc>
        <w:tc>
          <w:tcPr>
            <w:tcW w:w="7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二级普通消防站</w:t>
            </w:r>
          </w:p>
        </w:tc>
        <w:tc>
          <w:tcPr>
            <w:tcW w:w="2214" w:type="pct"/>
            <w:shd w:val="clear" w:color="auto" w:fill="E2EFD9"/>
            <w:noWrap w:val="0"/>
            <w:vAlign w:val="center"/>
          </w:tcPr>
          <w:p>
            <w:pPr>
              <w:spacing w:before="0" w:beforeLines="0" w:after="0" w:afterLines="0" w:line="240" w:lineRule="auto"/>
              <w:ind w:firstLine="0" w:firstLineChars="0"/>
              <w:jc w:val="left"/>
              <w:rPr>
                <w:rFonts w:ascii="仿宋" w:hAnsi="仿宋" w:eastAsia="仿宋"/>
                <w:sz w:val="24"/>
              </w:rPr>
            </w:pPr>
            <w:r>
              <w:rPr>
                <w:rFonts w:hint="eastAsia" w:ascii="仿宋" w:hAnsi="仿宋" w:eastAsia="仿宋"/>
                <w:sz w:val="24"/>
              </w:rPr>
              <w:t>现状：23吨水罐车+5吨水罐车+23吨泡沫消防车；规划新增化学事故抢险救援消防车或泡沫干粉联用消防车。</w:t>
            </w:r>
          </w:p>
        </w:tc>
        <w:tc>
          <w:tcPr>
            <w:tcW w:w="107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现状</w:t>
            </w:r>
            <w:r>
              <w:rPr>
                <w:rFonts w:hint="eastAsia" w:ascii="仿宋" w:hAnsi="仿宋" w:eastAsia="仿宋"/>
                <w:sz w:val="24"/>
              </w:rPr>
              <w:t>8人，规划期内达到1</w:t>
            </w:r>
            <w:r>
              <w:rPr>
                <w:rFonts w:ascii="仿宋" w:hAnsi="仿宋" w:eastAsia="仿宋"/>
                <w:sz w:val="24"/>
              </w:rPr>
              <w:t>5人</w:t>
            </w:r>
            <w:r>
              <w:rPr>
                <w:rFonts w:hint="eastAsia" w:ascii="仿宋" w:hAnsi="仿宋" w:eastAsia="仿宋"/>
                <w:sz w:val="24"/>
              </w:rPr>
              <w:t>。</w:t>
            </w:r>
          </w:p>
        </w:tc>
        <w:tc>
          <w:tcPr>
            <w:tcW w:w="3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高沙窝政府专职消防救援站</w:t>
            </w:r>
          </w:p>
        </w:tc>
        <w:tc>
          <w:tcPr>
            <w:tcW w:w="7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一级普通消防站</w:t>
            </w:r>
          </w:p>
        </w:tc>
        <w:tc>
          <w:tcPr>
            <w:tcW w:w="2214" w:type="pct"/>
            <w:shd w:val="clear" w:color="auto" w:fill="E2EFD9"/>
            <w:noWrap w:val="0"/>
            <w:vAlign w:val="center"/>
          </w:tcPr>
          <w:p>
            <w:pPr>
              <w:spacing w:before="0" w:beforeLines="0" w:after="0" w:afterLines="0" w:line="240" w:lineRule="auto"/>
              <w:ind w:firstLine="0" w:firstLineChars="0"/>
              <w:jc w:val="left"/>
              <w:rPr>
                <w:rFonts w:ascii="仿宋" w:hAnsi="仿宋" w:eastAsia="仿宋"/>
                <w:sz w:val="24"/>
              </w:rPr>
            </w:pPr>
            <w:r>
              <w:rPr>
                <w:rFonts w:hint="eastAsia" w:ascii="仿宋" w:hAnsi="仿宋" w:eastAsia="仿宋"/>
                <w:sz w:val="24"/>
              </w:rPr>
              <w:t>现状：23吨水罐车+8吨水罐车+23吨泡沫车+抢险救援车+压缩空气泡沫水罐车；</w:t>
            </w:r>
            <w:r>
              <w:rPr>
                <w:rFonts w:ascii="仿宋" w:hAnsi="仿宋" w:eastAsia="仿宋"/>
                <w:sz w:val="24"/>
              </w:rPr>
              <w:t>规划新增</w:t>
            </w:r>
            <w:r>
              <w:rPr>
                <w:rFonts w:hint="eastAsia" w:ascii="仿宋" w:hAnsi="仿宋" w:eastAsia="仿宋"/>
                <w:sz w:val="24"/>
              </w:rPr>
              <w:t>2台草原消防水罐车。</w:t>
            </w:r>
          </w:p>
        </w:tc>
        <w:tc>
          <w:tcPr>
            <w:tcW w:w="107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现状12人，规划期内达到</w:t>
            </w:r>
            <w:r>
              <w:rPr>
                <w:rFonts w:ascii="仿宋" w:hAnsi="仿宋" w:eastAsia="仿宋"/>
                <w:sz w:val="24"/>
              </w:rPr>
              <w:t>30</w:t>
            </w:r>
            <w:r>
              <w:rPr>
                <w:rFonts w:hint="eastAsia" w:ascii="仿宋" w:hAnsi="仿宋" w:eastAsia="仿宋"/>
                <w:sz w:val="24"/>
              </w:rPr>
              <w:t>人。</w:t>
            </w:r>
          </w:p>
        </w:tc>
        <w:tc>
          <w:tcPr>
            <w:tcW w:w="3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bl>
    <w:p>
      <w:pPr>
        <w:spacing w:before="190" w:after="190"/>
        <w:ind w:firstLineChars="0"/>
        <w:rPr>
          <w:rFonts w:hint="eastAsia" w:ascii="宋体" w:hAnsi="宋体"/>
          <w:b/>
        </w:rPr>
      </w:pPr>
      <w:r>
        <w:rPr>
          <w:rFonts w:hint="eastAsia" w:ascii="宋体" w:hAnsi="宋体"/>
          <w:b/>
        </w:rPr>
        <w:t>（二）乡镇专职消防队</w:t>
      </w:r>
    </w:p>
    <w:p>
      <w:pPr>
        <w:spacing w:before="190" w:after="190"/>
        <w:ind w:firstLine="562"/>
        <w:rPr>
          <w:rFonts w:ascii="宋体" w:hAnsi="宋体"/>
          <w:b/>
        </w:rPr>
      </w:pPr>
      <w:r>
        <w:rPr>
          <w:rFonts w:hint="eastAsia" w:ascii="宋体" w:hAnsi="宋体"/>
          <w:b/>
        </w:rPr>
        <w:t>县域范围乡镇规划建设1个小型消防站、5个乡镇专职（志愿）消防队，其中大水坑镇建设1个小型消防站，高沙窝镇和惠安堡镇在现有基础上提升为一级乡镇专职消防队，冯记沟乡在现有基础上提升为二级乡镇专职消防队，麻黄山乡、青山乡、王乐井乡新建乡镇志愿消防队。</w:t>
      </w:r>
    </w:p>
    <w:p>
      <w:pPr>
        <w:spacing w:before="190" w:after="190"/>
        <w:ind w:firstLine="560"/>
        <w:rPr>
          <w:rFonts w:ascii="宋体" w:hAnsi="宋体"/>
        </w:rPr>
      </w:pPr>
      <w:r>
        <w:rPr>
          <w:rFonts w:hint="eastAsia" w:ascii="宋体" w:hAnsi="宋体"/>
        </w:rPr>
        <w:t>1：乡镇消防队建设选址</w:t>
      </w:r>
    </w:p>
    <w:p>
      <w:pPr>
        <w:spacing w:before="190" w:after="190"/>
        <w:ind w:firstLine="560"/>
        <w:rPr>
          <w:rFonts w:ascii="宋体" w:hAnsi="宋体"/>
        </w:rPr>
      </w:pPr>
      <w:r>
        <w:rPr>
          <w:rFonts w:hint="eastAsia" w:ascii="宋体" w:hAnsi="宋体"/>
        </w:rPr>
        <w:t>乡镇消防队</w:t>
      </w:r>
      <w:r>
        <w:rPr>
          <w:rFonts w:ascii="宋体" w:hAnsi="宋体"/>
        </w:rPr>
        <w:t>应设在辖区内的适中位置和便于车辆迅速出动的临街地段，消防车辆出入口宜设置交通信号灯、</w:t>
      </w:r>
      <w:r>
        <w:rPr>
          <w:rFonts w:hint="eastAsia" w:ascii="宋体" w:hAnsi="宋体"/>
        </w:rPr>
        <w:t>标</w:t>
      </w:r>
      <w:r>
        <w:rPr>
          <w:rFonts w:ascii="宋体" w:hAnsi="宋体"/>
        </w:rPr>
        <w:t>志、标线或隔离设施</w:t>
      </w:r>
      <w:r>
        <w:rPr>
          <w:rFonts w:hint="eastAsia" w:ascii="宋体" w:hAnsi="宋体"/>
        </w:rPr>
        <w:t>；</w:t>
      </w:r>
      <w:r>
        <w:rPr>
          <w:rFonts w:ascii="宋体" w:hAnsi="宋体"/>
        </w:rPr>
        <w:t>距医院、学校、幼儿园、托儿所、影</w:t>
      </w:r>
      <w:r>
        <w:rPr>
          <w:rFonts w:hint="eastAsia" w:ascii="宋体" w:hAnsi="宋体"/>
        </w:rPr>
        <w:t>剧</w:t>
      </w:r>
      <w:r>
        <w:rPr>
          <w:rFonts w:ascii="宋体" w:hAnsi="宋体"/>
        </w:rPr>
        <w:t>院、商场、体育场馆等公共建筑的主要疏散出口不应小于</w:t>
      </w:r>
      <w:r>
        <w:rPr>
          <w:rFonts w:hint="eastAsia" w:ascii="宋体" w:hAnsi="宋体"/>
        </w:rPr>
        <w:t>50</w:t>
      </w:r>
      <w:r>
        <w:rPr>
          <w:rFonts w:ascii="宋体" w:hAnsi="宋体"/>
        </w:rPr>
        <w:t>米</w:t>
      </w:r>
      <w:r>
        <w:rPr>
          <w:rFonts w:hint="eastAsia" w:ascii="宋体" w:hAnsi="宋体"/>
        </w:rPr>
        <w:t>；</w:t>
      </w:r>
      <w:r>
        <w:rPr>
          <w:rFonts w:ascii="宋体" w:hAnsi="宋体"/>
        </w:rPr>
        <w:t>辖区内有生产、贮在危险化学品单位的</w:t>
      </w:r>
      <w:r>
        <w:rPr>
          <w:rFonts w:hint="eastAsia" w:ascii="宋体" w:hAnsi="宋体"/>
        </w:rPr>
        <w:t>，</w:t>
      </w:r>
      <w:r>
        <w:rPr>
          <w:rFonts w:ascii="宋体" w:hAnsi="宋体"/>
        </w:rPr>
        <w:t>乡镇</w:t>
      </w:r>
      <w:r>
        <w:rPr>
          <w:rFonts w:hint="eastAsia" w:ascii="宋体" w:hAnsi="宋体"/>
        </w:rPr>
        <w:t>消防队</w:t>
      </w:r>
      <w:r>
        <w:rPr>
          <w:rFonts w:ascii="宋体" w:hAnsi="宋体"/>
        </w:rPr>
        <w:t>应设置在常年主导风向的上风或侧风处，其边界距上述危险部位不宜小于200米。</w:t>
      </w:r>
    </w:p>
    <w:p>
      <w:pPr>
        <w:spacing w:before="190" w:after="190"/>
        <w:ind w:firstLine="700" w:firstLineChars="250"/>
        <w:rPr>
          <w:rFonts w:ascii="宋体" w:hAnsi="宋体"/>
        </w:rPr>
      </w:pPr>
      <w:r>
        <w:rPr>
          <w:rFonts w:hint="eastAsia" w:ascii="宋体" w:hAnsi="宋体"/>
        </w:rPr>
        <w:t>2：乡镇消防队装备及人员配置</w:t>
      </w:r>
    </w:p>
    <w:tbl>
      <w:tblPr>
        <w:tblStyle w:val="10"/>
        <w:tblW w:w="4998"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112"/>
        <w:gridCol w:w="864"/>
        <w:gridCol w:w="1359"/>
        <w:gridCol w:w="1357"/>
        <w:gridCol w:w="864"/>
        <w:gridCol w:w="987"/>
        <w:gridCol w:w="1357"/>
        <w:gridCol w:w="625"/>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5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乡镇名称</w:t>
            </w:r>
          </w:p>
        </w:tc>
        <w:tc>
          <w:tcPr>
            <w:tcW w:w="50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乡镇</w:t>
            </w:r>
          </w:p>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等级</w:t>
            </w:r>
          </w:p>
        </w:tc>
        <w:tc>
          <w:tcPr>
            <w:tcW w:w="79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消防站等级</w:t>
            </w:r>
          </w:p>
        </w:tc>
        <w:tc>
          <w:tcPr>
            <w:tcW w:w="796"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水罐车或泡沫消防车</w:t>
            </w:r>
          </w:p>
        </w:tc>
        <w:tc>
          <w:tcPr>
            <w:tcW w:w="50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消防摩托车</w:t>
            </w:r>
          </w:p>
        </w:tc>
        <w:tc>
          <w:tcPr>
            <w:tcW w:w="579"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消防员总人数</w:t>
            </w:r>
          </w:p>
        </w:tc>
        <w:tc>
          <w:tcPr>
            <w:tcW w:w="796"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其中专职消防员人数</w:t>
            </w:r>
          </w:p>
        </w:tc>
        <w:tc>
          <w:tcPr>
            <w:tcW w:w="36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5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大水坑镇</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重点镇</w:t>
            </w:r>
          </w:p>
        </w:tc>
        <w:tc>
          <w:tcPr>
            <w:tcW w:w="7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小型消防站</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≥3（不小于3吨）</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5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3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5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惠安堡镇</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重点镇</w:t>
            </w:r>
          </w:p>
        </w:tc>
        <w:tc>
          <w:tcPr>
            <w:tcW w:w="7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一级乡镇专职消防队</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≥2（不小于1.5吨）</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5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3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5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高沙窝镇</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重点镇</w:t>
            </w:r>
          </w:p>
        </w:tc>
        <w:tc>
          <w:tcPr>
            <w:tcW w:w="7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一级乡镇专职消防队</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≥2（不小于1.5吨）</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5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3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52" w:type="pct"/>
            <w:tcBorders>
              <w:left w:val="single" w:color="auto" w:sz="4" w:space="0"/>
              <w:right w:val="single" w:color="auto" w:sz="4"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冯记沟乡</w:t>
            </w:r>
          </w:p>
        </w:tc>
        <w:tc>
          <w:tcPr>
            <w:tcW w:w="507" w:type="pct"/>
            <w:tcBorders>
              <w:left w:val="single" w:color="auto" w:sz="4"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w:t>
            </w:r>
          </w:p>
        </w:tc>
        <w:tc>
          <w:tcPr>
            <w:tcW w:w="7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二级乡镇专职消防队</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≥1（不小于1.5吨）</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5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3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5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麻黄山乡</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w:t>
            </w:r>
          </w:p>
        </w:tc>
        <w:tc>
          <w:tcPr>
            <w:tcW w:w="7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乡镇志愿消防队</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≥1（不小于1.5吨）</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5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3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5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青山乡</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w:t>
            </w:r>
          </w:p>
        </w:tc>
        <w:tc>
          <w:tcPr>
            <w:tcW w:w="7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乡镇志愿消防队</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≥1（不小于1.5吨）</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5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3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5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王乐井乡</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w:t>
            </w:r>
          </w:p>
        </w:tc>
        <w:tc>
          <w:tcPr>
            <w:tcW w:w="7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乡镇志愿消防队</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≥1（不小于1.5吨）</w:t>
            </w:r>
          </w:p>
        </w:tc>
        <w:tc>
          <w:tcPr>
            <w:tcW w:w="5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w:t>
            </w:r>
          </w:p>
        </w:tc>
        <w:tc>
          <w:tcPr>
            <w:tcW w:w="5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79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3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5000" w:type="pct"/>
            <w:gridSpan w:val="8"/>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乡镇消防队车辆、人员配置要求可根据当地实际情况进行调整</w:t>
            </w:r>
          </w:p>
        </w:tc>
      </w:tr>
    </w:tbl>
    <w:p>
      <w:pPr>
        <w:spacing w:before="190" w:after="190"/>
        <w:ind w:firstLine="560"/>
        <w:rPr>
          <w:rFonts w:hint="eastAsia" w:ascii="宋体" w:hAnsi="宋体"/>
        </w:rPr>
      </w:pPr>
      <w:r>
        <w:rPr>
          <w:rFonts w:hint="eastAsia" w:ascii="宋体" w:hAnsi="宋体"/>
        </w:rPr>
        <w:t>3：乡镇消防队建设用地规模、消防车库车位、建筑面积指标</w:t>
      </w:r>
    </w:p>
    <w:tbl>
      <w:tblPr>
        <w:tblStyle w:val="10"/>
        <w:tblW w:w="4998"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095"/>
        <w:gridCol w:w="1095"/>
        <w:gridCol w:w="1218"/>
        <w:gridCol w:w="1341"/>
        <w:gridCol w:w="1095"/>
        <w:gridCol w:w="1462"/>
        <w:gridCol w:w="1219"/>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blHeader/>
        </w:trPr>
        <w:tc>
          <w:tcPr>
            <w:tcW w:w="64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乡镇名称</w:t>
            </w:r>
          </w:p>
        </w:tc>
        <w:tc>
          <w:tcPr>
            <w:tcW w:w="64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乡镇等级</w:t>
            </w:r>
          </w:p>
        </w:tc>
        <w:tc>
          <w:tcPr>
            <w:tcW w:w="714"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消防站</w:t>
            </w:r>
          </w:p>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等级</w:t>
            </w:r>
          </w:p>
        </w:tc>
        <w:tc>
          <w:tcPr>
            <w:tcW w:w="786"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建设用地</w:t>
            </w:r>
          </w:p>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（平方米）</w:t>
            </w:r>
          </w:p>
        </w:tc>
        <w:tc>
          <w:tcPr>
            <w:tcW w:w="64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消防车库</w:t>
            </w:r>
          </w:p>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车位</w:t>
            </w:r>
          </w:p>
        </w:tc>
        <w:tc>
          <w:tcPr>
            <w:tcW w:w="85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建筑面积</w:t>
            </w:r>
          </w:p>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（平方米）</w:t>
            </w:r>
          </w:p>
        </w:tc>
        <w:tc>
          <w:tcPr>
            <w:tcW w:w="714"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rPr>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大水坑镇</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重点镇</w:t>
            </w:r>
          </w:p>
        </w:tc>
        <w:tc>
          <w:tcPr>
            <w:tcW w:w="7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小型消防站</w:t>
            </w:r>
          </w:p>
        </w:tc>
        <w:tc>
          <w:tcPr>
            <w:tcW w:w="78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1500</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8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1000</w:t>
            </w:r>
          </w:p>
        </w:tc>
        <w:tc>
          <w:tcPr>
            <w:tcW w:w="714" w:type="pct"/>
            <w:vMerge w:val="restar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1：房屋建筑包括业务用房、业务辅助用房和辅助用房。</w:t>
            </w:r>
          </w:p>
          <w:p>
            <w:pPr>
              <w:spacing w:before="0" w:beforeLines="0" w:after="0" w:afterLines="0" w:line="240" w:lineRule="auto"/>
              <w:ind w:firstLine="0" w:firstLineChars="0"/>
              <w:rPr>
                <w:rFonts w:ascii="仿宋" w:hAnsi="仿宋" w:eastAsia="仿宋"/>
                <w:sz w:val="24"/>
              </w:rPr>
            </w:pPr>
            <w:r>
              <w:rPr>
                <w:rFonts w:hint="eastAsia" w:ascii="仿宋" w:hAnsi="仿宋" w:eastAsia="仿宋"/>
                <w:sz w:val="24"/>
              </w:rPr>
              <w:t>2：建设用地面积和建筑面积，也可根据当地实际情况确定。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rPr>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惠安堡镇</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重点镇</w:t>
            </w:r>
          </w:p>
        </w:tc>
        <w:tc>
          <w:tcPr>
            <w:tcW w:w="7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一级乡镇专职消防队</w:t>
            </w:r>
          </w:p>
        </w:tc>
        <w:tc>
          <w:tcPr>
            <w:tcW w:w="78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1000～1200</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8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600～700</w:t>
            </w:r>
          </w:p>
        </w:tc>
        <w:tc>
          <w:tcPr>
            <w:tcW w:w="71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rPr>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高沙窝镇</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重点镇</w:t>
            </w:r>
          </w:p>
        </w:tc>
        <w:tc>
          <w:tcPr>
            <w:tcW w:w="7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一级乡镇专职消防队</w:t>
            </w:r>
          </w:p>
        </w:tc>
        <w:tc>
          <w:tcPr>
            <w:tcW w:w="78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1000～1200</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8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600～700</w:t>
            </w:r>
          </w:p>
        </w:tc>
        <w:tc>
          <w:tcPr>
            <w:tcW w:w="71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rPr>
        <w:tc>
          <w:tcPr>
            <w:tcW w:w="642" w:type="pct"/>
            <w:tcBorders>
              <w:left w:val="single" w:color="auto" w:sz="4" w:space="0"/>
              <w:right w:val="single" w:color="auto" w:sz="4"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冯记沟乡</w:t>
            </w:r>
          </w:p>
        </w:tc>
        <w:tc>
          <w:tcPr>
            <w:tcW w:w="642" w:type="pct"/>
            <w:tcBorders>
              <w:left w:val="single" w:color="auto" w:sz="4"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一般乡镇</w:t>
            </w:r>
          </w:p>
        </w:tc>
        <w:tc>
          <w:tcPr>
            <w:tcW w:w="7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二级乡镇专职消防队</w:t>
            </w:r>
          </w:p>
        </w:tc>
        <w:tc>
          <w:tcPr>
            <w:tcW w:w="78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700～850</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8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400～500</w:t>
            </w:r>
          </w:p>
        </w:tc>
        <w:tc>
          <w:tcPr>
            <w:tcW w:w="71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rPr>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麻黄山乡</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一般乡镇</w:t>
            </w:r>
          </w:p>
        </w:tc>
        <w:tc>
          <w:tcPr>
            <w:tcW w:w="7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乡镇志愿消防队</w:t>
            </w:r>
          </w:p>
        </w:tc>
        <w:tc>
          <w:tcPr>
            <w:tcW w:w="78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350～5</w:t>
            </w:r>
            <w:r>
              <w:rPr>
                <w:rFonts w:ascii="仿宋" w:hAnsi="仿宋" w:eastAsia="仿宋"/>
                <w:sz w:val="24"/>
              </w:rPr>
              <w:t>00</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8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200～250</w:t>
            </w:r>
          </w:p>
        </w:tc>
        <w:tc>
          <w:tcPr>
            <w:tcW w:w="71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rPr>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青山乡</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一般乡镇</w:t>
            </w:r>
          </w:p>
        </w:tc>
        <w:tc>
          <w:tcPr>
            <w:tcW w:w="7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乡镇志愿消防队</w:t>
            </w:r>
          </w:p>
        </w:tc>
        <w:tc>
          <w:tcPr>
            <w:tcW w:w="78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350～500</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8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200～250</w:t>
            </w:r>
          </w:p>
        </w:tc>
        <w:tc>
          <w:tcPr>
            <w:tcW w:w="71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rPr>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王乐井乡</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一般乡镇</w:t>
            </w:r>
          </w:p>
        </w:tc>
        <w:tc>
          <w:tcPr>
            <w:tcW w:w="7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乡镇志愿消防队</w:t>
            </w:r>
          </w:p>
        </w:tc>
        <w:tc>
          <w:tcPr>
            <w:tcW w:w="78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350～500</w:t>
            </w:r>
          </w:p>
        </w:tc>
        <w:tc>
          <w:tcPr>
            <w:tcW w:w="64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w:t>
            </w:r>
          </w:p>
        </w:tc>
        <w:tc>
          <w:tcPr>
            <w:tcW w:w="8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200～250</w:t>
            </w:r>
          </w:p>
        </w:tc>
        <w:tc>
          <w:tcPr>
            <w:tcW w:w="71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bl>
    <w:p>
      <w:pPr>
        <w:spacing w:before="190" w:after="190"/>
        <w:ind w:firstLineChars="0"/>
        <w:rPr>
          <w:rFonts w:ascii="宋体" w:hAnsi="宋体"/>
          <w:bCs/>
        </w:rPr>
      </w:pPr>
      <w:r>
        <w:rPr>
          <w:rFonts w:hint="eastAsia" w:ascii="宋体" w:hAnsi="宋体"/>
          <w:bCs/>
        </w:rPr>
        <w:t>（三）</w:t>
      </w:r>
      <w:r>
        <w:rPr>
          <w:rFonts w:ascii="宋体" w:hAnsi="宋体"/>
          <w:bCs/>
        </w:rPr>
        <w:t>企业专职消防队</w:t>
      </w:r>
    </w:p>
    <w:p>
      <w:pPr>
        <w:spacing w:before="190" w:after="190"/>
        <w:ind w:firstLine="560"/>
        <w:rPr>
          <w:rFonts w:ascii="宋体" w:hAnsi="宋体"/>
        </w:rPr>
      </w:pPr>
      <w:r>
        <w:rPr>
          <w:rFonts w:hint="eastAsia" w:ascii="宋体" w:hAnsi="宋体"/>
        </w:rPr>
        <w:t>现有宁夏宁鲁石化、宁夏金裕海化工已建设企业专职消防队，应不断规范队、站建设，更新灭火装备，加强消防救援训练，不断提高灭火作战能力。</w:t>
      </w:r>
    </w:p>
    <w:p>
      <w:pPr>
        <w:spacing w:before="190" w:after="190"/>
        <w:ind w:firstLine="560"/>
        <w:rPr>
          <w:rFonts w:ascii="宋体" w:hAnsi="宋体"/>
        </w:rPr>
      </w:pPr>
      <w:r>
        <w:rPr>
          <w:rFonts w:hint="eastAsia" w:ascii="宋体" w:hAnsi="宋体"/>
        </w:rPr>
        <w:t>今后凡属新建火灾危险性较大、距城市消防站较远的大型企事业单位和大型专用仓库、储油储气基地等单位及城市消防救援部门认为需要建立专职消防队的其他单位，均应建立专职消防队。专职消防队应接受城市消防救援部门的业务指导，发生火灾时接受城市消防救援机构的现场指挥。</w:t>
      </w:r>
    </w:p>
    <w:p>
      <w:pPr>
        <w:spacing w:before="0" w:beforeLines="0" w:after="0" w:afterLines="0"/>
        <w:ind w:firstLine="0" w:firstLineChars="0"/>
        <w:jc w:val="center"/>
        <w:rPr>
          <w:rFonts w:ascii="仿宋" w:hAnsi="仿宋" w:eastAsia="仿宋"/>
          <w:sz w:val="24"/>
        </w:rPr>
      </w:pPr>
      <w:r>
        <w:rPr>
          <w:rFonts w:hint="eastAsia" w:ascii="仿宋" w:hAnsi="仿宋" w:eastAsia="仿宋"/>
          <w:sz w:val="24"/>
        </w:rPr>
        <w:t>企业专职消防队车辆、人员配置一览表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457"/>
        <w:gridCol w:w="1564"/>
        <w:gridCol w:w="1622"/>
        <w:gridCol w:w="825"/>
        <w:gridCol w:w="1060"/>
        <w:gridCol w:w="2324"/>
        <w:gridCol w:w="676"/>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blHeader/>
          <w:jc w:val="center"/>
        </w:trPr>
        <w:tc>
          <w:tcPr>
            <w:tcW w:w="259"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序号</w:t>
            </w:r>
          </w:p>
        </w:tc>
        <w:tc>
          <w:tcPr>
            <w:tcW w:w="918"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名称</w:t>
            </w:r>
          </w:p>
        </w:tc>
        <w:tc>
          <w:tcPr>
            <w:tcW w:w="95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规划性质</w:t>
            </w:r>
          </w:p>
        </w:tc>
        <w:tc>
          <w:tcPr>
            <w:tcW w:w="485"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地址</w:t>
            </w:r>
          </w:p>
        </w:tc>
        <w:tc>
          <w:tcPr>
            <w:tcW w:w="62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消防人员（人）</w:t>
            </w:r>
          </w:p>
        </w:tc>
        <w:tc>
          <w:tcPr>
            <w:tcW w:w="136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消防车辆（台）</w:t>
            </w:r>
          </w:p>
        </w:tc>
        <w:tc>
          <w:tcPr>
            <w:tcW w:w="397"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25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1</w:t>
            </w:r>
          </w:p>
        </w:tc>
        <w:tc>
          <w:tcPr>
            <w:tcW w:w="91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宁夏宁鲁石化企业消防队</w:t>
            </w:r>
          </w:p>
        </w:tc>
        <w:tc>
          <w:tcPr>
            <w:tcW w:w="95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企业专职消防队</w:t>
            </w:r>
          </w:p>
        </w:tc>
        <w:tc>
          <w:tcPr>
            <w:tcW w:w="4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工业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园区</w:t>
            </w:r>
          </w:p>
        </w:tc>
        <w:tc>
          <w:tcPr>
            <w:tcW w:w="6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34人</w:t>
            </w:r>
          </w:p>
        </w:tc>
        <w:tc>
          <w:tcPr>
            <w:tcW w:w="136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3台（水15吨+泡沫10吨+干粉2吨）</w:t>
            </w:r>
          </w:p>
        </w:tc>
        <w:tc>
          <w:tcPr>
            <w:tcW w:w="39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25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2</w:t>
            </w:r>
          </w:p>
        </w:tc>
        <w:tc>
          <w:tcPr>
            <w:tcW w:w="91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宁夏金裕海化工企业消防队</w:t>
            </w:r>
          </w:p>
        </w:tc>
        <w:tc>
          <w:tcPr>
            <w:tcW w:w="95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企业专职消防队</w:t>
            </w:r>
          </w:p>
        </w:tc>
        <w:tc>
          <w:tcPr>
            <w:tcW w:w="4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工业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园区</w:t>
            </w:r>
          </w:p>
        </w:tc>
        <w:tc>
          <w:tcPr>
            <w:tcW w:w="6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34人</w:t>
            </w:r>
          </w:p>
        </w:tc>
        <w:tc>
          <w:tcPr>
            <w:tcW w:w="136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1台（水10吨+泡沫2吨），增加泡沫干粉联用消防车</w:t>
            </w:r>
          </w:p>
        </w:tc>
        <w:tc>
          <w:tcPr>
            <w:tcW w:w="39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增设装备</w:t>
            </w:r>
          </w:p>
        </w:tc>
      </w:tr>
    </w:tbl>
    <w:p>
      <w:pPr>
        <w:spacing w:before="190" w:after="190"/>
        <w:ind w:firstLine="560"/>
        <w:rPr>
          <w:rFonts w:ascii="宋体" w:hAnsi="宋体"/>
        </w:rPr>
      </w:pPr>
      <w:r>
        <w:rPr>
          <w:rFonts w:hint="eastAsia" w:ascii="宋体" w:hAnsi="宋体"/>
        </w:rPr>
        <w:t>第十六条：县域消防供水规划</w:t>
      </w:r>
    </w:p>
    <w:p>
      <w:pPr>
        <w:spacing w:before="190" w:after="190"/>
        <w:ind w:firstLine="560"/>
        <w:rPr>
          <w:rFonts w:ascii="宋体" w:hAnsi="宋体"/>
        </w:rPr>
      </w:pPr>
      <w:r>
        <w:rPr>
          <w:rFonts w:hint="eastAsia" w:ascii="宋体" w:hAnsi="宋体"/>
        </w:rPr>
        <w:t>县域内的各乡镇、工业园区、村庄应结合生产、生活供水设施建设，同步建设消防供水设施，应充分利用河流、湖泊、堰塘、水渠等天然水源做为消防应急备用水源。无条件建设消防给水设施的村镇，应从实际出发、因地制宜，采取提高建筑耐火等级、增大建筑间距、加强防火安全管理等措施，确保消防安全。</w:t>
      </w:r>
    </w:p>
    <w:p>
      <w:pPr>
        <w:spacing w:before="190" w:after="190"/>
        <w:ind w:firstLine="560"/>
        <w:rPr>
          <w:rFonts w:ascii="宋体" w:hAnsi="宋体"/>
        </w:rPr>
      </w:pPr>
      <w:r>
        <w:rPr>
          <w:rFonts w:hint="eastAsia" w:ascii="宋体" w:hAnsi="宋体"/>
        </w:rPr>
        <w:t>第十七条：县域消防通信规划</w:t>
      </w:r>
    </w:p>
    <w:p>
      <w:pPr>
        <w:spacing w:before="190" w:after="190"/>
        <w:ind w:firstLine="560"/>
        <w:rPr>
          <w:rFonts w:ascii="宋体" w:hAnsi="宋体"/>
        </w:rPr>
      </w:pPr>
      <w:r>
        <w:rPr>
          <w:rFonts w:hint="eastAsia" w:ascii="宋体" w:hAnsi="宋体"/>
        </w:rPr>
        <w:t>县消防通信指挥中心设于中心城区，县域消防通信采取集中接警方式。</w:t>
      </w:r>
    </w:p>
    <w:p>
      <w:pPr>
        <w:spacing w:before="190" w:after="190"/>
        <w:ind w:firstLine="560"/>
        <w:rPr>
          <w:rFonts w:ascii="宋体" w:hAnsi="宋体"/>
        </w:rPr>
      </w:pPr>
      <w:r>
        <w:rPr>
          <w:rFonts w:hint="eastAsia" w:ascii="宋体" w:hAnsi="宋体"/>
        </w:rPr>
        <w:t>消防指挥中心与各乡镇专职消防队之间设1对火警调度专用线，与各有关单位（供水、供电、供气、医疗急救、交通管理、气象、电信、地震、环保等单位）之间设1对联络专线，与各消防重点单位之间设1对119火灾报警专用线。</w:t>
      </w:r>
    </w:p>
    <w:p>
      <w:pPr>
        <w:spacing w:before="190" w:after="190"/>
        <w:ind w:firstLine="560"/>
        <w:rPr>
          <w:rFonts w:ascii="宋体" w:hAnsi="宋体"/>
        </w:rPr>
      </w:pPr>
      <w:r>
        <w:rPr>
          <w:rFonts w:hint="eastAsia" w:ascii="宋体" w:hAnsi="宋体"/>
        </w:rPr>
        <w:t>第十八条：县域消防通道规划</w:t>
      </w:r>
    </w:p>
    <w:p>
      <w:pPr>
        <w:spacing w:before="190" w:after="190"/>
        <w:ind w:firstLine="560"/>
        <w:rPr>
          <w:rFonts w:ascii="宋体" w:hAnsi="宋体"/>
        </w:rPr>
      </w:pPr>
      <w:r>
        <w:rPr>
          <w:rFonts w:ascii="宋体" w:hAnsi="宋体"/>
        </w:rPr>
        <w:t>县域内各级公路是消防站执行任务及县域消防力量相互支援的主要通道，同时也是远距离安全疏散的主要通道，应</w:t>
      </w:r>
      <w:r>
        <w:rPr>
          <w:rFonts w:hint="eastAsia" w:ascii="宋体" w:hAnsi="宋体"/>
        </w:rPr>
        <w:t>加强</w:t>
      </w:r>
      <w:r>
        <w:rPr>
          <w:rFonts w:ascii="宋体" w:hAnsi="宋体"/>
        </w:rPr>
        <w:t>县域道路交通规划建设</w:t>
      </w:r>
      <w:r>
        <w:rPr>
          <w:rFonts w:hint="eastAsia" w:ascii="宋体" w:hAnsi="宋体"/>
        </w:rPr>
        <w:t>及</w:t>
      </w:r>
      <w:r>
        <w:rPr>
          <w:rFonts w:ascii="宋体" w:hAnsi="宋体"/>
        </w:rPr>
        <w:t>日常维护管理，保持</w:t>
      </w:r>
      <w:r>
        <w:rPr>
          <w:rFonts w:hint="eastAsia" w:ascii="宋体" w:hAnsi="宋体"/>
        </w:rPr>
        <w:t>县域道路交通通畅</w:t>
      </w:r>
      <w:r>
        <w:rPr>
          <w:rFonts w:ascii="宋体" w:hAnsi="宋体"/>
        </w:rPr>
        <w:t>。</w:t>
      </w:r>
    </w:p>
    <w:p>
      <w:pPr>
        <w:spacing w:before="190" w:after="190"/>
        <w:ind w:firstLine="560"/>
        <w:rPr>
          <w:rFonts w:ascii="宋体" w:hAnsi="宋体"/>
        </w:rPr>
      </w:pPr>
      <w:r>
        <w:rPr>
          <w:rFonts w:hint="eastAsia" w:ascii="宋体" w:hAnsi="宋体"/>
        </w:rPr>
        <w:t>县域危险品运输线路由国道211、国道307、省道304、县道盐惠路等组成。</w:t>
      </w:r>
    </w:p>
    <w:p>
      <w:pPr>
        <w:spacing w:before="190" w:after="190"/>
        <w:ind w:firstLine="560"/>
        <w:rPr>
          <w:rFonts w:ascii="宋体" w:hAnsi="宋体"/>
        </w:rPr>
      </w:pPr>
      <w:r>
        <w:rPr>
          <w:rFonts w:hint="eastAsia" w:ascii="宋体" w:hAnsi="宋体"/>
        </w:rPr>
        <w:t>第十九条：</w:t>
      </w:r>
      <w:r>
        <w:rPr>
          <w:rFonts w:ascii="宋体" w:hAnsi="宋体"/>
        </w:rPr>
        <w:t>花马池镇域</w:t>
      </w:r>
      <w:r>
        <w:rPr>
          <w:rFonts w:hint="eastAsia" w:ascii="宋体" w:hAnsi="宋体"/>
        </w:rPr>
        <w:t>农村</w:t>
      </w:r>
      <w:r>
        <w:rPr>
          <w:rFonts w:ascii="宋体" w:hAnsi="宋体"/>
        </w:rPr>
        <w:t>消防规划</w:t>
      </w:r>
    </w:p>
    <w:p>
      <w:pPr>
        <w:widowControl/>
        <w:spacing w:before="190" w:after="190"/>
        <w:ind w:firstLine="560"/>
        <w:jc w:val="left"/>
        <w:rPr>
          <w:rFonts w:hint="eastAsia" w:ascii="宋体" w:hAnsi="宋体" w:cs="宋体"/>
          <w:szCs w:val="28"/>
        </w:rPr>
      </w:pPr>
      <w:r>
        <w:rPr>
          <w:rFonts w:hint="eastAsia" w:ascii="宋体" w:hAnsi="宋体" w:cs="宋体"/>
          <w:szCs w:val="28"/>
        </w:rPr>
        <w:t>镇域农村消防安全规划应当符合国家消防安全技术规范和标准的要求。消防安全布局、消防水源、消防车通道建设应当纳入村庄建设规划。</w:t>
      </w:r>
    </w:p>
    <w:p>
      <w:pPr>
        <w:numPr>
          <w:ilvl w:val="0"/>
          <w:numId w:val="2"/>
        </w:numPr>
        <w:spacing w:before="190" w:after="190"/>
        <w:ind w:firstLineChars="0"/>
        <w:rPr>
          <w:rFonts w:ascii="宋体" w:hAnsi="宋体"/>
        </w:rPr>
      </w:pPr>
      <w:r>
        <w:rPr>
          <w:rFonts w:hint="eastAsia" w:ascii="宋体" w:hAnsi="宋体"/>
        </w:rPr>
        <w:t>镇域农村消防安全体系建设</w:t>
      </w:r>
    </w:p>
    <w:p>
      <w:pPr>
        <w:spacing w:before="190" w:after="190"/>
        <w:ind w:firstLine="560"/>
        <w:rPr>
          <w:rFonts w:hint="eastAsia" w:ascii="宋体" w:hAnsi="宋体"/>
        </w:rPr>
      </w:pPr>
      <w:r>
        <w:rPr>
          <w:rFonts w:ascii="宋体" w:hAnsi="宋体"/>
        </w:rPr>
        <w:t>1</w:t>
      </w:r>
      <w:r>
        <w:rPr>
          <w:rFonts w:hint="eastAsia" w:ascii="宋体" w:hAnsi="宋体"/>
        </w:rPr>
        <w:t>：长城村、沟沿村、佟记圈村、四墩子村、田记掌村、八岔梁村、郭记沟村、柳杨堡村、皖记沟村、沙边子村、东塘村、冒寨子村、李记沟村、红沟梁村、高利乌苏村、苏步井村、李华台村、芨芨沟村、硝池子村19个行政村依托村委会建立村民志愿消防队，村民志愿消防队为群众性的不脱产消防队伍，由村委会负责组织领导和管理，业务上接受盐池县花马池消防救援站的指导。</w:t>
      </w:r>
    </w:p>
    <w:p>
      <w:pPr>
        <w:spacing w:before="190" w:after="190"/>
        <w:ind w:firstLine="560"/>
        <w:rPr>
          <w:rFonts w:hint="eastAsia" w:ascii="宋体" w:hAnsi="宋体"/>
        </w:rPr>
      </w:pPr>
      <w:r>
        <w:rPr>
          <w:rFonts w:hint="eastAsia" w:ascii="宋体" w:hAnsi="宋体"/>
        </w:rPr>
        <w:t>2：村民志愿消防队责任范围为各村行政区划范围；村民志愿消防队装备按微型消防站标准配备，有条件的村庄可配备1辆消防摩托。</w:t>
      </w:r>
    </w:p>
    <w:p>
      <w:pPr>
        <w:spacing w:before="190" w:after="190"/>
        <w:ind w:firstLine="560"/>
        <w:rPr>
          <w:rFonts w:ascii="宋体" w:hAnsi="宋体"/>
        </w:rPr>
      </w:pPr>
      <w:r>
        <w:rPr>
          <w:rFonts w:hint="eastAsia" w:ascii="宋体" w:hAnsi="宋体"/>
        </w:rPr>
        <w:t>3：镇域范围形成以花马池消防救援站为主，村民志愿消防队为辅的镇域消防安全体系。</w:t>
      </w:r>
    </w:p>
    <w:p>
      <w:pPr>
        <w:spacing w:before="0" w:beforeLines="0" w:after="0" w:afterLines="0"/>
        <w:ind w:firstLine="0" w:firstLineChars="0"/>
        <w:jc w:val="center"/>
        <w:rPr>
          <w:rFonts w:hint="eastAsia" w:ascii="仿宋" w:hAnsi="仿宋" w:eastAsia="仿宋" w:cs="宋体"/>
          <w:szCs w:val="28"/>
        </w:rPr>
      </w:pPr>
      <w:r>
        <w:rPr>
          <w:rFonts w:hint="eastAsia" w:ascii="仿宋" w:hAnsi="仿宋" w:eastAsia="仿宋" w:cs="宋体"/>
          <w:szCs w:val="28"/>
        </w:rPr>
        <w:t>花马池镇域农村消防队伍建设一览表</w:t>
      </w:r>
    </w:p>
    <w:tbl>
      <w:tblPr>
        <w:tblStyle w:val="10"/>
        <w:tblW w:w="5000"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841"/>
        <w:gridCol w:w="2983"/>
        <w:gridCol w:w="1741"/>
        <w:gridCol w:w="2114"/>
        <w:gridCol w:w="849"/>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trPr>
        <w:tc>
          <w:tcPr>
            <w:tcW w:w="493" w:type="pct"/>
            <w:shd w:val="clear" w:color="auto" w:fill="A8D08D"/>
            <w:noWrap w:val="0"/>
            <w:vAlign w:val="top"/>
          </w:tcPr>
          <w:p>
            <w:pPr>
              <w:spacing w:before="0" w:beforeLines="0" w:after="0" w:afterLines="0"/>
              <w:ind w:firstLine="0" w:firstLineChars="0"/>
              <w:jc w:val="center"/>
              <w:rPr>
                <w:rFonts w:ascii="仿宋" w:hAnsi="仿宋" w:eastAsia="仿宋"/>
                <w:b/>
                <w:bCs/>
                <w:kern w:val="0"/>
                <w:sz w:val="24"/>
                <w:lang w:eastAsia="en-US"/>
              </w:rPr>
            </w:pPr>
            <w:r>
              <w:rPr>
                <w:rFonts w:ascii="仿宋" w:hAnsi="仿宋" w:eastAsia="仿宋"/>
                <w:b/>
                <w:bCs/>
                <w:kern w:val="0"/>
                <w:sz w:val="24"/>
                <w:lang w:eastAsia="en-US"/>
              </w:rPr>
              <w:t>序号</w:t>
            </w:r>
          </w:p>
        </w:tc>
        <w:tc>
          <w:tcPr>
            <w:tcW w:w="1748" w:type="pct"/>
            <w:shd w:val="clear" w:color="auto" w:fill="A8D08D"/>
            <w:noWrap w:val="0"/>
            <w:vAlign w:val="top"/>
          </w:tcPr>
          <w:p>
            <w:pPr>
              <w:spacing w:before="0" w:beforeLines="0" w:after="0" w:afterLines="0"/>
              <w:ind w:firstLine="0" w:firstLineChars="0"/>
              <w:jc w:val="center"/>
              <w:rPr>
                <w:rFonts w:ascii="仿宋" w:hAnsi="仿宋" w:eastAsia="仿宋"/>
                <w:b/>
                <w:bCs/>
                <w:kern w:val="0"/>
                <w:sz w:val="24"/>
                <w:lang w:eastAsia="en-US"/>
              </w:rPr>
            </w:pPr>
            <w:r>
              <w:rPr>
                <w:rFonts w:ascii="仿宋" w:hAnsi="仿宋" w:eastAsia="仿宋"/>
                <w:b/>
                <w:bCs/>
                <w:kern w:val="0"/>
                <w:sz w:val="24"/>
                <w:lang w:eastAsia="en-US"/>
              </w:rPr>
              <w:t>名称</w:t>
            </w:r>
          </w:p>
        </w:tc>
        <w:tc>
          <w:tcPr>
            <w:tcW w:w="1020" w:type="pct"/>
            <w:shd w:val="clear" w:color="auto" w:fill="A8D08D"/>
            <w:noWrap w:val="0"/>
            <w:vAlign w:val="top"/>
          </w:tcPr>
          <w:p>
            <w:pPr>
              <w:spacing w:before="0" w:beforeLines="0" w:after="0" w:afterLines="0"/>
              <w:ind w:firstLine="0" w:firstLineChars="0"/>
              <w:jc w:val="center"/>
              <w:rPr>
                <w:rFonts w:ascii="仿宋" w:hAnsi="仿宋" w:eastAsia="仿宋"/>
                <w:b/>
                <w:bCs/>
                <w:kern w:val="0"/>
                <w:sz w:val="24"/>
              </w:rPr>
            </w:pPr>
            <w:r>
              <w:rPr>
                <w:rFonts w:hint="eastAsia" w:ascii="仿宋" w:hAnsi="仿宋" w:eastAsia="仿宋"/>
                <w:b/>
                <w:bCs/>
                <w:kern w:val="0"/>
                <w:sz w:val="24"/>
              </w:rPr>
              <w:t>性质</w:t>
            </w:r>
          </w:p>
        </w:tc>
        <w:tc>
          <w:tcPr>
            <w:tcW w:w="1239" w:type="pct"/>
            <w:shd w:val="clear" w:color="auto" w:fill="A8D08D"/>
            <w:noWrap w:val="0"/>
            <w:vAlign w:val="top"/>
          </w:tcPr>
          <w:p>
            <w:pPr>
              <w:spacing w:before="0" w:beforeLines="0" w:after="0" w:afterLines="0"/>
              <w:ind w:firstLine="0" w:firstLineChars="0"/>
              <w:jc w:val="center"/>
              <w:rPr>
                <w:rFonts w:ascii="仿宋" w:hAnsi="仿宋" w:eastAsia="仿宋"/>
                <w:b/>
                <w:bCs/>
                <w:kern w:val="0"/>
                <w:sz w:val="24"/>
              </w:rPr>
            </w:pPr>
            <w:r>
              <w:rPr>
                <w:rFonts w:hint="eastAsia" w:ascii="仿宋" w:hAnsi="仿宋" w:eastAsia="仿宋"/>
                <w:b/>
                <w:bCs/>
                <w:kern w:val="0"/>
                <w:sz w:val="24"/>
              </w:rPr>
              <w:t>责任区</w:t>
            </w:r>
          </w:p>
        </w:tc>
        <w:tc>
          <w:tcPr>
            <w:tcW w:w="497" w:type="pct"/>
            <w:shd w:val="clear" w:color="auto" w:fill="A8D08D"/>
            <w:noWrap w:val="0"/>
            <w:vAlign w:val="top"/>
          </w:tcPr>
          <w:p>
            <w:pPr>
              <w:spacing w:before="0" w:beforeLines="0" w:after="0" w:afterLines="0"/>
              <w:ind w:firstLine="0" w:firstLineChars="0"/>
              <w:jc w:val="center"/>
              <w:rPr>
                <w:rFonts w:hint="eastAsia" w:ascii="仿宋" w:hAnsi="仿宋" w:eastAsia="仿宋"/>
                <w:b/>
                <w:bCs/>
                <w:kern w:val="0"/>
                <w:sz w:val="24"/>
                <w:lang w:eastAsia="en-US"/>
              </w:rPr>
            </w:pPr>
            <w:r>
              <w:rPr>
                <w:rFonts w:hint="eastAsia" w:ascii="仿宋" w:hAnsi="仿宋" w:eastAsia="仿宋"/>
                <w:b/>
                <w:bCs/>
                <w:kern w:val="0"/>
                <w:sz w:val="24"/>
                <w:lang w:eastAsia="en-US"/>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ascii="仿宋" w:hAnsi="仿宋" w:eastAsia="仿宋"/>
                <w:kern w:val="0"/>
                <w:sz w:val="24"/>
                <w:lang w:eastAsia="en-US"/>
              </w:rPr>
              <w:t>1</w:t>
            </w:r>
          </w:p>
        </w:tc>
        <w:tc>
          <w:tcPr>
            <w:tcW w:w="1748" w:type="pct"/>
            <w:shd w:val="clear" w:color="auto" w:fill="E2EFD9"/>
            <w:noWrap w:val="0"/>
            <w:vAlign w:val="top"/>
          </w:tcPr>
          <w:p>
            <w:pPr>
              <w:spacing w:before="0" w:beforeLines="0" w:after="0" w:afterLines="0"/>
              <w:ind w:firstLine="0" w:firstLineChars="0"/>
              <w:jc w:val="center"/>
              <w:rPr>
                <w:rFonts w:ascii="仿宋" w:hAnsi="仿宋" w:eastAsia="仿宋"/>
                <w:kern w:val="0"/>
                <w:sz w:val="24"/>
              </w:rPr>
            </w:pPr>
            <w:r>
              <w:rPr>
                <w:rFonts w:hint="eastAsia" w:ascii="仿宋" w:hAnsi="仿宋" w:eastAsia="仿宋"/>
                <w:kern w:val="0"/>
                <w:sz w:val="24"/>
              </w:rPr>
              <w:t>长城村村民志愿消防队</w:t>
            </w:r>
          </w:p>
        </w:tc>
        <w:tc>
          <w:tcPr>
            <w:tcW w:w="1020"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长城村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ascii="仿宋" w:hAnsi="仿宋" w:eastAsia="仿宋"/>
                <w:kern w:val="0"/>
                <w:sz w:val="24"/>
                <w:lang w:eastAsia="en-US"/>
              </w:rPr>
              <w:t>2</w:t>
            </w:r>
          </w:p>
        </w:tc>
        <w:tc>
          <w:tcPr>
            <w:tcW w:w="1748" w:type="pct"/>
            <w:shd w:val="clear" w:color="auto" w:fill="E2EFD9"/>
            <w:noWrap w:val="0"/>
            <w:vAlign w:val="top"/>
          </w:tcPr>
          <w:p>
            <w:pPr>
              <w:spacing w:before="0" w:beforeLines="0" w:after="0" w:afterLines="0"/>
              <w:ind w:firstLine="0" w:firstLineChars="0"/>
              <w:jc w:val="center"/>
              <w:rPr>
                <w:rFonts w:ascii="仿宋" w:hAnsi="仿宋" w:eastAsia="仿宋"/>
                <w:kern w:val="0"/>
                <w:sz w:val="24"/>
              </w:rPr>
            </w:pPr>
            <w:r>
              <w:rPr>
                <w:rFonts w:hint="eastAsia" w:ascii="仿宋" w:hAnsi="仿宋" w:eastAsia="仿宋"/>
                <w:kern w:val="0"/>
                <w:sz w:val="24"/>
              </w:rPr>
              <w:t>沟沿村村民志愿消防队</w:t>
            </w:r>
          </w:p>
        </w:tc>
        <w:tc>
          <w:tcPr>
            <w:tcW w:w="1020"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沟沿村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ascii="仿宋" w:hAnsi="仿宋" w:eastAsia="仿宋"/>
                <w:kern w:val="0"/>
                <w:sz w:val="24"/>
                <w:lang w:eastAsia="en-US"/>
              </w:rPr>
              <w:t>3</w:t>
            </w:r>
          </w:p>
        </w:tc>
        <w:tc>
          <w:tcPr>
            <w:tcW w:w="1748" w:type="pct"/>
            <w:shd w:val="clear" w:color="auto" w:fill="E2EFD9"/>
            <w:noWrap w:val="0"/>
            <w:vAlign w:val="top"/>
          </w:tcPr>
          <w:p>
            <w:pPr>
              <w:spacing w:before="0" w:beforeLines="0" w:after="0" w:afterLines="0"/>
              <w:ind w:firstLine="0" w:firstLineChars="0"/>
              <w:jc w:val="center"/>
              <w:rPr>
                <w:rFonts w:ascii="仿宋" w:hAnsi="仿宋" w:eastAsia="仿宋"/>
                <w:kern w:val="0"/>
                <w:sz w:val="24"/>
              </w:rPr>
            </w:pPr>
            <w:r>
              <w:rPr>
                <w:rFonts w:hint="eastAsia" w:ascii="仿宋" w:hAnsi="仿宋" w:eastAsia="仿宋"/>
                <w:kern w:val="0"/>
                <w:sz w:val="24"/>
              </w:rPr>
              <w:t>佟记圈村村民志愿消防队</w:t>
            </w:r>
          </w:p>
        </w:tc>
        <w:tc>
          <w:tcPr>
            <w:tcW w:w="1020"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佟记圈村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ascii="仿宋" w:hAnsi="仿宋" w:eastAsia="仿宋"/>
                <w:kern w:val="0"/>
                <w:sz w:val="24"/>
                <w:lang w:eastAsia="en-US"/>
              </w:rPr>
              <w:t>4</w:t>
            </w:r>
          </w:p>
        </w:tc>
        <w:tc>
          <w:tcPr>
            <w:tcW w:w="1748" w:type="pct"/>
            <w:shd w:val="clear" w:color="auto" w:fill="E2EFD9"/>
            <w:noWrap w:val="0"/>
            <w:vAlign w:val="top"/>
          </w:tcPr>
          <w:p>
            <w:pPr>
              <w:spacing w:before="0" w:beforeLines="0" w:after="0" w:afterLines="0"/>
              <w:ind w:firstLine="0" w:firstLineChars="0"/>
              <w:jc w:val="center"/>
              <w:rPr>
                <w:rFonts w:ascii="仿宋" w:hAnsi="仿宋" w:eastAsia="仿宋"/>
                <w:kern w:val="0"/>
                <w:sz w:val="24"/>
              </w:rPr>
            </w:pPr>
            <w:r>
              <w:rPr>
                <w:rFonts w:hint="eastAsia" w:ascii="仿宋" w:hAnsi="仿宋" w:eastAsia="仿宋"/>
                <w:kern w:val="0"/>
                <w:sz w:val="24"/>
              </w:rPr>
              <w:t>四墩子村村民志愿消防队</w:t>
            </w:r>
          </w:p>
        </w:tc>
        <w:tc>
          <w:tcPr>
            <w:tcW w:w="1020"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四墩子村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ascii="仿宋" w:hAnsi="仿宋" w:eastAsia="仿宋"/>
                <w:kern w:val="0"/>
                <w:sz w:val="24"/>
                <w:lang w:eastAsia="en-US"/>
              </w:rPr>
              <w:t>5</w:t>
            </w:r>
          </w:p>
        </w:tc>
        <w:tc>
          <w:tcPr>
            <w:tcW w:w="1748" w:type="pct"/>
            <w:shd w:val="clear" w:color="auto" w:fill="E2EFD9"/>
            <w:noWrap w:val="0"/>
            <w:vAlign w:val="top"/>
          </w:tcPr>
          <w:p>
            <w:pPr>
              <w:spacing w:before="0" w:beforeLines="0" w:after="0" w:afterLines="0"/>
              <w:ind w:firstLine="0" w:firstLineChars="0"/>
              <w:jc w:val="center"/>
              <w:rPr>
                <w:rFonts w:ascii="仿宋" w:hAnsi="仿宋" w:eastAsia="仿宋"/>
                <w:kern w:val="0"/>
                <w:sz w:val="24"/>
              </w:rPr>
            </w:pPr>
            <w:r>
              <w:rPr>
                <w:rFonts w:hint="eastAsia" w:ascii="仿宋" w:hAnsi="仿宋" w:eastAsia="仿宋"/>
                <w:kern w:val="0"/>
                <w:sz w:val="24"/>
              </w:rPr>
              <w:t>田记掌村村民志愿消防队</w:t>
            </w:r>
          </w:p>
        </w:tc>
        <w:tc>
          <w:tcPr>
            <w:tcW w:w="1020"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田记掌村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6</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八岔梁村村民志愿消防队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八岔梁村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7</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郭记沟村村民志愿消防队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郭记沟村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8</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柳杨堡村村民志愿消防队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柳杨堡村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9</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皖记沟村村民志愿消防队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皖记沟村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0</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沙边子村村民志愿消防队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沙边子村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1</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东塘村村民志愿消防队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东塘村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2</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冒寨子村村民志愿消防队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冒寨子村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3</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李记沟村村民志愿消防队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李记沟村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4</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红沟梁村村民志愿消防队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红沟梁村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5</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高利乌苏村村民志愿消防队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高利乌苏村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6</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苏步井村村民志愿消防队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苏步井村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7</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李华台村村民志愿消防队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李华台村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8</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芨芨沟村村民志愿消防队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芨芨沟村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3"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9</w:t>
            </w:r>
          </w:p>
        </w:tc>
        <w:tc>
          <w:tcPr>
            <w:tcW w:w="1748"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硝池子村村民志愿消防队</w:t>
            </w:r>
          </w:p>
        </w:tc>
        <w:tc>
          <w:tcPr>
            <w:tcW w:w="1020"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硝池子村</w:t>
            </w:r>
          </w:p>
        </w:tc>
        <w:tc>
          <w:tcPr>
            <w:tcW w:w="497" w:type="pct"/>
            <w:shd w:val="clear" w:color="auto" w:fill="E2EFD9"/>
            <w:noWrap w:val="0"/>
            <w:vAlign w:val="top"/>
          </w:tcPr>
          <w:p>
            <w:pPr>
              <w:spacing w:before="0" w:beforeLines="0" w:after="0" w:afterLines="0"/>
              <w:ind w:firstLine="0" w:firstLineChars="0"/>
              <w:jc w:val="center"/>
              <w:rPr>
                <w:rFonts w:hint="eastAsia" w:ascii="仿宋" w:hAnsi="仿宋" w:eastAsia="仿宋"/>
                <w:kern w:val="0"/>
                <w:sz w:val="24"/>
                <w:lang w:eastAsia="en-US"/>
              </w:rPr>
            </w:pPr>
          </w:p>
        </w:tc>
      </w:tr>
    </w:tbl>
    <w:p>
      <w:pPr>
        <w:numPr>
          <w:ilvl w:val="0"/>
          <w:numId w:val="2"/>
        </w:numPr>
        <w:spacing w:before="0" w:beforeLines="0" w:after="0" w:afterLines="0"/>
        <w:ind w:firstLineChars="0"/>
        <w:jc w:val="left"/>
        <w:rPr>
          <w:rFonts w:ascii="宋体" w:hAnsi="宋体" w:cs="宋体"/>
          <w:szCs w:val="28"/>
        </w:rPr>
      </w:pPr>
      <w:r>
        <w:rPr>
          <w:rFonts w:hint="eastAsia" w:ascii="宋体" w:hAnsi="宋体" w:cs="宋体"/>
          <w:szCs w:val="28"/>
        </w:rPr>
        <w:t>镇域农村消防安全指引</w:t>
      </w:r>
    </w:p>
    <w:p>
      <w:pPr>
        <w:spacing w:before="0" w:beforeLines="0" w:after="0" w:afterLines="0"/>
        <w:ind w:firstLine="560"/>
        <w:jc w:val="left"/>
        <w:rPr>
          <w:rFonts w:hint="eastAsia" w:ascii="宋体" w:hAnsi="宋体" w:cs="宋体"/>
          <w:szCs w:val="28"/>
        </w:rPr>
      </w:pPr>
      <w:r>
        <w:rPr>
          <w:rFonts w:ascii="宋体" w:hAnsi="宋体" w:cs="宋体"/>
          <w:szCs w:val="28"/>
        </w:rPr>
        <w:t>1</w:t>
      </w:r>
      <w:r>
        <w:rPr>
          <w:rFonts w:hint="eastAsia" w:ascii="宋体" w:hAnsi="宋体" w:cs="宋体"/>
          <w:szCs w:val="28"/>
        </w:rPr>
        <w:t>：结合美丽村庄规划建设整治，计划地逐步改造建筑耐火等级低、防火间距小、房屋连片集中、火灾隐患大的村庄，改善消防安全条件。</w:t>
      </w:r>
    </w:p>
    <w:p>
      <w:pPr>
        <w:spacing w:before="0" w:beforeLines="0" w:after="0" w:afterLines="0"/>
        <w:ind w:firstLine="560"/>
        <w:jc w:val="left"/>
        <w:rPr>
          <w:rFonts w:hint="eastAsia" w:ascii="宋体" w:hAnsi="宋体" w:cs="宋体"/>
          <w:szCs w:val="28"/>
        </w:rPr>
      </w:pPr>
      <w:r>
        <w:rPr>
          <w:rFonts w:hint="eastAsia" w:ascii="宋体" w:hAnsi="宋体" w:cs="宋体"/>
          <w:szCs w:val="28"/>
        </w:rPr>
        <w:t>2：利用村庄宣传栏、标语墙等宣传平台，加强农村消防安全知识宣传教育，切实提高村民消防安全意识。</w:t>
      </w:r>
    </w:p>
    <w:p>
      <w:pPr>
        <w:spacing w:before="0" w:beforeLines="0" w:after="0" w:afterLines="0"/>
        <w:ind w:firstLine="560"/>
        <w:jc w:val="left"/>
        <w:rPr>
          <w:rFonts w:hint="eastAsia" w:ascii="宋体" w:hAnsi="宋体" w:cs="宋体"/>
          <w:szCs w:val="28"/>
        </w:rPr>
      </w:pPr>
      <w:r>
        <w:rPr>
          <w:rFonts w:hint="eastAsia" w:ascii="宋体" w:hAnsi="宋体" w:cs="宋体"/>
          <w:szCs w:val="28"/>
        </w:rPr>
        <w:t>3：引导村民规范堆放草垛、农作物秸秆等易燃物品，并与农宅保持一定的消防安全距离。定期普及农村安全用火、用电常识，禁止农村随意焚烧农作物秸秆，杜绝焚烧秸秆引起的农村火灾。</w:t>
      </w:r>
    </w:p>
    <w:p>
      <w:pPr>
        <w:spacing w:before="0" w:beforeLines="0" w:after="0" w:afterLines="0"/>
        <w:ind w:firstLine="560"/>
        <w:jc w:val="left"/>
        <w:rPr>
          <w:rFonts w:ascii="宋体" w:hAnsi="宋体" w:cs="宋体"/>
          <w:szCs w:val="28"/>
        </w:rPr>
      </w:pPr>
      <w:r>
        <w:rPr>
          <w:rFonts w:ascii="宋体" w:hAnsi="宋体" w:cs="宋体"/>
          <w:szCs w:val="28"/>
        </w:rPr>
        <w:t>4</w:t>
      </w:r>
      <w:r>
        <w:rPr>
          <w:rFonts w:hint="eastAsia" w:ascii="宋体" w:hAnsi="宋体" w:cs="宋体"/>
          <w:szCs w:val="28"/>
        </w:rPr>
        <w:t>：农村加油站、燃气充气站点、易燃易爆化学危险品储存场所、以及粮食、秸杆等农产品场院和仓库，应当符合国家有关消防安全的规定，有针对性地制定和落实消防安全措施。</w:t>
      </w:r>
    </w:p>
    <w:p>
      <w:pPr>
        <w:spacing w:before="0" w:beforeLines="0" w:after="0" w:afterLines="0"/>
        <w:ind w:firstLine="560"/>
        <w:jc w:val="left"/>
        <w:rPr>
          <w:rFonts w:hint="eastAsia" w:ascii="宋体" w:hAnsi="宋体" w:cs="宋体"/>
          <w:szCs w:val="28"/>
        </w:rPr>
      </w:pPr>
      <w:r>
        <w:rPr>
          <w:rFonts w:hint="eastAsia" w:ascii="宋体" w:hAnsi="宋体" w:cs="宋体"/>
          <w:szCs w:val="28"/>
        </w:rPr>
        <w:t>（三）农村消防水源规划</w:t>
      </w:r>
    </w:p>
    <w:p>
      <w:pPr>
        <w:widowControl/>
        <w:spacing w:before="190" w:after="190"/>
        <w:ind w:firstLine="560"/>
        <w:jc w:val="left"/>
        <w:rPr>
          <w:rFonts w:hint="eastAsia" w:ascii="宋体" w:hAnsi="宋体" w:cs="宋体"/>
          <w:szCs w:val="28"/>
        </w:rPr>
      </w:pPr>
      <w:r>
        <w:rPr>
          <w:rFonts w:hint="eastAsia" w:ascii="宋体" w:hAnsi="宋体" w:cs="宋体"/>
          <w:szCs w:val="28"/>
        </w:rPr>
        <w:t>加强农村消防水源建设。供水部门在建设农村给水管网时，应当同时建设公共消火栓，并满足消防用水的需要。规划每个中心村建设一处消防应急水源，具体建设形式应针对不同村庄情况确定。</w:t>
      </w:r>
    </w:p>
    <w:p>
      <w:pPr>
        <w:spacing w:before="0" w:beforeLines="0" w:after="0" w:afterLines="0"/>
        <w:ind w:firstLine="560"/>
        <w:jc w:val="left"/>
        <w:rPr>
          <w:rFonts w:hint="eastAsia" w:ascii="宋体" w:hAnsi="宋体" w:cs="宋体"/>
          <w:szCs w:val="28"/>
        </w:rPr>
      </w:pPr>
      <w:r>
        <w:rPr>
          <w:rFonts w:hint="eastAsia" w:ascii="宋体" w:hAnsi="宋体" w:cs="宋体"/>
          <w:szCs w:val="28"/>
        </w:rPr>
        <w:t>（四）农村消防通道规划</w:t>
      </w:r>
    </w:p>
    <w:p>
      <w:pPr>
        <w:spacing w:before="190" w:after="190"/>
        <w:ind w:firstLine="560"/>
        <w:rPr>
          <w:rFonts w:hint="eastAsia" w:ascii="宋体" w:hAnsi="宋体"/>
        </w:rPr>
      </w:pPr>
      <w:r>
        <w:rPr>
          <w:rFonts w:hint="eastAsia" w:ascii="宋体" w:hAnsi="宋体" w:cs="宋体"/>
          <w:szCs w:val="28"/>
        </w:rPr>
        <w:t>规划结合村庄建设整治，逐步改善村庄道路交通条件，满足消防灭火车辆通行</w:t>
      </w:r>
    </w:p>
    <w:p>
      <w:pPr>
        <w:pStyle w:val="2"/>
        <w:spacing w:before="190" w:after="190"/>
        <w:jc w:val="center"/>
        <w:rPr>
          <w:rFonts w:ascii="宋体" w:hAnsi="宋体"/>
        </w:rPr>
      </w:pPr>
      <w:bookmarkStart w:id="18" w:name="_Toc89525978"/>
      <w:bookmarkStart w:id="19" w:name="_Toc2173"/>
      <w:bookmarkStart w:id="20" w:name="_Toc89524721"/>
      <w:bookmarkStart w:id="21" w:name="_Toc89526162"/>
      <w:bookmarkStart w:id="22" w:name="_Toc31944"/>
      <w:bookmarkStart w:id="23" w:name="_Toc1735"/>
      <w:r>
        <w:rPr>
          <w:rFonts w:hint="eastAsia" w:ascii="宋体" w:hAnsi="宋体"/>
        </w:rPr>
        <w:t>第四章   城市消防安全布局规划</w:t>
      </w:r>
      <w:bookmarkEnd w:id="18"/>
      <w:bookmarkEnd w:id="19"/>
      <w:bookmarkEnd w:id="20"/>
      <w:bookmarkEnd w:id="21"/>
      <w:bookmarkEnd w:id="22"/>
      <w:bookmarkEnd w:id="23"/>
    </w:p>
    <w:p>
      <w:pPr>
        <w:spacing w:before="190" w:after="190"/>
        <w:ind w:firstLine="562"/>
        <w:rPr>
          <w:rFonts w:ascii="宋体" w:hAnsi="宋体"/>
          <w:b/>
        </w:rPr>
      </w:pPr>
      <w:r>
        <w:rPr>
          <w:rFonts w:hint="eastAsia" w:ascii="宋体" w:hAnsi="宋体"/>
          <w:b/>
        </w:rPr>
        <w:t>第二十条：城市工业</w:t>
      </w:r>
      <w:r>
        <w:rPr>
          <w:rFonts w:hint="eastAsia" w:ascii="宋体" w:hAnsi="宋体"/>
          <w:b/>
          <w:szCs w:val="30"/>
        </w:rPr>
        <w:t>用地</w:t>
      </w:r>
      <w:r>
        <w:rPr>
          <w:rFonts w:hint="eastAsia" w:ascii="宋体" w:hAnsi="宋体"/>
          <w:b/>
        </w:rPr>
        <w:t>消防安全布局规划</w:t>
      </w:r>
    </w:p>
    <w:p>
      <w:pPr>
        <w:spacing w:before="190" w:after="190"/>
        <w:ind w:firstLine="562"/>
        <w:rPr>
          <w:rFonts w:ascii="宋体" w:hAnsi="宋体"/>
          <w:b/>
        </w:rPr>
      </w:pPr>
      <w:r>
        <w:rPr>
          <w:rFonts w:hint="eastAsia" w:ascii="宋体" w:hAnsi="宋体"/>
          <w:b/>
        </w:rPr>
        <w:t>（一）规划工业用地集中布置于城区东部，在工业区东部主要布置二类、三类工业用地，形成以宁鲁石化等能源化工企业为主的产业园区；盐川大道以西至东顺路，主要布置一类工业用地。位于老城区影响城市消防安全的工厂、仓库，采取限期迁移或改变生产使用性质等措施，消除不安全因素。</w:t>
      </w:r>
    </w:p>
    <w:p>
      <w:pPr>
        <w:spacing w:before="190" w:after="190"/>
        <w:ind w:firstLine="562"/>
        <w:rPr>
          <w:rFonts w:ascii="宋体" w:hAnsi="宋体"/>
          <w:b/>
        </w:rPr>
      </w:pPr>
      <w:r>
        <w:rPr>
          <w:rFonts w:hint="eastAsia" w:ascii="宋体" w:hAnsi="宋体"/>
          <w:b/>
        </w:rPr>
        <w:t>（二）新建工业企业全部集中布置在城市东部工业用地集中区内，控制危化企业入驻规模，工业区与城市居民区之间应布置一定安全距离的隔离带，阻止火灾蔓盐。</w:t>
      </w:r>
    </w:p>
    <w:p>
      <w:pPr>
        <w:spacing w:before="190" w:after="190"/>
        <w:ind w:firstLine="562"/>
        <w:rPr>
          <w:rFonts w:ascii="宋体" w:hAnsi="宋体"/>
          <w:b/>
        </w:rPr>
      </w:pPr>
      <w:r>
        <w:rPr>
          <w:rFonts w:hint="eastAsia" w:ascii="宋体" w:hAnsi="宋体"/>
          <w:b/>
        </w:rPr>
        <w:t>（三）规划期内，改造升级花马池站，达到一级普通兼化工特勤站标准；城市东部工业园区西侧新增1座一级普通消防站，以保障工业园区的消防救援需要。</w:t>
      </w:r>
    </w:p>
    <w:p>
      <w:pPr>
        <w:spacing w:before="190" w:after="190"/>
        <w:ind w:firstLine="562"/>
        <w:rPr>
          <w:rFonts w:ascii="宋体" w:hAnsi="宋体"/>
          <w:b/>
        </w:rPr>
      </w:pPr>
      <w:bookmarkStart w:id="24" w:name="_Toc36114539"/>
      <w:r>
        <w:rPr>
          <w:rFonts w:hint="eastAsia" w:ascii="宋体" w:hAnsi="宋体"/>
          <w:b/>
        </w:rPr>
        <w:t>第二十一条：城市仓储用地消防安全布局</w:t>
      </w:r>
      <w:bookmarkEnd w:id="24"/>
      <w:r>
        <w:rPr>
          <w:rFonts w:hint="eastAsia" w:ascii="宋体" w:hAnsi="宋体"/>
          <w:b/>
        </w:rPr>
        <w:t>规划</w:t>
      </w:r>
    </w:p>
    <w:p>
      <w:pPr>
        <w:spacing w:before="190" w:after="190"/>
        <w:ind w:firstLine="562"/>
        <w:rPr>
          <w:rFonts w:ascii="宋体" w:hAnsi="宋体"/>
          <w:b/>
        </w:rPr>
      </w:pPr>
      <w:r>
        <w:rPr>
          <w:rFonts w:hint="eastAsia" w:ascii="宋体" w:hAnsi="宋体"/>
          <w:b/>
        </w:rPr>
        <w:t>（一）规划在城市东部工业园区南部集中布置为工业服务的仓储区，在高速公路以北建设综合物流园区。易燃易爆化学危险物品仓库应布置在城市边缘独立安全地带，合理布置仓储用地功能分区，不同类型货物分类集中存放，满足消防要求。</w:t>
      </w:r>
    </w:p>
    <w:p>
      <w:pPr>
        <w:spacing w:before="190" w:after="190"/>
        <w:ind w:firstLine="562"/>
        <w:rPr>
          <w:rFonts w:ascii="宋体" w:hAnsi="宋体"/>
          <w:b/>
        </w:rPr>
      </w:pPr>
      <w:r>
        <w:rPr>
          <w:rFonts w:hint="eastAsia" w:ascii="宋体" w:hAnsi="宋体"/>
          <w:b/>
        </w:rPr>
        <w:t>（二）大型危险品仓库应配备企业专职消防队。危险品仓储区与其它用地应保持一定的消防安全距离，危险品仓储区的建筑、结构、电器设备、防雷设施等应满足有关消防技术规范要求。</w:t>
      </w:r>
    </w:p>
    <w:p>
      <w:pPr>
        <w:spacing w:before="190" w:after="190"/>
        <w:ind w:firstLine="560"/>
        <w:rPr>
          <w:rFonts w:ascii="宋体" w:hAnsi="宋体"/>
        </w:rPr>
      </w:pPr>
      <w:r>
        <w:rPr>
          <w:rFonts w:hint="eastAsia" w:ascii="宋体" w:hAnsi="宋体"/>
        </w:rPr>
        <w:t>第二十二条：城市燃气消防安全布局规划</w:t>
      </w:r>
    </w:p>
    <w:p>
      <w:pPr>
        <w:spacing w:before="190" w:after="190"/>
        <w:ind w:firstLine="560"/>
        <w:jc w:val="left"/>
        <w:rPr>
          <w:rFonts w:ascii="宋体" w:hAnsi="宋体"/>
        </w:rPr>
      </w:pPr>
      <w:r>
        <w:rPr>
          <w:rFonts w:hint="eastAsia" w:ascii="宋体" w:hAnsi="宋体"/>
        </w:rPr>
        <w:t xml:space="preserve">（一）规划保留现状位于盐柳路东侧的长宁天然气盐池分输清管站，城市燃气气源以天然气为主，液化石油气为辅，天然气采用管道方式供气。    </w:t>
      </w:r>
    </w:p>
    <w:p>
      <w:pPr>
        <w:spacing w:before="190" w:after="190"/>
        <w:ind w:firstLine="560"/>
        <w:rPr>
          <w:rFonts w:ascii="宋体" w:hAnsi="宋体"/>
        </w:rPr>
      </w:pPr>
      <w:r>
        <w:rPr>
          <w:rFonts w:hint="eastAsia" w:ascii="宋体" w:hAnsi="宋体"/>
        </w:rPr>
        <w:t>（二）</w:t>
      </w:r>
      <w:r>
        <w:rPr>
          <w:rFonts w:ascii="宋体" w:hAnsi="宋体"/>
        </w:rPr>
        <w:t>积极发展燃气管道供气，规范、整顿瓶装液化石油气供气点</w:t>
      </w:r>
      <w:r>
        <w:rPr>
          <w:rFonts w:hint="eastAsia" w:ascii="宋体" w:hAnsi="宋体"/>
        </w:rPr>
        <w:t>，确保满足消防安全。</w:t>
      </w:r>
    </w:p>
    <w:p>
      <w:pPr>
        <w:spacing w:before="190" w:after="190"/>
        <w:ind w:firstLine="560"/>
        <w:rPr>
          <w:rFonts w:ascii="宋体" w:hAnsi="宋体"/>
        </w:rPr>
      </w:pPr>
      <w:r>
        <w:rPr>
          <w:rFonts w:hint="eastAsia" w:ascii="宋体" w:hAnsi="宋体"/>
        </w:rPr>
        <w:t>（三）规划天然气管道城网系统采用中压——低压供气系统，燃气主干管道布置成环状，直埋铺设，新建天然气管道宜采用PE管。进一步提高天然气输配系统信息化管理水平，满足运行、调度与安全供气要求。</w:t>
      </w:r>
    </w:p>
    <w:p>
      <w:pPr>
        <w:spacing w:before="190" w:after="190"/>
        <w:ind w:firstLine="560"/>
        <w:rPr>
          <w:rFonts w:ascii="宋体" w:hAnsi="宋体"/>
        </w:rPr>
      </w:pPr>
      <w:r>
        <w:rPr>
          <w:rFonts w:hint="eastAsia" w:ascii="宋体" w:hAnsi="宋体"/>
        </w:rPr>
        <w:t>第二十三条：城市加油加气站消防安全布局规划</w:t>
      </w:r>
    </w:p>
    <w:p>
      <w:pPr>
        <w:spacing w:before="190" w:after="190"/>
        <w:ind w:firstLine="562"/>
        <w:rPr>
          <w:rFonts w:ascii="宋体" w:hAnsi="宋体"/>
          <w:b/>
        </w:rPr>
      </w:pPr>
      <w:r>
        <w:rPr>
          <w:rFonts w:hint="eastAsia" w:ascii="宋体" w:hAnsi="宋体"/>
          <w:b/>
        </w:rPr>
        <w:t>（一）严格控制城市加油、加气站用地规模，加气站应选择敷设有燃气主干线的地段，有条件的可以和加油站合并建设。</w:t>
      </w:r>
    </w:p>
    <w:p>
      <w:pPr>
        <w:spacing w:before="190" w:after="190"/>
        <w:ind w:firstLine="562"/>
        <w:rPr>
          <w:rFonts w:ascii="宋体" w:hAnsi="宋体"/>
          <w:b/>
        </w:rPr>
      </w:pPr>
      <w:r>
        <w:rPr>
          <w:rFonts w:hint="eastAsia" w:ascii="宋体" w:hAnsi="宋体"/>
          <w:b/>
        </w:rPr>
        <w:t>（二）城市建成区不宜建一级加油站、一级加气站、一级加油加气合建站、CNG加气母站。</w:t>
      </w:r>
    </w:p>
    <w:p>
      <w:pPr>
        <w:spacing w:before="190" w:after="190"/>
        <w:ind w:firstLine="562"/>
        <w:rPr>
          <w:rFonts w:ascii="宋体" w:hAnsi="宋体"/>
          <w:b/>
        </w:rPr>
      </w:pPr>
      <w:r>
        <w:rPr>
          <w:rFonts w:hint="eastAsia" w:ascii="宋体" w:hAnsi="宋体"/>
          <w:b/>
        </w:rPr>
        <w:t>（三）规划期内，保留城市盐林路与民族街交叉路口附近1座加油站，其他2座加油、加气站搬迁至城市外围。规划新建加油、加气站各一座，新建加油加气站主要布置在城市新建区域和城市对外交通出入口处。</w:t>
      </w:r>
    </w:p>
    <w:p>
      <w:pPr>
        <w:spacing w:before="190" w:after="190"/>
        <w:ind w:firstLine="562"/>
        <w:rPr>
          <w:rFonts w:ascii="宋体" w:hAnsi="宋体"/>
          <w:b/>
        </w:rPr>
      </w:pPr>
      <w:r>
        <w:rPr>
          <w:rFonts w:hint="eastAsia" w:ascii="宋体" w:hAnsi="宋体"/>
          <w:b/>
        </w:rPr>
        <w:t>（四）规划城市加油加气站19座，其中加油站11座、加气站4座、加油加气合建站4座。</w:t>
      </w:r>
    </w:p>
    <w:p>
      <w:pPr>
        <w:spacing w:before="0" w:beforeLines="0" w:after="0" w:afterLines="0"/>
        <w:ind w:firstLine="0" w:firstLineChars="0"/>
        <w:jc w:val="center"/>
        <w:rPr>
          <w:rFonts w:ascii="仿宋" w:hAnsi="仿宋" w:eastAsia="仿宋"/>
          <w:sz w:val="24"/>
        </w:rPr>
      </w:pPr>
      <w:r>
        <w:rPr>
          <w:rFonts w:hint="eastAsia" w:ascii="仿宋" w:hAnsi="仿宋" w:eastAsia="仿宋"/>
          <w:sz w:val="24"/>
        </w:rPr>
        <w:t>规划加油加气站一览表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Layout w:type="autofit"/>
        <w:tblCellMar>
          <w:top w:w="0" w:type="dxa"/>
          <w:left w:w="108" w:type="dxa"/>
          <w:bottom w:w="0" w:type="dxa"/>
          <w:right w:w="108" w:type="dxa"/>
        </w:tblCellMar>
      </w:tblPr>
      <w:tblGrid>
        <w:gridCol w:w="597"/>
        <w:gridCol w:w="3265"/>
        <w:gridCol w:w="2540"/>
        <w:gridCol w:w="970"/>
        <w:gridCol w:w="1156"/>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blHeader/>
          <w:jc w:val="center"/>
        </w:trPr>
        <w:tc>
          <w:tcPr>
            <w:tcW w:w="350"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序号</w:t>
            </w:r>
          </w:p>
        </w:tc>
        <w:tc>
          <w:tcPr>
            <w:tcW w:w="1914"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加油、加气站名称</w:t>
            </w:r>
          </w:p>
        </w:tc>
        <w:tc>
          <w:tcPr>
            <w:tcW w:w="1489"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位置</w:t>
            </w:r>
          </w:p>
        </w:tc>
        <w:tc>
          <w:tcPr>
            <w:tcW w:w="569"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类型</w:t>
            </w:r>
          </w:p>
        </w:tc>
        <w:tc>
          <w:tcPr>
            <w:tcW w:w="678"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规划建议</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宁夏盐池生茂燃气服务有限公司加油加气站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盐州路与南二环路交汇处西北侧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合建站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2</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铭仑能源加油加气站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民族西街以北、五原路以西</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合建站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3</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中石化盐池西门加油加气站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民族西街与西二环交汇处北侧、307国道西侧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合建站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4</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盐池县北环加油加气站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北环南侧、福州路东侧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合建站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正在建设</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5</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中石油盐池盐兴加油站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盐林南路与广惠西街交汇处东北侧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6</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中石油盐池东门加油站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东顺路与民族西街交汇处西北侧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7</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中石油盐池长城加油站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民族西街与后卫南路交汇处东北侧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8</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中石油盐池裕源丰加油站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民族西街以北、五原北路以西</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9</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中石化盐池东星加油站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民族西街与振兴路交汇处西北侧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10</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中石化盐池南门加油站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南环路与福州路交汇处东北侧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11</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中石化盐池东门加油站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盐池县城东门青年创业园向东500米处</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12</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中石化南环加油站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凝翠路路与盐川大道交汇处东北侧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13</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中国油联加油站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县城东侧、307国道南侧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14</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银青高速盐池服务区加油站（南）</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银青高速盐池服务区（南）</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15</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银青高速盐池服务区加油站（北）</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银青高速盐池服务区（北）</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16</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盐池县荣兴加气站（有限公司）第一分公司</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盐柳路东侧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17</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盐池县荣兴加气南站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五原南路以西、广惠街以北</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18</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中石油盐池西门加油站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民族街与盐林路交汇处西南侧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规划搬迁</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19</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盐池县荣兴加气站（有限公司）第三分公司</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规划搬迁</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20</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规划加气站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凝翠街与平安大道交汇处西北侧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规划新建</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884" w:hRule="atLeast"/>
          <w:jc w:val="center"/>
        </w:trPr>
        <w:tc>
          <w:tcPr>
            <w:tcW w:w="350"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21</w:t>
            </w:r>
          </w:p>
        </w:tc>
        <w:tc>
          <w:tcPr>
            <w:tcW w:w="1914"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规划加油站</w:t>
            </w:r>
          </w:p>
        </w:tc>
        <w:tc>
          <w:tcPr>
            <w:tcW w:w="148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凝翠街与东顺路交汇处西北侧</w:t>
            </w:r>
          </w:p>
        </w:tc>
        <w:tc>
          <w:tcPr>
            <w:tcW w:w="56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678"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规划新建</w:t>
            </w:r>
          </w:p>
        </w:tc>
      </w:tr>
    </w:tbl>
    <w:p>
      <w:pPr>
        <w:spacing w:before="190" w:after="190"/>
        <w:ind w:firstLine="562"/>
        <w:rPr>
          <w:rFonts w:ascii="宋体" w:hAnsi="宋体"/>
          <w:b/>
        </w:rPr>
      </w:pPr>
      <w:r>
        <w:rPr>
          <w:rFonts w:hint="eastAsia" w:ascii="宋体" w:hAnsi="宋体"/>
          <w:b/>
        </w:rPr>
        <w:t>第二十四条：城市商业服务区消防安全布局规划</w:t>
      </w:r>
    </w:p>
    <w:p>
      <w:pPr>
        <w:spacing w:before="190" w:after="190"/>
        <w:ind w:firstLine="421" w:firstLineChars="150"/>
        <w:rPr>
          <w:rFonts w:ascii="宋体" w:hAnsi="宋体"/>
          <w:b/>
        </w:rPr>
      </w:pPr>
      <w:r>
        <w:rPr>
          <w:rFonts w:hint="eastAsia" w:ascii="宋体" w:hAnsi="宋体"/>
          <w:b/>
        </w:rPr>
        <w:t>（一</w:t>
      </w:r>
      <w:r>
        <w:rPr>
          <w:rFonts w:ascii="宋体" w:hAnsi="宋体"/>
          <w:b/>
        </w:rPr>
        <w:t>）</w:t>
      </w:r>
      <w:r>
        <w:rPr>
          <w:rFonts w:hint="eastAsia" w:ascii="宋体" w:hAnsi="宋体"/>
          <w:b/>
        </w:rPr>
        <w:t>规划逐步改善现有商业、集贸市场的消防设施条件，结合旧城改造计划，在城市商圈周边地段增加机动车停车场，杜绝社会车辆占用消防通道停车的现象，保障消防车通道畅通；改造老旧供水管网、增设消火栓和消防水池，提高建筑耐火等级，改善消防安全条件。</w:t>
      </w:r>
    </w:p>
    <w:p>
      <w:pPr>
        <w:spacing w:before="190" w:after="190"/>
        <w:ind w:firstLine="562"/>
        <w:rPr>
          <w:rFonts w:ascii="宋体" w:hAnsi="宋体"/>
          <w:b/>
        </w:rPr>
      </w:pPr>
      <w:r>
        <w:rPr>
          <w:rFonts w:hint="eastAsia" w:ascii="宋体" w:hAnsi="宋体"/>
          <w:b/>
        </w:rPr>
        <w:t>(二)</w:t>
      </w:r>
      <w:r>
        <w:rPr>
          <w:rFonts w:ascii="宋体" w:hAnsi="宋体"/>
          <w:b/>
        </w:rPr>
        <w:t xml:space="preserve"> </w:t>
      </w:r>
      <w:r>
        <w:rPr>
          <w:rFonts w:hint="eastAsia" w:ascii="宋体" w:hAnsi="宋体"/>
          <w:b/>
        </w:rPr>
        <w:t>规划新建专业市场集中布置在城市的外围，各类专业市场原则上设置在室内，并严格划分市场防火分区，进一步规范市场管理、完善消防设施、避免占道经营，保持消防车道畅通、市政消火栓正常使用。</w:t>
      </w:r>
    </w:p>
    <w:p>
      <w:pPr>
        <w:spacing w:before="190" w:after="190"/>
        <w:ind w:firstLine="562"/>
      </w:pPr>
      <w:r>
        <w:rPr>
          <w:rFonts w:hint="eastAsia"/>
          <w:b/>
        </w:rPr>
        <w:t>（三）新建商场及大型市场建筑耐火等级不得低于二级，严格商场及大型市场规划、建设和施工验收管理程序；对于已建成而未达到规范要求的，应采取行之有效的措施，限期整改，减少火灾隐患，保证消防安全。</w:t>
      </w:r>
    </w:p>
    <w:p>
      <w:pPr>
        <w:spacing w:before="190" w:after="190"/>
        <w:ind w:firstLine="560"/>
        <w:rPr>
          <w:rFonts w:ascii="宋体" w:hAnsi="宋体"/>
        </w:rPr>
      </w:pPr>
      <w:r>
        <w:rPr>
          <w:rFonts w:hint="eastAsia" w:ascii="宋体" w:hAnsi="宋体"/>
        </w:rPr>
        <w:t>第二十五条：城市高层建筑消防安全布局规划</w:t>
      </w:r>
    </w:p>
    <w:p>
      <w:pPr>
        <w:spacing w:before="190" w:after="190"/>
        <w:ind w:firstLine="560"/>
        <w:rPr>
          <w:rFonts w:ascii="宋体" w:hAnsi="宋体"/>
        </w:rPr>
      </w:pPr>
      <w:r>
        <w:rPr>
          <w:rFonts w:hint="eastAsia" w:ascii="宋体" w:hAnsi="宋体"/>
        </w:rPr>
        <w:t>（一）加强城市消防设施建设和提高城市高层建筑消防救灾能力，严格控制高层建筑密度，适度减小用地开发强度，避免高密度高层建筑开发模式。</w:t>
      </w:r>
    </w:p>
    <w:p>
      <w:pPr>
        <w:spacing w:before="190" w:after="190"/>
        <w:ind w:firstLine="562"/>
        <w:rPr>
          <w:rFonts w:ascii="宋体" w:hAnsi="宋体"/>
          <w:b/>
        </w:rPr>
      </w:pPr>
      <w:r>
        <w:rPr>
          <w:rFonts w:hint="eastAsia" w:ascii="宋体" w:hAnsi="宋体"/>
          <w:b/>
        </w:rPr>
        <w:t>（二）严格高层建筑规划审批制度，加强建筑设计防火审核工作；按照消防规范要求，严格控制高层建筑防火间距、消防通道、停车场等；加强对高层建筑设计审查、施工验收、维护管理的消防监督，着重提高自防自救能力。</w:t>
      </w:r>
    </w:p>
    <w:p>
      <w:pPr>
        <w:spacing w:before="190" w:after="190"/>
        <w:ind w:firstLine="560"/>
        <w:rPr>
          <w:rFonts w:ascii="宋体" w:hAnsi="宋体"/>
        </w:rPr>
      </w:pPr>
      <w:r>
        <w:rPr>
          <w:rFonts w:hint="eastAsia" w:ascii="宋体" w:hAnsi="宋体"/>
        </w:rPr>
        <w:t>（三）加强现状高层建筑消防环境整治，清理拆除高层建筑的违章、临时附属建筑，保证高层建筑环形消防通道和消防登高面符合规范要求。</w:t>
      </w:r>
    </w:p>
    <w:p>
      <w:pPr>
        <w:spacing w:before="190" w:after="190"/>
        <w:ind w:firstLine="560"/>
        <w:rPr>
          <w:rFonts w:ascii="宋体" w:hAnsi="宋体"/>
        </w:rPr>
      </w:pPr>
      <w:r>
        <w:rPr>
          <w:rFonts w:hint="eastAsia" w:ascii="宋体" w:hAnsi="宋体"/>
        </w:rPr>
        <w:t>（四）改善高层建筑室外供水条件，提高室外供水可靠性。</w:t>
      </w:r>
    </w:p>
    <w:p>
      <w:pPr>
        <w:pStyle w:val="2"/>
        <w:spacing w:before="190" w:after="190"/>
        <w:jc w:val="center"/>
        <w:rPr>
          <w:rFonts w:ascii="宋体" w:hAnsi="宋体"/>
        </w:rPr>
      </w:pPr>
      <w:bookmarkStart w:id="25" w:name="_Toc89524722"/>
      <w:bookmarkStart w:id="26" w:name="_Toc22882"/>
      <w:bookmarkStart w:id="27" w:name="_Toc89525979"/>
      <w:bookmarkStart w:id="28" w:name="_Toc1022"/>
      <w:bookmarkStart w:id="29" w:name="_Toc89526163"/>
      <w:bookmarkStart w:id="30" w:name="_Toc16667"/>
      <w:r>
        <w:rPr>
          <w:rFonts w:hint="eastAsia" w:ascii="宋体" w:hAnsi="宋体"/>
        </w:rPr>
        <w:t>第五章   消防站规划</w:t>
      </w:r>
      <w:bookmarkEnd w:id="25"/>
      <w:bookmarkEnd w:id="26"/>
      <w:bookmarkEnd w:id="27"/>
      <w:bookmarkEnd w:id="28"/>
      <w:bookmarkEnd w:id="29"/>
      <w:bookmarkEnd w:id="30"/>
    </w:p>
    <w:p>
      <w:pPr>
        <w:spacing w:before="190" w:after="190"/>
        <w:ind w:firstLine="560"/>
        <w:rPr>
          <w:rFonts w:ascii="宋体" w:hAnsi="宋体"/>
        </w:rPr>
      </w:pPr>
      <w:r>
        <w:rPr>
          <w:rFonts w:hint="eastAsia" w:ascii="宋体" w:hAnsi="宋体"/>
        </w:rPr>
        <w:t>第二十六条：消防站布局要求</w:t>
      </w:r>
    </w:p>
    <w:p>
      <w:pPr>
        <w:spacing w:before="190" w:after="190"/>
        <w:ind w:firstLine="560"/>
        <w:rPr>
          <w:rFonts w:ascii="宋体" w:hAnsi="宋体"/>
        </w:rPr>
      </w:pPr>
      <w:r>
        <w:rPr>
          <w:rFonts w:hint="eastAsia" w:ascii="宋体" w:hAnsi="宋体"/>
        </w:rPr>
        <w:t>一般应以接到出动指令5分钟内消防车到达辖区边缘为原则而确定。普通消防站一般不应大于7平方公里，设在近郊区的普通消防站仍以接到出动指令5分钟内消防车可以到达辖区边缘为原则确定辖区面积，其辖区面积不应大于15平方公里。</w:t>
      </w:r>
    </w:p>
    <w:p>
      <w:pPr>
        <w:spacing w:before="190" w:after="190"/>
        <w:ind w:firstLine="562"/>
        <w:rPr>
          <w:rFonts w:ascii="宋体" w:hAnsi="宋体"/>
          <w:b/>
        </w:rPr>
      </w:pPr>
      <w:r>
        <w:rPr>
          <w:rFonts w:hint="eastAsia" w:ascii="宋体" w:hAnsi="宋体"/>
          <w:b/>
        </w:rPr>
        <w:t>第二十七条：消防站布局规划</w:t>
      </w:r>
    </w:p>
    <w:p>
      <w:pPr>
        <w:spacing w:before="190" w:after="190"/>
        <w:ind w:firstLine="562"/>
        <w:rPr>
          <w:rFonts w:ascii="宋体" w:hAnsi="宋体"/>
          <w:b/>
        </w:rPr>
      </w:pPr>
      <w:r>
        <w:rPr>
          <w:rFonts w:hint="eastAsia" w:ascii="宋体" w:hAnsi="宋体"/>
          <w:b/>
        </w:rPr>
        <w:t>现状花马池消防站为二级普通消防站；近期，提升、改造达到一级普通兼化工特勤消防站标准。</w:t>
      </w:r>
    </w:p>
    <w:p>
      <w:pPr>
        <w:spacing w:before="190" w:after="190"/>
        <w:ind w:firstLine="562"/>
        <w:rPr>
          <w:rFonts w:ascii="宋体" w:hAnsi="宋体"/>
          <w:b/>
        </w:rPr>
      </w:pPr>
      <w:r>
        <w:rPr>
          <w:rFonts w:hint="eastAsia" w:ascii="宋体" w:hAnsi="宋体"/>
          <w:b/>
        </w:rPr>
        <w:t>规划新建两座消防站：规划一号站位于东顺路与振远东街交叉口西北侧，为一级普通消防站；规划二号站位于广惠西街与经四路交叉口西北侧，为二级普通消防站，规划城市消防站总数达到3座。</w:t>
      </w:r>
    </w:p>
    <w:p>
      <w:pPr>
        <w:spacing w:before="0" w:beforeLines="0" w:after="0" w:afterLines="0"/>
        <w:ind w:firstLine="0" w:firstLineChars="0"/>
        <w:jc w:val="center"/>
        <w:rPr>
          <w:rFonts w:ascii="仿宋" w:hAnsi="仿宋" w:eastAsia="仿宋"/>
          <w:sz w:val="24"/>
        </w:rPr>
      </w:pPr>
      <w:r>
        <w:rPr>
          <w:rFonts w:hint="eastAsia" w:ascii="仿宋" w:hAnsi="仿宋" w:eastAsia="仿宋"/>
          <w:sz w:val="24"/>
        </w:rPr>
        <w:t>规划消防站一览表</w:t>
      </w:r>
    </w:p>
    <w:tbl>
      <w:tblPr>
        <w:tblStyle w:val="10"/>
        <w:tblW w:w="5000" w:type="pct"/>
        <w:jc w:val="center"/>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Layout w:type="autofit"/>
        <w:tblCellMar>
          <w:top w:w="0" w:type="dxa"/>
          <w:left w:w="108" w:type="dxa"/>
          <w:bottom w:w="0" w:type="dxa"/>
          <w:right w:w="108" w:type="dxa"/>
        </w:tblCellMar>
      </w:tblPr>
      <w:tblGrid>
        <w:gridCol w:w="664"/>
        <w:gridCol w:w="1552"/>
        <w:gridCol w:w="2008"/>
        <w:gridCol w:w="1653"/>
        <w:gridCol w:w="2651"/>
      </w:tblGrid>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CellMar>
            <w:top w:w="0" w:type="dxa"/>
            <w:left w:w="108" w:type="dxa"/>
            <w:bottom w:w="0" w:type="dxa"/>
            <w:right w:w="108" w:type="dxa"/>
          </w:tblCellMar>
        </w:tblPrEx>
        <w:trPr>
          <w:trHeight w:val="567" w:hRule="atLeast"/>
          <w:jc w:val="center"/>
        </w:trPr>
        <w:tc>
          <w:tcPr>
            <w:tcW w:w="389"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序号</w:t>
            </w:r>
          </w:p>
        </w:tc>
        <w:tc>
          <w:tcPr>
            <w:tcW w:w="910"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名称</w:t>
            </w:r>
          </w:p>
        </w:tc>
        <w:tc>
          <w:tcPr>
            <w:tcW w:w="1177"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位置</w:t>
            </w:r>
          </w:p>
        </w:tc>
        <w:tc>
          <w:tcPr>
            <w:tcW w:w="969"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性质</w:t>
            </w:r>
          </w:p>
        </w:tc>
        <w:tc>
          <w:tcPr>
            <w:tcW w:w="155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备注</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CellMar>
            <w:top w:w="0" w:type="dxa"/>
            <w:left w:w="108" w:type="dxa"/>
            <w:bottom w:w="0" w:type="dxa"/>
            <w:right w:w="108" w:type="dxa"/>
          </w:tblCellMar>
        </w:tblPrEx>
        <w:trPr>
          <w:trHeight w:val="567" w:hRule="atLeast"/>
          <w:jc w:val="center"/>
        </w:trPr>
        <w:tc>
          <w:tcPr>
            <w:tcW w:w="38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r>
              <w:rPr>
                <w:rFonts w:ascii="仿宋" w:hAnsi="仿宋" w:eastAsia="仿宋" w:cs="Calibri"/>
                <w:b/>
                <w:bCs/>
                <w:color w:val="000000"/>
                <w:sz w:val="24"/>
              </w:rPr>
              <w:t>1</w:t>
            </w:r>
          </w:p>
        </w:tc>
        <w:tc>
          <w:tcPr>
            <w:tcW w:w="91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花马池站</w:t>
            </w: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花马池西街与振兴路交叉口东北侧</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一级普通兼</w:t>
            </w:r>
            <w:r>
              <w:rPr>
                <w:rFonts w:ascii="仿宋" w:hAnsi="仿宋" w:eastAsia="仿宋" w:cs="Calibri"/>
                <w:bCs/>
                <w:sz w:val="24"/>
              </w:rPr>
              <w:t>化工特勤</w:t>
            </w:r>
            <w:r>
              <w:rPr>
                <w:rFonts w:hint="eastAsia" w:ascii="仿宋" w:hAnsi="仿宋" w:eastAsia="仿宋" w:cs="Calibri"/>
                <w:bCs/>
                <w:sz w:val="24"/>
              </w:rPr>
              <w:t>消防站</w:t>
            </w:r>
          </w:p>
        </w:tc>
        <w:tc>
          <w:tcPr>
            <w:tcW w:w="155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提升、改造，按一级普通兼化工特勤消防站标准建设</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CellMar>
            <w:top w:w="0" w:type="dxa"/>
            <w:left w:w="108" w:type="dxa"/>
            <w:bottom w:w="0" w:type="dxa"/>
            <w:right w:w="108" w:type="dxa"/>
          </w:tblCellMar>
        </w:tblPrEx>
        <w:trPr>
          <w:trHeight w:val="567" w:hRule="atLeast"/>
          <w:jc w:val="center"/>
        </w:trPr>
        <w:tc>
          <w:tcPr>
            <w:tcW w:w="38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bCs/>
                <w:color w:val="000000"/>
                <w:sz w:val="24"/>
              </w:rPr>
              <w:t>2</w:t>
            </w:r>
          </w:p>
        </w:tc>
        <w:tc>
          <w:tcPr>
            <w:tcW w:w="91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规划一号站</w:t>
            </w: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东顺路与振远东街交叉口西北侧</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一级普通</w:t>
            </w:r>
          </w:p>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消防站</w:t>
            </w:r>
          </w:p>
        </w:tc>
        <w:tc>
          <w:tcPr>
            <w:tcW w:w="155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sz w:val="24"/>
              </w:rPr>
            </w:pPr>
            <w:r>
              <w:rPr>
                <w:rFonts w:hint="eastAsia" w:ascii="仿宋" w:hAnsi="仿宋" w:eastAsia="仿宋" w:cs="Calibri"/>
                <w:bCs/>
                <w:sz w:val="24"/>
              </w:rPr>
              <w:t>规划新建、按一级普通</w:t>
            </w:r>
          </w:p>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消防站标准建设</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CellMar>
            <w:top w:w="0" w:type="dxa"/>
            <w:left w:w="108" w:type="dxa"/>
            <w:bottom w:w="0" w:type="dxa"/>
            <w:right w:w="108" w:type="dxa"/>
          </w:tblCellMar>
        </w:tblPrEx>
        <w:trPr>
          <w:trHeight w:val="567" w:hRule="atLeast"/>
          <w:jc w:val="center"/>
        </w:trPr>
        <w:tc>
          <w:tcPr>
            <w:tcW w:w="38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bCs/>
                <w:color w:val="000000"/>
                <w:sz w:val="24"/>
              </w:rPr>
              <w:t>3</w:t>
            </w:r>
          </w:p>
        </w:tc>
        <w:tc>
          <w:tcPr>
            <w:tcW w:w="91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规划二号站</w:t>
            </w: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广惠西街与经四路较叉口西北侧</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二级普通</w:t>
            </w:r>
          </w:p>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消防站</w:t>
            </w:r>
          </w:p>
        </w:tc>
        <w:tc>
          <w:tcPr>
            <w:tcW w:w="155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规划新建、按二级普通</w:t>
            </w:r>
          </w:p>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hint="eastAsia" w:ascii="仿宋" w:hAnsi="仿宋" w:eastAsia="仿宋" w:cs="Calibri"/>
                <w:bCs/>
                <w:sz w:val="24"/>
              </w:rPr>
              <w:t>消防站标准建设</w:t>
            </w:r>
          </w:p>
        </w:tc>
      </w:tr>
    </w:tbl>
    <w:p>
      <w:pPr>
        <w:spacing w:before="190" w:after="190"/>
        <w:ind w:firstLine="560"/>
        <w:rPr>
          <w:rFonts w:ascii="宋体" w:hAnsi="宋体"/>
        </w:rPr>
      </w:pPr>
      <w:r>
        <w:rPr>
          <w:rFonts w:hint="eastAsia" w:ascii="宋体" w:hAnsi="宋体"/>
        </w:rPr>
        <w:t>第二十</w:t>
      </w:r>
      <w:r>
        <w:rPr>
          <w:rFonts w:ascii="宋体" w:hAnsi="宋体"/>
        </w:rPr>
        <w:t>八</w:t>
      </w:r>
      <w:r>
        <w:rPr>
          <w:rFonts w:hint="eastAsia" w:ascii="宋体" w:hAnsi="宋体"/>
        </w:rPr>
        <w:t>条：消防站辖区规划</w:t>
      </w:r>
    </w:p>
    <w:p>
      <w:pPr>
        <w:spacing w:before="190" w:after="190"/>
        <w:ind w:firstLine="560"/>
        <w:rPr>
          <w:rFonts w:hint="eastAsia" w:ascii="宋体" w:hAnsi="宋体"/>
        </w:rPr>
      </w:pPr>
      <w:r>
        <w:rPr>
          <w:rFonts w:hint="eastAsia" w:ascii="宋体" w:hAnsi="宋体"/>
        </w:rPr>
        <w:t>花马池站辖区范围：西起五原路、东至盐州路，南起文化西街、北至物流园区北侧规划路，辖区面积</w:t>
      </w:r>
      <w:r>
        <w:rPr>
          <w:rFonts w:ascii="宋体" w:hAnsi="宋体"/>
        </w:rPr>
        <w:t>9.85</w:t>
      </w:r>
      <w:r>
        <w:rPr>
          <w:rFonts w:hint="eastAsia" w:ascii="宋体" w:hAnsi="宋体"/>
        </w:rPr>
        <w:t>平方公里。同时花马池站负责支援工业园区消防救援。</w:t>
      </w:r>
    </w:p>
    <w:p>
      <w:pPr>
        <w:spacing w:before="190" w:after="190"/>
        <w:ind w:firstLine="560"/>
        <w:rPr>
          <w:rFonts w:ascii="宋体" w:hAnsi="宋体"/>
        </w:rPr>
      </w:pPr>
      <w:r>
        <w:rPr>
          <w:rFonts w:hint="eastAsia" w:ascii="宋体" w:hAnsi="宋体"/>
        </w:rPr>
        <w:t>规划一号站辖区范围：西起盐州路、东至工业园区东侧规划路，南起南二环路、北至307国道，辖区面积</w:t>
      </w:r>
      <w:r>
        <w:rPr>
          <w:rFonts w:ascii="宋体" w:hAnsi="宋体"/>
        </w:rPr>
        <w:t>8.58</w:t>
      </w:r>
      <w:r>
        <w:rPr>
          <w:rFonts w:hint="eastAsia" w:ascii="宋体" w:hAnsi="宋体"/>
        </w:rPr>
        <w:t>平方公里。</w:t>
      </w:r>
    </w:p>
    <w:p>
      <w:pPr>
        <w:spacing w:before="190" w:after="190"/>
        <w:ind w:firstLine="560"/>
        <w:rPr>
          <w:rFonts w:ascii="宋体" w:hAnsi="宋体"/>
        </w:rPr>
      </w:pPr>
      <w:r>
        <w:rPr>
          <w:rFonts w:hint="eastAsia" w:ascii="宋体" w:hAnsi="宋体"/>
        </w:rPr>
        <w:t>规划二号站辖区范围：西起汽车城西侧规划路、东至盐州路，南起南二环路、北至文化西街，辖区面积</w:t>
      </w:r>
      <w:r>
        <w:rPr>
          <w:rFonts w:ascii="宋体" w:hAnsi="宋体"/>
        </w:rPr>
        <w:t>8.18</w:t>
      </w:r>
      <w:r>
        <w:rPr>
          <w:rFonts w:hint="eastAsia" w:ascii="宋体" w:hAnsi="宋体"/>
        </w:rPr>
        <w:t>平方公里。</w:t>
      </w:r>
    </w:p>
    <w:p>
      <w:pPr>
        <w:spacing w:before="190" w:after="190"/>
        <w:ind w:firstLine="560"/>
        <w:rPr>
          <w:rFonts w:ascii="宋体" w:hAnsi="宋体"/>
        </w:rPr>
      </w:pPr>
      <w:r>
        <w:rPr>
          <w:rFonts w:hint="eastAsia" w:ascii="宋体" w:hAnsi="宋体"/>
        </w:rPr>
        <w:t>第二十九条：消防站建设规划</w:t>
      </w:r>
    </w:p>
    <w:p>
      <w:pPr>
        <w:spacing w:before="190" w:after="190"/>
        <w:ind w:firstLine="560"/>
        <w:rPr>
          <w:rFonts w:ascii="宋体" w:hAnsi="宋体"/>
        </w:rPr>
      </w:pPr>
      <w:r>
        <w:rPr>
          <w:rFonts w:hint="eastAsia" w:ascii="宋体" w:hAnsi="宋体"/>
        </w:rPr>
        <w:t>消防站建设用地面积指标应符合以下规定：</w:t>
      </w:r>
    </w:p>
    <w:p>
      <w:pPr>
        <w:spacing w:before="190" w:after="190"/>
        <w:ind w:firstLine="560"/>
        <w:rPr>
          <w:rFonts w:hint="eastAsia" w:ascii="宋体" w:hAnsi="宋体"/>
        </w:rPr>
      </w:pPr>
      <w:r>
        <w:rPr>
          <w:rFonts w:hint="eastAsia" w:ascii="宋体" w:hAnsi="宋体"/>
        </w:rPr>
        <w:t>（1）特勤消防站</w:t>
      </w:r>
      <w:r>
        <w:rPr>
          <w:rFonts w:ascii="宋体" w:hAnsi="宋体"/>
        </w:rPr>
        <w:t>4</w:t>
      </w:r>
      <w:r>
        <w:rPr>
          <w:rFonts w:hint="eastAsia" w:ascii="宋体" w:hAnsi="宋体"/>
        </w:rPr>
        <w:t>900平方米～</w:t>
      </w:r>
      <w:r>
        <w:rPr>
          <w:rFonts w:ascii="宋体" w:hAnsi="宋体"/>
        </w:rPr>
        <w:t>63</w:t>
      </w:r>
      <w:r>
        <w:rPr>
          <w:rFonts w:hint="eastAsia" w:ascii="宋体" w:hAnsi="宋体"/>
        </w:rPr>
        <w:t>00平方米；</w:t>
      </w:r>
    </w:p>
    <w:p>
      <w:pPr>
        <w:spacing w:before="190" w:after="190"/>
        <w:ind w:firstLine="560"/>
        <w:rPr>
          <w:rFonts w:ascii="宋体" w:hAnsi="宋体"/>
        </w:rPr>
      </w:pPr>
      <w:r>
        <w:rPr>
          <w:rFonts w:hint="eastAsia" w:ascii="宋体" w:hAnsi="宋体"/>
        </w:rPr>
        <w:t>（1）一级普通消防站3900平方米～5600平方米；</w:t>
      </w:r>
    </w:p>
    <w:p>
      <w:pPr>
        <w:spacing w:before="190" w:after="190"/>
        <w:ind w:firstLine="560"/>
        <w:rPr>
          <w:rFonts w:ascii="宋体" w:hAnsi="宋体"/>
        </w:rPr>
      </w:pPr>
      <w:r>
        <w:rPr>
          <w:rFonts w:hint="eastAsia" w:ascii="宋体" w:hAnsi="宋体"/>
        </w:rPr>
        <w:t>（2）二级普通消防站2300平方米～3800平方米；</w:t>
      </w:r>
    </w:p>
    <w:p>
      <w:pPr>
        <w:spacing w:before="190" w:after="190"/>
        <w:ind w:firstLine="560"/>
        <w:rPr>
          <w:rFonts w:ascii="宋体" w:hAnsi="宋体"/>
        </w:rPr>
      </w:pPr>
      <w:r>
        <w:rPr>
          <w:rFonts w:hint="eastAsia" w:ascii="宋体" w:hAnsi="宋体"/>
        </w:rPr>
        <w:t>上述指标未包含站内消防车道、绿化用地的面积，在确定消防站建设用地总面积时，可按0.5～0.6的容积率进行测算。</w:t>
      </w:r>
    </w:p>
    <w:p>
      <w:pPr>
        <w:spacing w:before="0" w:beforeLines="0" w:after="0" w:afterLines="0"/>
        <w:ind w:firstLine="0" w:firstLineChars="0"/>
        <w:jc w:val="center"/>
        <w:rPr>
          <w:rFonts w:ascii="仿宋" w:hAnsi="仿宋" w:eastAsia="仿宋"/>
          <w:sz w:val="24"/>
        </w:rPr>
      </w:pPr>
      <w:r>
        <w:rPr>
          <w:rFonts w:hint="eastAsia" w:ascii="仿宋" w:hAnsi="仿宋" w:eastAsia="仿宋"/>
          <w:sz w:val="24"/>
        </w:rPr>
        <w:t>规划消防站建设用地一览表</w:t>
      </w:r>
    </w:p>
    <w:tbl>
      <w:tblPr>
        <w:tblStyle w:val="10"/>
        <w:tblW w:w="486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683"/>
        <w:gridCol w:w="1180"/>
        <w:gridCol w:w="1653"/>
        <w:gridCol w:w="1300"/>
        <w:gridCol w:w="1182"/>
        <w:gridCol w:w="2291"/>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序号</w:t>
            </w:r>
          </w:p>
        </w:tc>
        <w:tc>
          <w:tcPr>
            <w:tcW w:w="71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名称</w:t>
            </w:r>
          </w:p>
        </w:tc>
        <w:tc>
          <w:tcPr>
            <w:tcW w:w="997"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性质</w:t>
            </w:r>
          </w:p>
        </w:tc>
        <w:tc>
          <w:tcPr>
            <w:tcW w:w="78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现状用地</w:t>
            </w:r>
          </w:p>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（平方米）</w:t>
            </w:r>
          </w:p>
        </w:tc>
        <w:tc>
          <w:tcPr>
            <w:tcW w:w="71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规划用地</w:t>
            </w:r>
          </w:p>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（平方米）</w:t>
            </w:r>
          </w:p>
        </w:tc>
        <w:tc>
          <w:tcPr>
            <w:tcW w:w="138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1</w:t>
            </w:r>
          </w:p>
        </w:tc>
        <w:tc>
          <w:tcPr>
            <w:tcW w:w="7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花马池站</w:t>
            </w:r>
          </w:p>
        </w:tc>
        <w:tc>
          <w:tcPr>
            <w:tcW w:w="99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一级普通兼化工特勤消防站</w:t>
            </w:r>
          </w:p>
        </w:tc>
        <w:tc>
          <w:tcPr>
            <w:tcW w:w="7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6642.3</w:t>
            </w:r>
          </w:p>
        </w:tc>
        <w:tc>
          <w:tcPr>
            <w:tcW w:w="71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6642.3</w:t>
            </w:r>
          </w:p>
        </w:tc>
        <w:tc>
          <w:tcPr>
            <w:tcW w:w="138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2</w:t>
            </w:r>
          </w:p>
        </w:tc>
        <w:tc>
          <w:tcPr>
            <w:tcW w:w="7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规划一号站</w:t>
            </w:r>
          </w:p>
        </w:tc>
        <w:tc>
          <w:tcPr>
            <w:tcW w:w="99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消防站</w:t>
            </w:r>
          </w:p>
        </w:tc>
        <w:tc>
          <w:tcPr>
            <w:tcW w:w="7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71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65</w:t>
            </w:r>
            <w:r>
              <w:rPr>
                <w:rFonts w:hint="eastAsia" w:ascii="仿宋" w:hAnsi="仿宋" w:eastAsia="仿宋" w:cs="Calibri"/>
                <w:sz w:val="24"/>
              </w:rPr>
              <w:t>00</w:t>
            </w:r>
          </w:p>
        </w:tc>
        <w:tc>
          <w:tcPr>
            <w:tcW w:w="138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规划新建</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3</w:t>
            </w:r>
          </w:p>
        </w:tc>
        <w:tc>
          <w:tcPr>
            <w:tcW w:w="7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规划二号站</w:t>
            </w:r>
          </w:p>
        </w:tc>
        <w:tc>
          <w:tcPr>
            <w:tcW w:w="99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二级普通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消防站</w:t>
            </w:r>
          </w:p>
        </w:tc>
        <w:tc>
          <w:tcPr>
            <w:tcW w:w="7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71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40</w:t>
            </w:r>
            <w:r>
              <w:rPr>
                <w:rFonts w:hint="eastAsia" w:ascii="仿宋" w:hAnsi="仿宋" w:eastAsia="仿宋" w:cs="Calibri"/>
                <w:sz w:val="24"/>
              </w:rPr>
              <w:t>00</w:t>
            </w:r>
          </w:p>
        </w:tc>
        <w:tc>
          <w:tcPr>
            <w:tcW w:w="138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规划新建、达到二级普通消防站建设用地标准</w:t>
            </w:r>
          </w:p>
        </w:tc>
      </w:tr>
    </w:tbl>
    <w:p>
      <w:pPr>
        <w:spacing w:before="190" w:after="190"/>
        <w:ind w:firstLine="562"/>
        <w:rPr>
          <w:rFonts w:ascii="宋体" w:hAnsi="宋体"/>
          <w:b/>
        </w:rPr>
      </w:pPr>
      <w:r>
        <w:rPr>
          <w:rFonts w:hint="eastAsia" w:ascii="宋体" w:hAnsi="宋体"/>
          <w:b/>
        </w:rPr>
        <w:t>第三十条：消防站用地管理</w:t>
      </w:r>
    </w:p>
    <w:p>
      <w:pPr>
        <w:spacing w:before="190" w:after="190"/>
        <w:ind w:firstLine="562"/>
        <w:rPr>
          <w:rFonts w:ascii="宋体" w:hAnsi="宋体"/>
          <w:b/>
        </w:rPr>
      </w:pPr>
      <w:r>
        <w:rPr>
          <w:rFonts w:hint="eastAsia" w:ascii="宋体" w:hAnsi="宋体"/>
          <w:b/>
        </w:rPr>
        <w:t>应急管理、自然资源、建设、消防监督等行政主管部门，应严格按照本规划进行消防站用地和建设管理。任何单位和个人不得占用消防站用地进行其它建设活动，不得将消防站用地和其它用地进行商业开发性质的土地置换，对于城市重大市政工程、公益事业建设项目确需调整置换消防站用地，应另行选择新的、合理的消防站用地后，才能调整置换消防站用地。</w:t>
      </w:r>
    </w:p>
    <w:p>
      <w:pPr>
        <w:spacing w:before="190" w:after="190"/>
        <w:ind w:firstLine="560"/>
        <w:rPr>
          <w:rFonts w:ascii="宋体" w:hAnsi="宋体"/>
        </w:rPr>
      </w:pPr>
      <w:r>
        <w:rPr>
          <w:rFonts w:hint="eastAsia" w:ascii="宋体" w:hAnsi="宋体"/>
        </w:rPr>
        <w:t>第三十一条：消防站建筑标准</w:t>
      </w:r>
    </w:p>
    <w:p>
      <w:pPr>
        <w:spacing w:before="190" w:after="190"/>
        <w:ind w:firstLine="560"/>
        <w:rPr>
          <w:rFonts w:ascii="宋体" w:hAnsi="宋体"/>
        </w:rPr>
      </w:pPr>
      <w:r>
        <w:rPr>
          <w:rFonts w:hint="eastAsia" w:ascii="宋体" w:hAnsi="宋体"/>
        </w:rPr>
        <w:t>（一）消防站的建筑面积指标应符合以下规定：</w:t>
      </w:r>
    </w:p>
    <w:p>
      <w:pPr>
        <w:spacing w:before="190" w:after="190"/>
        <w:ind w:firstLine="560"/>
        <w:rPr>
          <w:rFonts w:ascii="宋体" w:hAnsi="宋体"/>
        </w:rPr>
      </w:pPr>
      <w:r>
        <w:rPr>
          <w:rFonts w:hint="eastAsia" w:ascii="宋体" w:hAnsi="宋体"/>
        </w:rPr>
        <w:t>（1）特勤消防站</w:t>
      </w:r>
      <w:r>
        <w:rPr>
          <w:rFonts w:ascii="宋体" w:hAnsi="宋体"/>
        </w:rPr>
        <w:t>40</w:t>
      </w:r>
      <w:r>
        <w:rPr>
          <w:rFonts w:hint="eastAsia" w:ascii="宋体" w:hAnsi="宋体"/>
        </w:rPr>
        <w:t>00平方米～</w:t>
      </w:r>
      <w:r>
        <w:rPr>
          <w:rFonts w:ascii="宋体" w:hAnsi="宋体"/>
        </w:rPr>
        <w:t>56</w:t>
      </w:r>
      <w:r>
        <w:rPr>
          <w:rFonts w:hint="eastAsia" w:ascii="宋体" w:hAnsi="宋体"/>
        </w:rPr>
        <w:t>00平方米、一级普通消防站2700平方米～4000平方米、二级普通消防站1800平方米～2700平方米。</w:t>
      </w:r>
    </w:p>
    <w:p>
      <w:pPr>
        <w:spacing w:before="190" w:after="190"/>
        <w:ind w:firstLine="560"/>
        <w:rPr>
          <w:rFonts w:hint="eastAsia" w:ascii="宋体" w:hAnsi="宋体"/>
        </w:rPr>
      </w:pPr>
      <w:r>
        <w:rPr>
          <w:rFonts w:hint="eastAsia" w:ascii="宋体" w:hAnsi="宋体"/>
        </w:rPr>
        <w:t>（2）消防站各种用房的使用面积符合《城市消防站建设标准》（建标152—2017）的规定。</w:t>
      </w:r>
    </w:p>
    <w:p>
      <w:pPr>
        <w:spacing w:before="0" w:beforeLines="0" w:after="0" w:afterLines="0"/>
        <w:ind w:firstLine="0" w:firstLineChars="0"/>
        <w:jc w:val="center"/>
        <w:rPr>
          <w:rFonts w:ascii="仿宋" w:hAnsi="仿宋" w:eastAsia="仿宋"/>
          <w:sz w:val="24"/>
        </w:rPr>
      </w:pPr>
      <w:r>
        <w:rPr>
          <w:rFonts w:hint="eastAsia" w:ascii="仿宋" w:hAnsi="仿宋" w:eastAsia="仿宋"/>
          <w:sz w:val="24"/>
        </w:rPr>
        <w:t>规划消防站建筑面积指标一览表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704"/>
        <w:gridCol w:w="1276"/>
        <w:gridCol w:w="2599"/>
        <w:gridCol w:w="1417"/>
        <w:gridCol w:w="1417"/>
        <w:gridCol w:w="1115"/>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序号</w:t>
            </w:r>
          </w:p>
        </w:tc>
        <w:tc>
          <w:tcPr>
            <w:tcW w:w="748"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名称</w:t>
            </w:r>
          </w:p>
        </w:tc>
        <w:tc>
          <w:tcPr>
            <w:tcW w:w="152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性质</w:t>
            </w:r>
          </w:p>
        </w:tc>
        <w:tc>
          <w:tcPr>
            <w:tcW w:w="83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现状建筑面积</w:t>
            </w:r>
          </w:p>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（平方米）</w:t>
            </w:r>
          </w:p>
        </w:tc>
        <w:tc>
          <w:tcPr>
            <w:tcW w:w="83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规划建筑面积（平方米）</w:t>
            </w:r>
          </w:p>
        </w:tc>
        <w:tc>
          <w:tcPr>
            <w:tcW w:w="65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1</w:t>
            </w:r>
          </w:p>
        </w:tc>
        <w:tc>
          <w:tcPr>
            <w:tcW w:w="74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花马池站</w:t>
            </w:r>
          </w:p>
        </w:tc>
        <w:tc>
          <w:tcPr>
            <w:tcW w:w="15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一级普通兼化工特勤消防站</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2750.48</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4</w:t>
            </w:r>
            <w:r>
              <w:rPr>
                <w:rFonts w:ascii="仿宋" w:hAnsi="仿宋" w:eastAsia="仿宋" w:cs="Calibri"/>
                <w:sz w:val="24"/>
              </w:rPr>
              <w:t>000</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提升改造</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2</w:t>
            </w:r>
          </w:p>
        </w:tc>
        <w:tc>
          <w:tcPr>
            <w:tcW w:w="74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规划一号站</w:t>
            </w:r>
          </w:p>
        </w:tc>
        <w:tc>
          <w:tcPr>
            <w:tcW w:w="15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一级普通消防站</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40</w:t>
            </w:r>
            <w:r>
              <w:rPr>
                <w:rFonts w:hint="eastAsia" w:ascii="仿宋" w:hAnsi="仿宋" w:eastAsia="仿宋" w:cs="Calibri"/>
                <w:sz w:val="24"/>
              </w:rPr>
              <w:t>00</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规划新建</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3</w:t>
            </w:r>
          </w:p>
        </w:tc>
        <w:tc>
          <w:tcPr>
            <w:tcW w:w="74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规划二号站</w:t>
            </w:r>
          </w:p>
        </w:tc>
        <w:tc>
          <w:tcPr>
            <w:tcW w:w="15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二级普通消防站</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2300</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规划新建</w:t>
            </w:r>
          </w:p>
        </w:tc>
      </w:tr>
    </w:tbl>
    <w:p>
      <w:pPr>
        <w:spacing w:before="190" w:after="190"/>
        <w:ind w:firstLine="280" w:firstLineChars="100"/>
        <w:rPr>
          <w:rFonts w:ascii="宋体" w:hAnsi="宋体"/>
        </w:rPr>
      </w:pPr>
      <w:r>
        <w:rPr>
          <w:rFonts w:hint="eastAsia" w:ascii="宋体" w:hAnsi="宋体"/>
        </w:rPr>
        <w:t>（二）消防站的建筑物耐火等级不低于二级，消防站建筑物按乙类建筑进行抗震设计，并按地震设防烈度</w:t>
      </w:r>
      <w:r>
        <w:rPr>
          <w:rFonts w:ascii="宋体" w:hAnsi="宋体"/>
        </w:rPr>
        <w:t>7</w:t>
      </w:r>
      <w:r>
        <w:rPr>
          <w:rFonts w:hint="eastAsia" w:ascii="宋体" w:hAnsi="宋体"/>
        </w:rPr>
        <w:t>度采取抗震构造措施。</w:t>
      </w:r>
    </w:p>
    <w:p>
      <w:pPr>
        <w:spacing w:before="190" w:after="190"/>
        <w:ind w:firstLine="280" w:firstLineChars="100"/>
        <w:rPr>
          <w:rFonts w:ascii="宋体" w:hAnsi="宋体"/>
        </w:rPr>
      </w:pPr>
      <w:r>
        <w:rPr>
          <w:rFonts w:hint="eastAsia" w:ascii="宋体" w:hAnsi="宋体"/>
        </w:rPr>
        <w:t>（三）消防站业务用房、车库、走道、楼梯、业务训练和体能训练设施、建筑装修、采暖通风空调、给排水设施、供电负荷、通信、照明等设置应符合《城市消防站建设标准》（建标152—2017）的规定。</w:t>
      </w:r>
    </w:p>
    <w:p>
      <w:pPr>
        <w:spacing w:before="190" w:after="190"/>
        <w:ind w:firstLine="560"/>
        <w:rPr>
          <w:rFonts w:ascii="宋体" w:hAnsi="宋体"/>
        </w:rPr>
      </w:pPr>
      <w:r>
        <w:rPr>
          <w:rFonts w:hint="eastAsia" w:ascii="宋体" w:hAnsi="宋体"/>
        </w:rPr>
        <w:t>第三十二条：消防装备规划</w:t>
      </w:r>
    </w:p>
    <w:p>
      <w:pPr>
        <w:spacing w:before="190" w:after="190"/>
        <w:ind w:firstLine="560"/>
        <w:rPr>
          <w:rFonts w:ascii="宋体" w:hAnsi="宋体"/>
        </w:rPr>
      </w:pPr>
      <w:r>
        <w:rPr>
          <w:rFonts w:hint="eastAsia" w:ascii="宋体" w:hAnsi="宋体"/>
        </w:rPr>
        <w:t>规划消防装备按照《城市消防站建设标准》（建标152—2017）进行配备。</w:t>
      </w:r>
    </w:p>
    <w:p>
      <w:pPr>
        <w:spacing w:before="190" w:after="190"/>
        <w:ind w:firstLine="560"/>
        <w:rPr>
          <w:rFonts w:ascii="宋体" w:hAnsi="宋体"/>
        </w:rPr>
      </w:pPr>
      <w:r>
        <w:rPr>
          <w:rFonts w:hint="eastAsia" w:ascii="宋体" w:hAnsi="宋体"/>
        </w:rPr>
        <w:t>（一）消防车辆</w:t>
      </w:r>
    </w:p>
    <w:p>
      <w:pPr>
        <w:spacing w:before="190" w:after="190"/>
        <w:ind w:firstLine="560"/>
        <w:rPr>
          <w:rFonts w:ascii="宋体" w:hAnsi="宋体"/>
        </w:rPr>
      </w:pPr>
      <w:r>
        <w:rPr>
          <w:rFonts w:hint="eastAsia" w:ascii="宋体" w:hAnsi="宋体"/>
        </w:rPr>
        <w:t>普通消防站的消防车辆配置应满足扑救本辖区内常见火灾和处置一般灾害事故的需要。规划一号消防站的车辆配置应适应扑救石油化工类特殊火灾和处置特种灾害事故的需要。</w:t>
      </w:r>
    </w:p>
    <w:p>
      <w:pPr>
        <w:spacing w:before="0" w:beforeLines="0" w:after="0" w:afterLines="0"/>
        <w:ind w:firstLine="0" w:firstLineChars="0"/>
        <w:jc w:val="center"/>
        <w:rPr>
          <w:rFonts w:ascii="仿宋" w:hAnsi="仿宋" w:eastAsia="仿宋"/>
          <w:sz w:val="24"/>
        </w:rPr>
      </w:pPr>
      <w:r>
        <w:rPr>
          <w:rFonts w:hint="eastAsia" w:ascii="仿宋" w:hAnsi="仿宋" w:eastAsia="仿宋"/>
          <w:sz w:val="24"/>
        </w:rPr>
        <w:t>消防站车库的车位数及车辆数</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2335"/>
        <w:gridCol w:w="2362"/>
        <w:gridCol w:w="1890"/>
        <w:gridCol w:w="1941"/>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1369" w:type="pct"/>
            <w:tcBorders>
              <w:tl2br w:val="single" w:color="538135" w:sz="8" w:space="0"/>
            </w:tcBorders>
            <w:shd w:val="clear" w:color="auto" w:fill="A8D08D"/>
            <w:noWrap w:val="0"/>
            <w:vAlign w:val="center"/>
          </w:tcPr>
          <w:p>
            <w:pPr>
              <w:adjustRightInd w:val="0"/>
              <w:snapToGrid w:val="0"/>
              <w:spacing w:before="0" w:beforeLines="0" w:after="0" w:afterLines="0" w:line="240" w:lineRule="auto"/>
              <w:ind w:firstLine="1204" w:firstLineChars="500"/>
              <w:rPr>
                <w:rFonts w:ascii="仿宋" w:hAnsi="仿宋" w:eastAsia="仿宋" w:cs="Calibri"/>
                <w:b/>
                <w:bCs/>
                <w:color w:val="000000"/>
                <w:sz w:val="24"/>
              </w:rPr>
            </w:pPr>
            <w:r>
              <w:rPr>
                <w:rFonts w:hint="eastAsia" w:ascii="仿宋" w:hAnsi="仿宋" w:eastAsia="仿宋" w:cs="Calibri"/>
                <w:b/>
                <w:bCs/>
                <w:color w:val="000000"/>
                <w:sz w:val="24"/>
              </w:rPr>
              <w:t>消防站类别</w:t>
            </w:r>
          </w:p>
          <w:p>
            <w:pPr>
              <w:adjustRightInd w:val="0"/>
              <w:snapToGrid w:val="0"/>
              <w:spacing w:before="0" w:beforeLines="0" w:after="0" w:afterLines="0" w:line="240" w:lineRule="auto"/>
              <w:ind w:firstLine="0" w:firstLineChars="0"/>
              <w:rPr>
                <w:rFonts w:hint="eastAsia" w:ascii="仿宋" w:hAnsi="仿宋" w:eastAsia="仿宋" w:cs="Calibri"/>
                <w:b/>
                <w:bCs/>
                <w:color w:val="000000"/>
                <w:sz w:val="24"/>
              </w:rPr>
            </w:pPr>
            <w:r>
              <w:rPr>
                <w:rFonts w:hint="eastAsia" w:ascii="仿宋" w:hAnsi="仿宋" w:eastAsia="仿宋" w:cs="Calibri"/>
                <w:b/>
                <w:bCs/>
                <w:color w:val="000000"/>
                <w:sz w:val="24"/>
              </w:rPr>
              <w:t>车位车辆数</w:t>
            </w:r>
          </w:p>
        </w:tc>
        <w:tc>
          <w:tcPr>
            <w:tcW w:w="1385"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一级普通兼化工特勤站</w:t>
            </w:r>
          </w:p>
        </w:tc>
        <w:tc>
          <w:tcPr>
            <w:tcW w:w="1108"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一级普通站</w:t>
            </w:r>
          </w:p>
        </w:tc>
        <w:tc>
          <w:tcPr>
            <w:tcW w:w="1138"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二级普通站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13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车位数（个）</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8</w:t>
            </w:r>
            <w:r>
              <w:rPr>
                <w:rFonts w:ascii="仿宋" w:hAnsi="仿宋" w:eastAsia="仿宋" w:cs="Calibri"/>
                <w:sz w:val="24"/>
              </w:rPr>
              <w:t>~</w:t>
            </w:r>
            <w:r>
              <w:rPr>
                <w:rFonts w:hint="eastAsia" w:ascii="仿宋" w:hAnsi="仿宋" w:eastAsia="仿宋" w:cs="Calibri"/>
                <w:sz w:val="24"/>
              </w:rPr>
              <w:t>10</w:t>
            </w:r>
          </w:p>
        </w:tc>
        <w:tc>
          <w:tcPr>
            <w:tcW w:w="110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w:t>
            </w:r>
            <w:r>
              <w:rPr>
                <w:rFonts w:hint="eastAsia" w:ascii="仿宋" w:hAnsi="仿宋" w:eastAsia="仿宋" w:cs="Calibri"/>
                <w:sz w:val="24"/>
              </w:rPr>
              <w:t>～</w:t>
            </w:r>
            <w:r>
              <w:rPr>
                <w:rFonts w:ascii="仿宋" w:hAnsi="仿宋" w:eastAsia="仿宋" w:cs="Calibri"/>
                <w:sz w:val="24"/>
              </w:rPr>
              <w:t>8</w:t>
            </w:r>
          </w:p>
        </w:tc>
        <w:tc>
          <w:tcPr>
            <w:tcW w:w="113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3~5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13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车辆数（辆）</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7</w:t>
            </w:r>
            <w:r>
              <w:rPr>
                <w:rFonts w:ascii="仿宋" w:hAnsi="仿宋" w:eastAsia="仿宋" w:cs="Calibri"/>
                <w:sz w:val="24"/>
              </w:rPr>
              <w:t>~</w:t>
            </w:r>
            <w:r>
              <w:rPr>
                <w:rFonts w:hint="eastAsia" w:ascii="仿宋" w:hAnsi="仿宋" w:eastAsia="仿宋" w:cs="Calibri"/>
                <w:sz w:val="24"/>
              </w:rPr>
              <w:t>9</w:t>
            </w:r>
          </w:p>
        </w:tc>
        <w:tc>
          <w:tcPr>
            <w:tcW w:w="110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5～7</w:t>
            </w:r>
          </w:p>
        </w:tc>
        <w:tc>
          <w:tcPr>
            <w:tcW w:w="113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2~4</w:t>
            </w:r>
          </w:p>
        </w:tc>
      </w:tr>
    </w:tbl>
    <w:p>
      <w:pPr>
        <w:spacing w:before="0" w:beforeLines="0" w:after="0" w:afterLines="0"/>
        <w:ind w:firstLine="0" w:firstLineChars="0"/>
        <w:jc w:val="center"/>
        <w:rPr>
          <w:rFonts w:ascii="仿宋" w:hAnsi="仿宋" w:eastAsia="仿宋"/>
          <w:sz w:val="24"/>
        </w:rPr>
      </w:pPr>
      <w:r>
        <w:rPr>
          <w:rFonts w:hint="eastAsia" w:ascii="仿宋" w:hAnsi="仿宋" w:eastAsia="仿宋"/>
          <w:sz w:val="24"/>
        </w:rPr>
        <w:t>各类消防站常用消防车辆品种配备标准（辆）</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204"/>
        <w:gridCol w:w="2430"/>
        <w:gridCol w:w="2243"/>
        <w:gridCol w:w="1300"/>
        <w:gridCol w:w="1351"/>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jc w:val="center"/>
        </w:trPr>
        <w:tc>
          <w:tcPr>
            <w:tcW w:w="2131" w:type="pct"/>
            <w:gridSpan w:val="2"/>
            <w:tcBorders>
              <w:tl2br w:val="single" w:color="538135" w:sz="8" w:space="0"/>
            </w:tcBorders>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b/>
                <w:bCs/>
                <w:color w:val="000000"/>
                <w:sz w:val="24"/>
              </w:rPr>
              <w:t xml:space="preserve"> </w:t>
            </w:r>
            <w:r>
              <w:rPr>
                <w:rFonts w:ascii="仿宋" w:hAnsi="仿宋" w:eastAsia="仿宋" w:cs="Calibri"/>
                <w:b/>
                <w:bCs/>
                <w:color w:val="000000"/>
                <w:sz w:val="24"/>
              </w:rPr>
              <w:t xml:space="preserve">             </w:t>
            </w:r>
            <w:r>
              <w:rPr>
                <w:rFonts w:hint="eastAsia" w:ascii="仿宋" w:hAnsi="仿宋" w:eastAsia="仿宋" w:cs="Calibri"/>
                <w:b/>
                <w:bCs/>
                <w:color w:val="000000"/>
                <w:sz w:val="24"/>
              </w:rPr>
              <w:t>消防站类别</w:t>
            </w:r>
          </w:p>
          <w:p>
            <w:pPr>
              <w:adjustRightInd w:val="0"/>
              <w:snapToGrid w:val="0"/>
              <w:spacing w:before="0" w:beforeLines="0" w:after="0" w:afterLines="0" w:line="240" w:lineRule="auto"/>
              <w:ind w:firstLine="722" w:firstLineChars="300"/>
              <w:jc w:val="left"/>
              <w:rPr>
                <w:rFonts w:ascii="仿宋" w:hAnsi="仿宋" w:eastAsia="仿宋" w:cs="Calibri"/>
                <w:color w:val="000000"/>
                <w:sz w:val="24"/>
              </w:rPr>
            </w:pPr>
            <w:r>
              <w:rPr>
                <w:rFonts w:hint="eastAsia" w:ascii="仿宋" w:hAnsi="仿宋" w:eastAsia="仿宋" w:cs="Calibri"/>
                <w:b/>
                <w:bCs/>
                <w:color w:val="000000"/>
                <w:sz w:val="24"/>
              </w:rPr>
              <w:t>品种</w:t>
            </w:r>
          </w:p>
        </w:tc>
        <w:tc>
          <w:tcPr>
            <w:tcW w:w="1315"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一级普通兼化工特勤站</w:t>
            </w:r>
          </w:p>
        </w:tc>
        <w:tc>
          <w:tcPr>
            <w:tcW w:w="76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ascii="仿宋" w:hAnsi="仿宋" w:eastAsia="仿宋" w:cs="Calibri"/>
                <w:b/>
                <w:bCs/>
                <w:color w:val="000000"/>
                <w:sz w:val="24"/>
              </w:rPr>
              <w:t>一级普通站</w:t>
            </w:r>
          </w:p>
        </w:tc>
        <w:tc>
          <w:tcPr>
            <w:tcW w:w="79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二级普通站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灭火消防车</w:t>
            </w: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水罐或泡沫消防车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3</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2</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压缩空气泡沫消防车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1</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泡沫干粉联用消防车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干粉消防车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举高消防车</w:t>
            </w: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登高平台消防车</w:t>
            </w:r>
          </w:p>
        </w:tc>
        <w:tc>
          <w:tcPr>
            <w:tcW w:w="1315"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p>
        </w:tc>
        <w:tc>
          <w:tcPr>
            <w:tcW w:w="762"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1</w:t>
            </w:r>
          </w:p>
        </w:tc>
        <w:tc>
          <w:tcPr>
            <w:tcW w:w="792"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云梯消防车</w:t>
            </w:r>
          </w:p>
        </w:tc>
        <w:tc>
          <w:tcPr>
            <w:tcW w:w="1315"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762"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792"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举高喷射消防车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专勤消防车</w:t>
            </w: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抢险救援消防车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1</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排烟消防车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照明消防车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化学事故抢险救援消防车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1</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防化洗消消防车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核生化侦检消防车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通信指挥消防车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战勤保障消防车</w:t>
            </w: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供气消防车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器材消防车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供液消防车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供水消防车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自装卸式消防车（含</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器材保障、生活保障、供气、供液等模块）</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装备抢修车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饮食保障车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加油车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运兵车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宿营车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卫勤保障车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发电车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6"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4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淋浴车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131" w:type="pct"/>
            <w:gridSpan w:val="2"/>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工程机械车辆（挖掘机、铲车等）</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131" w:type="pct"/>
            <w:gridSpan w:val="2"/>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消防摩托车</w:t>
            </w:r>
          </w:p>
        </w:tc>
        <w:tc>
          <w:tcPr>
            <w:tcW w:w="13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7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bl>
    <w:p>
      <w:pPr>
        <w:spacing w:before="0" w:beforeLines="0" w:after="0" w:afterLines="0" w:line="240" w:lineRule="auto"/>
        <w:ind w:firstLine="480"/>
        <w:rPr>
          <w:rFonts w:ascii="仿宋" w:hAnsi="仿宋" w:eastAsia="仿宋"/>
          <w:sz w:val="24"/>
        </w:rPr>
      </w:pPr>
      <w:r>
        <w:rPr>
          <w:rFonts w:hint="eastAsia" w:ascii="仿宋" w:hAnsi="仿宋" w:eastAsia="仿宋"/>
          <w:sz w:val="24"/>
        </w:rPr>
        <w:t>注：①表中带“△”车种、根据实际需要选配；</w:t>
      </w:r>
    </w:p>
    <w:p>
      <w:pPr>
        <w:spacing w:before="0" w:beforeLines="0" w:after="0" w:afterLines="0" w:line="240" w:lineRule="auto"/>
        <w:ind w:firstLine="960" w:firstLineChars="400"/>
        <w:rPr>
          <w:rFonts w:ascii="仿宋" w:hAnsi="仿宋" w:eastAsia="仿宋"/>
          <w:sz w:val="24"/>
        </w:rPr>
      </w:pPr>
      <w:r>
        <w:rPr>
          <w:rFonts w:hint="eastAsia" w:ascii="仿宋" w:hAnsi="仿宋" w:eastAsia="仿宋"/>
          <w:sz w:val="24"/>
        </w:rPr>
        <w:t>②在配备规定数量消防车的基础上，可根据需要选配消防摩托车。</w:t>
      </w:r>
    </w:p>
    <w:p>
      <w:pPr>
        <w:spacing w:before="190" w:after="190"/>
        <w:ind w:firstLine="560"/>
        <w:rPr>
          <w:rFonts w:ascii="宋体" w:hAnsi="宋体"/>
        </w:rPr>
      </w:pPr>
      <w:r>
        <w:rPr>
          <w:rFonts w:hint="eastAsia" w:ascii="宋体" w:hAnsi="宋体"/>
        </w:rPr>
        <w:t>（二）灭火器材</w:t>
      </w:r>
    </w:p>
    <w:p>
      <w:pPr>
        <w:spacing w:before="190" w:after="190"/>
        <w:ind w:firstLine="560"/>
        <w:rPr>
          <w:rFonts w:ascii="宋体" w:hAnsi="宋体"/>
        </w:rPr>
      </w:pPr>
      <w:r>
        <w:rPr>
          <w:rFonts w:hint="eastAsia" w:ascii="宋体" w:hAnsi="宋体"/>
        </w:rPr>
        <w:t>普通消防站的灭火器材配备不应低于下表规定。</w:t>
      </w:r>
    </w:p>
    <w:p>
      <w:pPr>
        <w:spacing w:before="0" w:beforeLines="0" w:after="0" w:afterLines="0"/>
        <w:ind w:firstLine="0" w:firstLineChars="0"/>
        <w:jc w:val="center"/>
        <w:rPr>
          <w:rFonts w:ascii="仿宋" w:hAnsi="仿宋" w:eastAsia="仿宋"/>
          <w:sz w:val="24"/>
        </w:rPr>
      </w:pPr>
      <w:r>
        <w:rPr>
          <w:rFonts w:hint="eastAsia" w:ascii="仿宋" w:hAnsi="仿宋" w:eastAsia="仿宋"/>
          <w:sz w:val="24"/>
        </w:rPr>
        <w:t>消防站灭火器材配置表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Layout w:type="autofit"/>
        <w:tblCellMar>
          <w:top w:w="0" w:type="dxa"/>
          <w:left w:w="108" w:type="dxa"/>
          <w:bottom w:w="0" w:type="dxa"/>
          <w:right w:w="108" w:type="dxa"/>
        </w:tblCellMar>
      </w:tblPr>
      <w:tblGrid>
        <w:gridCol w:w="3397"/>
        <w:gridCol w:w="2245"/>
        <w:gridCol w:w="1417"/>
        <w:gridCol w:w="1469"/>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992" w:type="pct"/>
            <w:tcBorders>
              <w:tl2br w:val="single" w:color="538135" w:sz="8" w:space="0"/>
            </w:tcBorders>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 xml:space="preserve"> </w:t>
            </w:r>
            <w:r>
              <w:rPr>
                <w:rFonts w:ascii="仿宋" w:hAnsi="仿宋" w:eastAsia="仿宋" w:cs="Calibri"/>
                <w:b/>
                <w:bCs/>
                <w:color w:val="000000"/>
                <w:sz w:val="24"/>
              </w:rPr>
              <w:t xml:space="preserve">         </w:t>
            </w:r>
            <w:r>
              <w:rPr>
                <w:rFonts w:hint="eastAsia" w:ascii="仿宋" w:hAnsi="仿宋" w:eastAsia="仿宋" w:cs="Calibri"/>
                <w:b/>
                <w:bCs/>
                <w:color w:val="000000"/>
                <w:sz w:val="24"/>
              </w:rPr>
              <w:t>消防站类别</w:t>
            </w:r>
          </w:p>
          <w:p>
            <w:pPr>
              <w:adjustRightInd w:val="0"/>
              <w:snapToGrid w:val="0"/>
              <w:spacing w:before="0" w:beforeLines="0" w:after="0" w:afterLines="0" w:line="240" w:lineRule="auto"/>
              <w:ind w:firstLine="722" w:firstLineChars="300"/>
              <w:rPr>
                <w:rFonts w:ascii="仿宋" w:hAnsi="仿宋" w:eastAsia="仿宋" w:cs="Calibri"/>
                <w:b/>
                <w:bCs/>
                <w:color w:val="000000"/>
                <w:sz w:val="24"/>
              </w:rPr>
            </w:pPr>
            <w:r>
              <w:rPr>
                <w:rFonts w:hint="eastAsia" w:ascii="仿宋" w:hAnsi="仿宋" w:eastAsia="仿宋" w:cs="Calibri"/>
                <w:b/>
                <w:bCs/>
                <w:color w:val="000000"/>
                <w:sz w:val="24"/>
              </w:rPr>
              <w:t>名称</w:t>
            </w:r>
          </w:p>
        </w:tc>
        <w:tc>
          <w:tcPr>
            <w:tcW w:w="131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color w:val="000000"/>
                <w:sz w:val="24"/>
              </w:rPr>
              <w:t>一级普通兼化工特勤站</w:t>
            </w:r>
          </w:p>
        </w:tc>
        <w:tc>
          <w:tcPr>
            <w:tcW w:w="83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color w:val="000000"/>
                <w:sz w:val="24"/>
              </w:rPr>
              <w:t>一级普通站</w:t>
            </w:r>
          </w:p>
        </w:tc>
        <w:tc>
          <w:tcPr>
            <w:tcW w:w="86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color w:val="000000"/>
                <w:sz w:val="24"/>
              </w:rPr>
              <w:t>二级普通站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机动消防泵</w:t>
            </w:r>
          </w:p>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（含手抬泵、浮艇泵）</w:t>
            </w:r>
          </w:p>
        </w:tc>
        <w:tc>
          <w:tcPr>
            <w:tcW w:w="13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4台</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2台</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移动式水带卷盘或水带槽</w:t>
            </w:r>
          </w:p>
        </w:tc>
        <w:tc>
          <w:tcPr>
            <w:tcW w:w="13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4个</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2个</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个</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移动式消防炮</w:t>
            </w:r>
          </w:p>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（手动炮、遥控炮、自摆炮等）</w:t>
            </w:r>
          </w:p>
        </w:tc>
        <w:tc>
          <w:tcPr>
            <w:tcW w:w="13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5个</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3个</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个</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泡沫比例混合器、泡沫液桶、泡沫枪</w:t>
            </w:r>
          </w:p>
        </w:tc>
        <w:tc>
          <w:tcPr>
            <w:tcW w:w="13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4套</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2套</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套</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二节拉梯</w:t>
            </w:r>
          </w:p>
        </w:tc>
        <w:tc>
          <w:tcPr>
            <w:tcW w:w="13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5架</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3</w:t>
            </w:r>
            <w:r>
              <w:rPr>
                <w:rFonts w:hint="eastAsia" w:ascii="仿宋" w:hAnsi="仿宋" w:eastAsia="仿宋" w:cs="Calibri"/>
                <w:color w:val="000000"/>
                <w:sz w:val="24"/>
              </w:rPr>
              <w:t>架</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架</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三节拉梯</w:t>
            </w:r>
          </w:p>
        </w:tc>
        <w:tc>
          <w:tcPr>
            <w:tcW w:w="13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4架</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2架</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1</w:t>
            </w:r>
            <w:r>
              <w:rPr>
                <w:rFonts w:hint="eastAsia" w:ascii="仿宋" w:hAnsi="仿宋" w:eastAsia="仿宋" w:cs="Calibri"/>
                <w:color w:val="000000"/>
                <w:sz w:val="24"/>
              </w:rPr>
              <w:t>架</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挂钩梯</w:t>
            </w:r>
          </w:p>
        </w:tc>
        <w:tc>
          <w:tcPr>
            <w:tcW w:w="13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5架</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3架</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架</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常压水带</w:t>
            </w:r>
          </w:p>
        </w:tc>
        <w:tc>
          <w:tcPr>
            <w:tcW w:w="13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8</w:t>
            </w:r>
            <w:r>
              <w:rPr>
                <w:rFonts w:ascii="仿宋" w:hAnsi="仿宋" w:eastAsia="仿宋" w:cs="Calibri"/>
                <w:color w:val="000000"/>
                <w:sz w:val="24"/>
              </w:rPr>
              <w:t>00</w:t>
            </w:r>
            <w:r>
              <w:rPr>
                <w:rFonts w:hint="eastAsia" w:ascii="仿宋" w:hAnsi="仿宋" w:eastAsia="仿宋" w:cs="Calibri"/>
                <w:color w:val="000000"/>
                <w:sz w:val="24"/>
              </w:rPr>
              <w:t>米</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w:t>
            </w:r>
            <w:r>
              <w:rPr>
                <w:rFonts w:ascii="仿宋" w:hAnsi="仿宋" w:eastAsia="仿宋" w:cs="Calibri"/>
                <w:color w:val="000000"/>
                <w:sz w:val="24"/>
              </w:rPr>
              <w:t>000米</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1200</w:t>
            </w:r>
            <w:r>
              <w:rPr>
                <w:rFonts w:hint="eastAsia" w:ascii="仿宋" w:hAnsi="仿宋" w:eastAsia="仿宋" w:cs="Calibri"/>
                <w:color w:val="000000"/>
                <w:sz w:val="24"/>
              </w:rPr>
              <w:t>米</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中压水带</w:t>
            </w:r>
          </w:p>
        </w:tc>
        <w:tc>
          <w:tcPr>
            <w:tcW w:w="13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10</w:t>
            </w:r>
            <w:r>
              <w:rPr>
                <w:rFonts w:ascii="仿宋" w:hAnsi="仿宋" w:eastAsia="仿宋" w:cs="Calibri"/>
                <w:color w:val="000000"/>
                <w:sz w:val="24"/>
              </w:rPr>
              <w:t>00</w:t>
            </w:r>
            <w:r>
              <w:rPr>
                <w:rFonts w:hint="eastAsia" w:ascii="仿宋" w:hAnsi="仿宋" w:eastAsia="仿宋" w:cs="Calibri"/>
                <w:color w:val="000000"/>
                <w:sz w:val="24"/>
              </w:rPr>
              <w:t>米</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500米</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500</w:t>
            </w:r>
            <w:r>
              <w:rPr>
                <w:rFonts w:hint="eastAsia" w:ascii="仿宋" w:hAnsi="仿宋" w:eastAsia="仿宋" w:cs="Calibri"/>
                <w:color w:val="000000"/>
                <w:sz w:val="24"/>
              </w:rPr>
              <w:t>米</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454" w:hRule="atLeast"/>
          <w:jc w:val="center"/>
        </w:trPr>
        <w:tc>
          <w:tcPr>
            <w:tcW w:w="19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消火栓扳手、水枪、分水器以及接口、包布、护桥、挂钩、墙角保护器等常规器材工具</w:t>
            </w:r>
          </w:p>
        </w:tc>
        <w:tc>
          <w:tcPr>
            <w:tcW w:w="3008" w:type="pct"/>
            <w:gridSpan w:val="3"/>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按所配车辆技术标准要求配备，并按不小于</w:t>
            </w:r>
            <w:r>
              <w:rPr>
                <w:rFonts w:ascii="仿宋" w:hAnsi="仿宋" w:eastAsia="仿宋" w:cs="Calibri"/>
                <w:color w:val="000000"/>
                <w:sz w:val="24"/>
              </w:rPr>
              <w:t>2:1</w:t>
            </w:r>
            <w:r>
              <w:rPr>
                <w:rFonts w:hint="eastAsia" w:ascii="仿宋" w:hAnsi="仿宋" w:eastAsia="仿宋" w:cs="Calibri"/>
                <w:color w:val="000000"/>
                <w:sz w:val="24"/>
              </w:rPr>
              <w:t>的备份比备份</w:t>
            </w:r>
          </w:p>
        </w:tc>
      </w:tr>
    </w:tbl>
    <w:p>
      <w:pPr>
        <w:spacing w:before="0" w:beforeLines="0" w:after="0" w:afterLines="0" w:line="240" w:lineRule="auto"/>
        <w:ind w:firstLine="480"/>
        <w:rPr>
          <w:rFonts w:ascii="仿宋" w:hAnsi="仿宋" w:eastAsia="仿宋"/>
          <w:sz w:val="24"/>
        </w:rPr>
      </w:pPr>
      <w:r>
        <w:rPr>
          <w:rFonts w:hint="eastAsia" w:ascii="仿宋" w:hAnsi="仿宋" w:eastAsia="仿宋"/>
          <w:sz w:val="24"/>
        </w:rPr>
        <w:t>注：分水器和接口等相关附件的公称压力应与水带相匹配。</w:t>
      </w:r>
    </w:p>
    <w:p>
      <w:pPr>
        <w:spacing w:before="190" w:after="190"/>
        <w:ind w:firstLine="560"/>
        <w:rPr>
          <w:rFonts w:ascii="宋体" w:hAnsi="宋体"/>
        </w:rPr>
      </w:pPr>
      <w:r>
        <w:rPr>
          <w:rFonts w:hint="eastAsia" w:ascii="宋体" w:hAnsi="宋体"/>
        </w:rPr>
        <w:t>（三）抢险救援器材、消防员防护器材</w:t>
      </w:r>
    </w:p>
    <w:p>
      <w:pPr>
        <w:spacing w:before="190" w:after="190"/>
        <w:ind w:firstLine="560"/>
        <w:rPr>
          <w:rFonts w:ascii="宋体" w:hAnsi="宋体"/>
        </w:rPr>
      </w:pPr>
      <w:r>
        <w:rPr>
          <w:rFonts w:hint="eastAsia" w:ascii="宋体" w:hAnsi="宋体"/>
        </w:rPr>
        <w:t>普通站的抢险救援器材及消防员防护装备品种、数量配备、技术性能应符合国家有关标准。</w:t>
      </w:r>
    </w:p>
    <w:p>
      <w:pPr>
        <w:spacing w:before="190" w:after="190"/>
        <w:ind w:firstLine="560"/>
        <w:rPr>
          <w:rFonts w:ascii="宋体" w:hAnsi="宋体"/>
        </w:rPr>
      </w:pPr>
      <w:r>
        <w:rPr>
          <w:rFonts w:hint="eastAsia" w:ascii="宋体" w:hAnsi="宋体"/>
        </w:rPr>
        <w:t>第三十三条：消防人员规划</w:t>
      </w:r>
    </w:p>
    <w:p>
      <w:pPr>
        <w:spacing w:before="190" w:after="190"/>
        <w:ind w:firstLine="840" w:firstLineChars="300"/>
        <w:rPr>
          <w:rFonts w:ascii="宋体" w:hAnsi="宋体"/>
        </w:rPr>
      </w:pPr>
      <w:r>
        <w:rPr>
          <w:rFonts w:hint="eastAsia" w:ascii="宋体" w:hAnsi="宋体"/>
        </w:rPr>
        <w:t>消防站人员配备应达到下表规定的标准。</w:t>
      </w:r>
    </w:p>
    <w:tbl>
      <w:tblPr>
        <w:tblStyle w:val="10"/>
        <w:tblW w:w="4881"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606"/>
        <w:gridCol w:w="1508"/>
        <w:gridCol w:w="2126"/>
        <w:gridCol w:w="2244"/>
        <w:gridCol w:w="1841"/>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6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序号</w:t>
            </w:r>
          </w:p>
        </w:tc>
        <w:tc>
          <w:tcPr>
            <w:tcW w:w="90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名称</w:t>
            </w:r>
          </w:p>
        </w:tc>
        <w:tc>
          <w:tcPr>
            <w:tcW w:w="1277"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规划性质</w:t>
            </w:r>
          </w:p>
        </w:tc>
        <w:tc>
          <w:tcPr>
            <w:tcW w:w="1348"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现状消防人员（人）</w:t>
            </w:r>
          </w:p>
        </w:tc>
        <w:tc>
          <w:tcPr>
            <w:tcW w:w="1105"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规划消防人员（人）</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6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1</w:t>
            </w:r>
          </w:p>
        </w:tc>
        <w:tc>
          <w:tcPr>
            <w:tcW w:w="90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花马池站</w:t>
            </w:r>
          </w:p>
        </w:tc>
        <w:tc>
          <w:tcPr>
            <w:tcW w:w="12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一级普通兼化工特勤消防站</w:t>
            </w:r>
          </w:p>
        </w:tc>
        <w:tc>
          <w:tcPr>
            <w:tcW w:w="134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22</w:t>
            </w:r>
          </w:p>
        </w:tc>
        <w:tc>
          <w:tcPr>
            <w:tcW w:w="110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6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2</w:t>
            </w:r>
          </w:p>
        </w:tc>
        <w:tc>
          <w:tcPr>
            <w:tcW w:w="90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规划一号站</w:t>
            </w:r>
          </w:p>
        </w:tc>
        <w:tc>
          <w:tcPr>
            <w:tcW w:w="12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一级普通消防站</w:t>
            </w:r>
          </w:p>
        </w:tc>
        <w:tc>
          <w:tcPr>
            <w:tcW w:w="134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新建</w:t>
            </w:r>
          </w:p>
        </w:tc>
        <w:tc>
          <w:tcPr>
            <w:tcW w:w="110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35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6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3</w:t>
            </w:r>
          </w:p>
        </w:tc>
        <w:tc>
          <w:tcPr>
            <w:tcW w:w="90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规划二号站</w:t>
            </w:r>
          </w:p>
        </w:tc>
        <w:tc>
          <w:tcPr>
            <w:tcW w:w="12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二级普通消防站</w:t>
            </w:r>
          </w:p>
        </w:tc>
        <w:tc>
          <w:tcPr>
            <w:tcW w:w="134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新建</w:t>
            </w:r>
          </w:p>
        </w:tc>
        <w:tc>
          <w:tcPr>
            <w:tcW w:w="110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22</w:t>
            </w:r>
          </w:p>
        </w:tc>
      </w:tr>
    </w:tbl>
    <w:p>
      <w:pPr>
        <w:pStyle w:val="2"/>
        <w:spacing w:before="190" w:after="190"/>
        <w:jc w:val="center"/>
        <w:rPr>
          <w:rFonts w:ascii="宋体" w:hAnsi="宋体"/>
        </w:rPr>
      </w:pPr>
      <w:bookmarkStart w:id="31" w:name="_Toc8583"/>
      <w:bookmarkStart w:id="32" w:name="_Toc18928"/>
      <w:bookmarkStart w:id="33" w:name="_Toc28447"/>
      <w:bookmarkStart w:id="34" w:name="_Toc89526164"/>
      <w:bookmarkStart w:id="35" w:name="_Toc89525980"/>
      <w:bookmarkStart w:id="36" w:name="_Toc89524723"/>
      <w:r>
        <w:rPr>
          <w:rFonts w:hint="eastAsia" w:ascii="宋体" w:hAnsi="宋体"/>
        </w:rPr>
        <w:t>第六章   消防通信规划</w:t>
      </w:r>
      <w:bookmarkEnd w:id="31"/>
      <w:bookmarkEnd w:id="32"/>
      <w:bookmarkEnd w:id="33"/>
      <w:bookmarkEnd w:id="34"/>
      <w:bookmarkEnd w:id="35"/>
      <w:bookmarkEnd w:id="36"/>
    </w:p>
    <w:p>
      <w:pPr>
        <w:spacing w:before="190" w:after="190"/>
        <w:ind w:firstLine="560"/>
        <w:rPr>
          <w:rFonts w:ascii="宋体" w:hAnsi="宋体"/>
        </w:rPr>
      </w:pPr>
      <w:r>
        <w:rPr>
          <w:rFonts w:hint="eastAsia" w:ascii="宋体" w:hAnsi="宋体"/>
        </w:rPr>
        <w:t>第三十四条：消防通信规划</w:t>
      </w:r>
    </w:p>
    <w:p>
      <w:pPr>
        <w:spacing w:before="190" w:after="190"/>
        <w:ind w:firstLine="560"/>
        <w:rPr>
          <w:rFonts w:ascii="宋体" w:hAnsi="宋体"/>
        </w:rPr>
      </w:pPr>
      <w:r>
        <w:rPr>
          <w:rFonts w:hint="eastAsia" w:ascii="宋体" w:hAnsi="宋体"/>
        </w:rPr>
        <w:t>（一）城市消防通信系统规划和建设应符合《消防通信指挥系统设计规范》(GB 50313-2013)的有关规定。</w:t>
      </w:r>
    </w:p>
    <w:p>
      <w:pPr>
        <w:spacing w:before="190" w:after="190"/>
        <w:ind w:firstLine="560"/>
        <w:rPr>
          <w:rFonts w:ascii="宋体" w:hAnsi="宋体"/>
        </w:rPr>
      </w:pPr>
      <w:r>
        <w:rPr>
          <w:rFonts w:hint="eastAsia" w:ascii="宋体" w:hAnsi="宋体"/>
        </w:rPr>
        <w:t>（二）规划盐池县消防通信指挥由吴忠市消防通信指挥中心统一调度、指挥，消防通信指挥系统应覆盖全县，并具有受理火灾及其他灾害事故报警、灭火救援指挥调度、情报信息支持等主要功能。</w:t>
      </w:r>
    </w:p>
    <w:p>
      <w:pPr>
        <w:spacing w:before="190" w:after="190"/>
        <w:ind w:firstLineChars="150"/>
        <w:rPr>
          <w:rFonts w:ascii="宋体" w:hAnsi="宋体"/>
        </w:rPr>
      </w:pPr>
      <w:r>
        <w:rPr>
          <w:rFonts w:hint="eastAsia" w:ascii="宋体" w:hAnsi="宋体"/>
        </w:rPr>
        <w:t>（三）</w:t>
      </w:r>
      <w:r>
        <w:rPr>
          <w:rFonts w:ascii="宋体" w:hAnsi="宋体"/>
        </w:rPr>
        <w:t>消防通</w:t>
      </w:r>
      <w:r>
        <w:rPr>
          <w:rFonts w:hint="eastAsia" w:ascii="宋体" w:hAnsi="宋体"/>
        </w:rPr>
        <w:t>信</w:t>
      </w:r>
      <w:r>
        <w:rPr>
          <w:rFonts w:ascii="宋体" w:hAnsi="宋体"/>
        </w:rPr>
        <w:t>装备建设必须立足实战、适度超前，应拥有一定数量</w:t>
      </w:r>
      <w:r>
        <w:rPr>
          <w:rFonts w:hint="eastAsia" w:ascii="宋体" w:hAnsi="宋体"/>
        </w:rPr>
        <w:t>、</w:t>
      </w:r>
      <w:r>
        <w:rPr>
          <w:rFonts w:ascii="宋体" w:hAnsi="宋体"/>
        </w:rPr>
        <w:t>科技含量较高、满足灭火救援现实需求的通讯技术装备，达到国内同类型城市消防</w:t>
      </w:r>
      <w:r>
        <w:rPr>
          <w:rFonts w:hint="eastAsia" w:ascii="宋体" w:hAnsi="宋体"/>
        </w:rPr>
        <w:t>通信</w:t>
      </w:r>
      <w:r>
        <w:rPr>
          <w:rFonts w:ascii="宋体" w:hAnsi="宋体"/>
        </w:rPr>
        <w:t>装备的</w:t>
      </w:r>
      <w:r>
        <w:rPr>
          <w:rFonts w:hint="eastAsia" w:ascii="宋体" w:hAnsi="宋体"/>
        </w:rPr>
        <w:t>先进</w:t>
      </w:r>
      <w:r>
        <w:rPr>
          <w:rFonts w:ascii="宋体" w:hAnsi="宋体"/>
        </w:rPr>
        <w:t>水平。</w:t>
      </w:r>
    </w:p>
    <w:p>
      <w:pPr>
        <w:spacing w:before="190" w:after="190"/>
        <w:ind w:firstLineChars="150"/>
        <w:rPr>
          <w:rFonts w:ascii="宋体" w:hAnsi="宋体"/>
        </w:rPr>
      </w:pPr>
      <w:r>
        <w:rPr>
          <w:rFonts w:hint="eastAsia" w:ascii="宋体" w:hAnsi="宋体"/>
        </w:rPr>
        <w:t>（四）消防有线通信系统采用“集中接警”的方式接警，消防无线通信系统以实现火场通信“三级组网”和有线、无线汇接为基本要求；建立全方位计算机处理信息系统、图像传输系统，并全程掌握消防车运行轨迹的定位系统；采用计算机及网络通信技术，建立城市火灾自动报警监控管理网络系统。</w:t>
      </w:r>
    </w:p>
    <w:p>
      <w:pPr>
        <w:spacing w:before="190" w:after="190"/>
        <w:ind w:firstLine="560"/>
        <w:rPr>
          <w:rFonts w:ascii="宋体" w:hAnsi="宋体"/>
        </w:rPr>
      </w:pPr>
      <w:r>
        <w:rPr>
          <w:rFonts w:hint="eastAsia" w:ascii="宋体" w:hAnsi="宋体"/>
        </w:rPr>
        <w:t>第三十五条：智慧消防建设</w:t>
      </w:r>
    </w:p>
    <w:p>
      <w:pPr>
        <w:spacing w:before="190" w:after="190"/>
        <w:ind w:firstLineChars="150"/>
        <w:rPr>
          <w:rFonts w:ascii="宋体" w:hAnsi="宋体"/>
        </w:rPr>
      </w:pPr>
      <w:r>
        <w:rPr>
          <w:rFonts w:hint="eastAsia" w:ascii="宋体" w:hAnsi="宋体"/>
        </w:rPr>
        <w:t>（一）推进消防信息建设。优化升级消防通信基础网络，实现高质量、超高速、大容量传输，达到作战区域全覆盖、无盲区、立体化的通信模式。</w:t>
      </w:r>
    </w:p>
    <w:p>
      <w:pPr>
        <w:spacing w:before="190" w:after="190"/>
        <w:ind w:firstLineChars="150"/>
        <w:rPr>
          <w:rFonts w:ascii="宋体" w:hAnsi="宋体"/>
        </w:rPr>
      </w:pPr>
      <w:r>
        <w:rPr>
          <w:rFonts w:hint="eastAsia" w:ascii="宋体" w:hAnsi="宋体"/>
        </w:rPr>
        <w:t>（二）近期利用消防App智能终端实现多样化功能和海量信息数据共享。远期研发“消防云”、“大数据”、“互联网+消防”应用平台，建成消防装备物联网系统和容灾备份中心，实现智慧防控、智慧作战、智慧执法、智慧管理。</w:t>
      </w:r>
    </w:p>
    <w:p>
      <w:pPr>
        <w:pStyle w:val="2"/>
        <w:spacing w:before="190" w:after="190"/>
        <w:jc w:val="center"/>
        <w:rPr>
          <w:rFonts w:ascii="宋体" w:hAnsi="宋体"/>
        </w:rPr>
      </w:pPr>
      <w:bookmarkStart w:id="37" w:name="_Toc15150"/>
      <w:bookmarkStart w:id="38" w:name="_Toc21544"/>
      <w:bookmarkStart w:id="39" w:name="_Toc89525981"/>
      <w:bookmarkStart w:id="40" w:name="_Toc14346"/>
      <w:bookmarkStart w:id="41" w:name="_Toc89524724"/>
      <w:bookmarkStart w:id="42" w:name="_Toc89526165"/>
      <w:r>
        <w:rPr>
          <w:rFonts w:hint="eastAsia" w:ascii="宋体" w:hAnsi="宋体"/>
        </w:rPr>
        <w:t>第七章   消防给水规划</w:t>
      </w:r>
      <w:bookmarkEnd w:id="37"/>
      <w:bookmarkEnd w:id="38"/>
      <w:bookmarkEnd w:id="39"/>
      <w:bookmarkEnd w:id="40"/>
      <w:bookmarkEnd w:id="41"/>
      <w:bookmarkEnd w:id="42"/>
    </w:p>
    <w:p>
      <w:pPr>
        <w:spacing w:before="190" w:after="190"/>
        <w:ind w:firstLine="560"/>
        <w:rPr>
          <w:rFonts w:ascii="宋体" w:hAnsi="宋体"/>
        </w:rPr>
      </w:pPr>
      <w:r>
        <w:rPr>
          <w:rFonts w:hint="eastAsia" w:ascii="宋体" w:hAnsi="宋体"/>
        </w:rPr>
        <w:t>第三十六条：城市消防用水量</w:t>
      </w:r>
    </w:p>
    <w:p>
      <w:pPr>
        <w:spacing w:before="190" w:after="190"/>
        <w:ind w:firstLine="560"/>
        <w:rPr>
          <w:rFonts w:ascii="宋体" w:hAnsi="宋体"/>
        </w:rPr>
      </w:pPr>
      <w:r>
        <w:rPr>
          <w:rFonts w:hint="eastAsia" w:ascii="宋体" w:hAnsi="宋体"/>
        </w:rPr>
        <w:t>近期同一时间内的火灾次数2次，一次灭火用水量35L/s，远期同一时间内的火灾次数2次，一次灭火用水量45L/s。</w:t>
      </w:r>
    </w:p>
    <w:p>
      <w:pPr>
        <w:spacing w:before="190" w:after="190"/>
        <w:ind w:firstLine="560"/>
        <w:rPr>
          <w:rFonts w:ascii="宋体" w:hAnsi="宋体"/>
        </w:rPr>
      </w:pPr>
      <w:r>
        <w:rPr>
          <w:rFonts w:hint="eastAsia" w:ascii="宋体" w:hAnsi="宋体"/>
        </w:rPr>
        <w:t>第三十七条：消防供水水源</w:t>
      </w:r>
    </w:p>
    <w:p>
      <w:pPr>
        <w:spacing w:before="190" w:after="190"/>
        <w:ind w:firstLine="560"/>
        <w:rPr>
          <w:rFonts w:ascii="宋体" w:hAnsi="宋体"/>
        </w:rPr>
      </w:pPr>
      <w:r>
        <w:rPr>
          <w:rFonts w:hint="eastAsia" w:ascii="宋体" w:hAnsi="宋体"/>
        </w:rPr>
        <w:t>消防供水水源依托城市供水，规划供水水源以刘家沟水库和鸭子荡水库为主水源，骆驼井水源地为应急备用水源。城市远期最高日用水量为 4.2 万立方米/日。居民生活及对水质要求较高的工业用水由城市供水管网统一供应，远期供水规模3.0万立方米/日；道路、绿地浇洒用水、景观用水、洗车用水及对水质要求不高的工业用水等由规划再生水供应，远期再生水规模1.2万立方米/日。</w:t>
      </w:r>
    </w:p>
    <w:p>
      <w:pPr>
        <w:spacing w:before="190" w:after="190"/>
        <w:ind w:firstLine="560"/>
        <w:rPr>
          <w:rFonts w:ascii="宋体" w:hAnsi="宋体"/>
        </w:rPr>
      </w:pPr>
      <w:r>
        <w:rPr>
          <w:rFonts w:hint="eastAsia" w:ascii="宋体" w:hAnsi="宋体"/>
        </w:rPr>
        <w:t>第三十八条：消防供水管网</w:t>
      </w:r>
    </w:p>
    <w:p>
      <w:pPr>
        <w:spacing w:before="190" w:after="190"/>
        <w:ind w:firstLine="560"/>
        <w:rPr>
          <w:rFonts w:ascii="宋体" w:hAnsi="宋体"/>
        </w:rPr>
      </w:pPr>
      <w:r>
        <w:rPr>
          <w:rFonts w:hint="eastAsia" w:ascii="宋体" w:hAnsi="宋体"/>
        </w:rPr>
        <w:t>（一）规划期内应逐步改造和完善城区配水管网，使城区内配水主管网行成环状，以提高供水保证率。</w:t>
      </w:r>
    </w:p>
    <w:p>
      <w:pPr>
        <w:spacing w:before="190" w:after="190"/>
        <w:ind w:firstLine="560"/>
        <w:rPr>
          <w:rFonts w:ascii="宋体" w:hAnsi="宋体"/>
        </w:rPr>
      </w:pPr>
      <w:r>
        <w:rPr>
          <w:rFonts w:hint="eastAsia" w:ascii="宋体" w:hAnsi="宋体"/>
        </w:rPr>
        <w:t>（二）城市消防供水管道与城市生产、生活给水管道合并使用，应保证在生产用水和生活用水高峰时段，仍能供应全部消防用水量。</w:t>
      </w:r>
    </w:p>
    <w:p>
      <w:pPr>
        <w:spacing w:before="190" w:after="190"/>
        <w:ind w:firstLine="562"/>
        <w:rPr>
          <w:rFonts w:ascii="宋体" w:hAnsi="宋体"/>
          <w:b/>
        </w:rPr>
      </w:pPr>
      <w:r>
        <w:rPr>
          <w:rFonts w:hint="eastAsia" w:ascii="宋体" w:hAnsi="宋体"/>
          <w:b/>
        </w:rPr>
        <w:t>第三十九条：市政消火栓规划</w:t>
      </w:r>
    </w:p>
    <w:p>
      <w:pPr>
        <w:spacing w:before="190" w:after="190"/>
        <w:ind w:firstLine="562"/>
        <w:rPr>
          <w:rFonts w:ascii="宋体" w:hAnsi="宋体"/>
          <w:b/>
        </w:rPr>
      </w:pPr>
      <w:r>
        <w:rPr>
          <w:rFonts w:hint="eastAsia" w:ascii="宋体" w:hAnsi="宋体"/>
          <w:b/>
        </w:rPr>
        <w:t>（一）结合旧城改造，对老城区消火栓损坏或应设而未设消火栓地段，维修、补足市政消火栓；新建城区、工业园区应按规定设置消火栓，提高城市消防供水能力，确保城市安全。</w:t>
      </w:r>
    </w:p>
    <w:p>
      <w:pPr>
        <w:spacing w:before="190" w:after="190"/>
        <w:ind w:firstLine="562"/>
        <w:rPr>
          <w:rFonts w:ascii="宋体" w:hAnsi="宋体"/>
          <w:b/>
        </w:rPr>
      </w:pPr>
      <w:r>
        <w:rPr>
          <w:rFonts w:hint="eastAsia" w:ascii="宋体" w:hAnsi="宋体"/>
          <w:b/>
        </w:rPr>
        <w:t>（二）规划期内市政消火栓建有率应达到100%，完好率达到98%；市政消火栓均采用地下式，采用直径DN150的室外消火栓。</w:t>
      </w:r>
    </w:p>
    <w:p>
      <w:pPr>
        <w:spacing w:before="190" w:after="190"/>
        <w:ind w:firstLine="562"/>
        <w:rPr>
          <w:rFonts w:ascii="宋体" w:hAnsi="宋体"/>
          <w:b/>
        </w:rPr>
      </w:pPr>
      <w:r>
        <w:rPr>
          <w:rFonts w:hint="eastAsia" w:ascii="宋体" w:hAnsi="宋体"/>
          <w:b/>
        </w:rPr>
        <w:t>（三）近期增补市政消火栓466个，远期市政消火栓总数达到954个。</w:t>
      </w:r>
    </w:p>
    <w:p>
      <w:pPr>
        <w:spacing w:before="190" w:after="190"/>
        <w:ind w:firstLine="562"/>
        <w:rPr>
          <w:rFonts w:ascii="宋体" w:hAnsi="宋体"/>
          <w:b/>
        </w:rPr>
      </w:pPr>
      <w:r>
        <w:rPr>
          <w:rFonts w:hint="eastAsia" w:ascii="宋体" w:hAnsi="宋体"/>
          <w:b/>
        </w:rPr>
        <w:t>第四十条：消防水鹤规划</w:t>
      </w:r>
    </w:p>
    <w:p>
      <w:pPr>
        <w:spacing w:before="190" w:after="190"/>
        <w:ind w:firstLine="562"/>
        <w:rPr>
          <w:rFonts w:ascii="宋体" w:hAnsi="宋体"/>
          <w:b/>
        </w:rPr>
      </w:pPr>
      <w:r>
        <w:rPr>
          <w:rFonts w:hint="eastAsia" w:ascii="宋体" w:hAnsi="宋体"/>
          <w:b/>
        </w:rPr>
        <w:t>按照服务半径不宜大于1000米的规范要求，规划共设置消防水鹤9处，其中现状3处、新增6处。</w:t>
      </w:r>
    </w:p>
    <w:p>
      <w:pPr>
        <w:spacing w:before="190" w:after="190"/>
        <w:ind w:firstLine="560"/>
        <w:rPr>
          <w:rFonts w:ascii="宋体" w:hAnsi="宋体"/>
        </w:rPr>
      </w:pPr>
      <w:r>
        <w:rPr>
          <w:rFonts w:hint="eastAsia" w:ascii="宋体" w:hAnsi="宋体"/>
        </w:rPr>
        <w:t>第四十一条：消防应急、备用水源规划</w:t>
      </w:r>
    </w:p>
    <w:p>
      <w:pPr>
        <w:spacing w:before="190" w:after="190"/>
        <w:ind w:firstLine="560"/>
        <w:rPr>
          <w:rFonts w:ascii="宋体" w:hAnsi="宋体"/>
        </w:rPr>
      </w:pPr>
      <w:r>
        <w:rPr>
          <w:rFonts w:hint="eastAsia" w:ascii="宋体" w:hAnsi="宋体"/>
        </w:rPr>
        <w:t>规划饮马湖、虎胜墩水库作为城市消防备用水源，在其适当位置建设取水口，设置明显标志，严禁占用和堆放物品。</w:t>
      </w:r>
    </w:p>
    <w:p>
      <w:pPr>
        <w:pStyle w:val="2"/>
        <w:spacing w:before="190" w:after="190"/>
        <w:jc w:val="center"/>
        <w:rPr>
          <w:rFonts w:ascii="宋体" w:hAnsi="宋体"/>
        </w:rPr>
      </w:pPr>
      <w:bookmarkStart w:id="43" w:name="_Toc89525982"/>
      <w:bookmarkStart w:id="44" w:name="_Toc89526166"/>
      <w:bookmarkStart w:id="45" w:name="_Toc31641"/>
      <w:bookmarkStart w:id="46" w:name="_Toc31307"/>
      <w:bookmarkStart w:id="47" w:name="_Toc30169"/>
      <w:bookmarkStart w:id="48" w:name="_Toc89524725"/>
      <w:r>
        <w:rPr>
          <w:rFonts w:hint="eastAsia" w:ascii="宋体" w:hAnsi="宋体"/>
        </w:rPr>
        <w:t>第八章   消防通道规划</w:t>
      </w:r>
      <w:bookmarkEnd w:id="43"/>
      <w:bookmarkEnd w:id="44"/>
      <w:bookmarkEnd w:id="45"/>
      <w:bookmarkEnd w:id="46"/>
      <w:bookmarkEnd w:id="47"/>
      <w:bookmarkEnd w:id="48"/>
    </w:p>
    <w:p>
      <w:pPr>
        <w:spacing w:before="190" w:after="190"/>
        <w:ind w:firstLine="560"/>
        <w:rPr>
          <w:rFonts w:ascii="宋体" w:hAnsi="宋体"/>
        </w:rPr>
      </w:pPr>
      <w:r>
        <w:rPr>
          <w:rFonts w:hint="eastAsia" w:ascii="宋体" w:hAnsi="宋体"/>
        </w:rPr>
        <w:t>第四十二条：消防通道规划</w:t>
      </w:r>
    </w:p>
    <w:p>
      <w:pPr>
        <w:spacing w:before="190" w:after="190"/>
        <w:ind w:firstLine="560"/>
        <w:rPr>
          <w:rFonts w:ascii="宋体" w:hAnsi="宋体"/>
        </w:rPr>
      </w:pPr>
      <w:r>
        <w:rPr>
          <w:rFonts w:hint="eastAsia" w:ascii="宋体" w:hAnsi="宋体"/>
        </w:rPr>
        <w:t>（一）规划城市消防通道分三个等级：</w:t>
      </w:r>
    </w:p>
    <w:p>
      <w:pPr>
        <w:spacing w:before="190" w:after="190"/>
        <w:ind w:firstLine="560"/>
        <w:rPr>
          <w:rFonts w:ascii="宋体" w:hAnsi="宋体"/>
        </w:rPr>
      </w:pPr>
      <w:r>
        <w:rPr>
          <w:rFonts w:hint="eastAsia" w:ascii="宋体" w:hAnsi="宋体"/>
        </w:rPr>
        <w:t>（1）一级消防通道：</w:t>
      </w:r>
    </w:p>
    <w:p>
      <w:pPr>
        <w:spacing w:before="190" w:after="190"/>
        <w:ind w:firstLine="560"/>
        <w:rPr>
          <w:rFonts w:ascii="宋体" w:hAnsi="宋体"/>
        </w:rPr>
      </w:pPr>
      <w:r>
        <w:rPr>
          <w:rFonts w:hint="eastAsia" w:ascii="宋体" w:hAnsi="宋体"/>
        </w:rPr>
        <w:t>高速公路、国省道公路、城市主干路（连接各组团的城市主干路），设计行驶速度为40—60公里小时以上。</w:t>
      </w:r>
    </w:p>
    <w:p>
      <w:pPr>
        <w:spacing w:before="190" w:after="190"/>
        <w:ind w:firstLine="560"/>
        <w:rPr>
          <w:rFonts w:ascii="宋体" w:hAnsi="宋体"/>
        </w:rPr>
      </w:pPr>
      <w:r>
        <w:rPr>
          <w:rFonts w:hint="eastAsia" w:ascii="宋体" w:hAnsi="宋体"/>
        </w:rPr>
        <w:t>（2）二级消防通道</w:t>
      </w:r>
    </w:p>
    <w:p>
      <w:pPr>
        <w:spacing w:before="190" w:after="190"/>
        <w:ind w:firstLine="560"/>
        <w:rPr>
          <w:rFonts w:ascii="宋体" w:hAnsi="宋体"/>
        </w:rPr>
      </w:pPr>
      <w:r>
        <w:rPr>
          <w:rFonts w:hint="eastAsia" w:ascii="宋体" w:hAnsi="宋体"/>
        </w:rPr>
        <w:t>城市主干路（各组团内部主干路），城市次干路、城市支路。</w:t>
      </w:r>
    </w:p>
    <w:p>
      <w:pPr>
        <w:spacing w:before="190" w:after="190"/>
        <w:ind w:firstLine="560"/>
        <w:rPr>
          <w:rFonts w:ascii="宋体" w:hAnsi="宋体"/>
        </w:rPr>
      </w:pPr>
      <w:r>
        <w:rPr>
          <w:rFonts w:hint="eastAsia" w:ascii="宋体" w:hAnsi="宋体"/>
        </w:rPr>
        <w:t>（3）三级消防通道</w:t>
      </w:r>
    </w:p>
    <w:p>
      <w:pPr>
        <w:spacing w:before="190" w:after="190"/>
        <w:ind w:firstLine="560"/>
        <w:rPr>
          <w:rFonts w:ascii="宋体" w:hAnsi="宋体"/>
        </w:rPr>
      </w:pPr>
      <w:r>
        <w:rPr>
          <w:rFonts w:hint="eastAsia" w:ascii="宋体" w:hAnsi="宋体"/>
        </w:rPr>
        <w:t>居住区、小区、组团内部道路。</w:t>
      </w:r>
    </w:p>
    <w:p>
      <w:pPr>
        <w:spacing w:before="190" w:after="190"/>
        <w:ind w:firstLine="560"/>
        <w:rPr>
          <w:rFonts w:ascii="宋体" w:hAnsi="宋体"/>
        </w:rPr>
      </w:pPr>
      <w:r>
        <w:rPr>
          <w:rFonts w:hint="eastAsia" w:ascii="宋体" w:hAnsi="宋体"/>
        </w:rPr>
        <w:t>（二）消防通道间距、消防通道净宽度、净空高度、与建筑外墙间距、消防车通道回车场地等应满足相关技术要求。</w:t>
      </w:r>
    </w:p>
    <w:p>
      <w:pPr>
        <w:spacing w:before="190" w:after="190"/>
        <w:ind w:firstLine="560"/>
        <w:rPr>
          <w:rFonts w:ascii="宋体" w:hAnsi="宋体"/>
        </w:rPr>
      </w:pPr>
      <w:r>
        <w:rPr>
          <w:rFonts w:hint="eastAsia" w:ascii="宋体" w:hAnsi="宋体"/>
        </w:rPr>
        <w:t>（三）完善城市道路网络，改造、拓宽旧城区道路，疏导旧城区道路交通，整治占道经营、机动车占道停车、乱停乱放等违章行为，提高消防车的通行速度，确保消防通道畅通。。</w:t>
      </w:r>
    </w:p>
    <w:p>
      <w:pPr>
        <w:spacing w:before="190" w:after="190"/>
        <w:ind w:firstLine="562"/>
        <w:rPr>
          <w:rFonts w:ascii="宋体" w:hAnsi="宋体"/>
          <w:b/>
        </w:rPr>
      </w:pPr>
      <w:r>
        <w:rPr>
          <w:rFonts w:hint="eastAsia" w:ascii="宋体" w:hAnsi="宋体"/>
          <w:b/>
        </w:rPr>
        <w:t>第四十三条：危险品运输路线规划</w:t>
      </w:r>
    </w:p>
    <w:p>
      <w:pPr>
        <w:spacing w:before="190" w:after="190"/>
        <w:ind w:firstLine="562"/>
        <w:rPr>
          <w:rFonts w:ascii="宋体" w:hAnsi="宋体"/>
          <w:b/>
        </w:rPr>
      </w:pPr>
      <w:r>
        <w:rPr>
          <w:rFonts w:hint="eastAsia" w:ascii="宋体" w:hAnsi="宋体"/>
          <w:b/>
        </w:rPr>
        <w:t>（一）生产用剧毒、易燃易爆物品的运输，由其主管销售、运输部门，根据交通运输流量、季节、上下班高峰和有关重大事项，限定时间按指定路线运输。</w:t>
      </w:r>
    </w:p>
    <w:p>
      <w:pPr>
        <w:spacing w:before="190" w:after="190"/>
        <w:ind w:firstLine="562"/>
        <w:rPr>
          <w:rFonts w:ascii="宋体" w:hAnsi="宋体"/>
          <w:b/>
        </w:rPr>
      </w:pPr>
      <w:r>
        <w:rPr>
          <w:rFonts w:hint="eastAsia" w:ascii="宋体" w:hAnsi="宋体"/>
          <w:b/>
        </w:rPr>
        <w:t>（二）危险品运输路线一：规划危险品过境运输路线由青银高速、307国道、五原南路、凝翠路、东二环路等组成。</w:t>
      </w:r>
    </w:p>
    <w:p>
      <w:pPr>
        <w:spacing w:before="190" w:after="190"/>
        <w:ind w:firstLine="562"/>
        <w:rPr>
          <w:rFonts w:ascii="宋体" w:hAnsi="宋体"/>
          <w:b/>
        </w:rPr>
      </w:pPr>
      <w:r>
        <w:rPr>
          <w:rFonts w:hint="eastAsia" w:ascii="宋体" w:hAnsi="宋体"/>
          <w:b/>
        </w:rPr>
        <w:t>（三）危险品运输路线二：市区内危险品运输线路，由东顺街、民族东街等组成。</w:t>
      </w:r>
    </w:p>
    <w:p>
      <w:pPr>
        <w:spacing w:before="190" w:after="190"/>
        <w:ind w:firstLine="562"/>
        <w:rPr>
          <w:rFonts w:ascii="宋体" w:hAnsi="宋体"/>
          <w:b/>
        </w:rPr>
      </w:pPr>
      <w:r>
        <w:rPr>
          <w:rFonts w:hint="eastAsia" w:ascii="宋体" w:hAnsi="宋体"/>
          <w:b/>
        </w:rPr>
        <w:t>（四）为确保危险品过境运输的安全性，规划运输车辆应避开高峰时段，运输时间为：</w:t>
      </w:r>
    </w:p>
    <w:p>
      <w:pPr>
        <w:spacing w:before="190" w:after="190"/>
        <w:ind w:firstLine="562"/>
        <w:rPr>
          <w:rFonts w:ascii="宋体" w:hAnsi="宋体"/>
          <w:b/>
        </w:rPr>
      </w:pPr>
      <w:r>
        <w:rPr>
          <w:rFonts w:hint="eastAsia" w:ascii="宋体" w:hAnsi="宋体"/>
          <w:b/>
        </w:rPr>
        <w:t>危险品运输路线一：（20:00—7:00）和（10:00—15:00）；</w:t>
      </w:r>
    </w:p>
    <w:p>
      <w:pPr>
        <w:spacing w:before="190" w:after="190"/>
        <w:ind w:firstLine="562"/>
        <w:rPr>
          <w:rFonts w:ascii="宋体" w:hAnsi="宋体"/>
        </w:rPr>
      </w:pPr>
      <w:r>
        <w:rPr>
          <w:rFonts w:hint="eastAsia" w:ascii="宋体" w:hAnsi="宋体"/>
          <w:b/>
        </w:rPr>
        <w:t>危险品运输路线二：（22:00—7:00）</w:t>
      </w:r>
      <w:r>
        <w:rPr>
          <w:rFonts w:hint="eastAsia" w:ascii="宋体" w:hAnsi="宋体"/>
        </w:rPr>
        <w:t>。</w:t>
      </w:r>
    </w:p>
    <w:p>
      <w:pPr>
        <w:pStyle w:val="2"/>
        <w:spacing w:before="190" w:after="190"/>
        <w:jc w:val="center"/>
        <w:rPr>
          <w:rFonts w:ascii="宋体" w:hAnsi="宋体"/>
        </w:rPr>
      </w:pPr>
      <w:bookmarkStart w:id="49" w:name="_Toc89524726"/>
      <w:bookmarkStart w:id="50" w:name="_Toc89525983"/>
      <w:bookmarkStart w:id="51" w:name="_Toc3144"/>
      <w:bookmarkStart w:id="52" w:name="_Toc28734"/>
      <w:bookmarkStart w:id="53" w:name="_Toc6077"/>
      <w:bookmarkStart w:id="54" w:name="_Toc89526167"/>
      <w:r>
        <w:rPr>
          <w:rFonts w:hint="eastAsia" w:ascii="宋体" w:hAnsi="宋体"/>
        </w:rPr>
        <w:t>第九章   消防供电规划</w:t>
      </w:r>
      <w:bookmarkEnd w:id="49"/>
      <w:bookmarkEnd w:id="50"/>
      <w:bookmarkEnd w:id="51"/>
      <w:bookmarkEnd w:id="52"/>
      <w:bookmarkEnd w:id="53"/>
      <w:bookmarkEnd w:id="54"/>
    </w:p>
    <w:p>
      <w:pPr>
        <w:spacing w:before="190" w:after="190"/>
        <w:ind w:firstLine="560"/>
        <w:rPr>
          <w:rFonts w:ascii="宋体" w:hAnsi="宋体"/>
        </w:rPr>
      </w:pPr>
      <w:r>
        <w:rPr>
          <w:rFonts w:hint="eastAsia" w:ascii="宋体" w:hAnsi="宋体"/>
        </w:rPr>
        <w:t>第四十四条：城市供电规划</w:t>
      </w:r>
    </w:p>
    <w:p>
      <w:pPr>
        <w:spacing w:before="190" w:after="190"/>
        <w:ind w:firstLine="560"/>
        <w:rPr>
          <w:rFonts w:ascii="宋体" w:hAnsi="宋体"/>
        </w:rPr>
      </w:pPr>
      <w:r>
        <w:rPr>
          <w:rFonts w:hint="eastAsia" w:ascii="宋体" w:hAnsi="宋体"/>
        </w:rPr>
        <w:t>（一）规划扩建城市变电站容量，逐渐将目前2×31.5千伏安变压器扩至3×63千伏安；新增10千伏中压配网采用地下电缆环网形式敷设，新建中压配网统一安排在路东或路南。原有的城市供配电网，随着城市建设的拓展，作相应调整、更新、改造，满足城市建设发展需求。</w:t>
      </w:r>
    </w:p>
    <w:p>
      <w:pPr>
        <w:spacing w:before="190" w:after="190"/>
        <w:ind w:firstLine="560"/>
        <w:rPr>
          <w:rFonts w:ascii="宋体" w:hAnsi="宋体"/>
        </w:rPr>
      </w:pPr>
      <w:r>
        <w:rPr>
          <w:rFonts w:hint="eastAsia" w:ascii="宋体" w:hAnsi="宋体"/>
        </w:rPr>
        <w:t>（二）35千伏及以上线路应设置高压走廊，合理布置防护绿地，统一规范线路走径，尽量减少对建设用地的影响。高压走廊下宜为防护绿带或农田，不应种植高大乔木，严禁违章建、构筑物侵入保护范围内。</w:t>
      </w:r>
    </w:p>
    <w:p>
      <w:pPr>
        <w:spacing w:before="190" w:after="190"/>
        <w:ind w:firstLine="560"/>
        <w:rPr>
          <w:rFonts w:ascii="宋体" w:hAnsi="宋体"/>
        </w:rPr>
      </w:pPr>
      <w:r>
        <w:rPr>
          <w:rFonts w:hint="eastAsia" w:ascii="宋体" w:hAnsi="宋体"/>
        </w:rPr>
        <w:t>第四十五条：消防供电规划</w:t>
      </w:r>
    </w:p>
    <w:p>
      <w:pPr>
        <w:spacing w:before="190" w:after="190"/>
        <w:ind w:firstLine="560"/>
        <w:rPr>
          <w:rFonts w:ascii="宋体" w:hAnsi="宋体"/>
        </w:rPr>
      </w:pPr>
      <w:r>
        <w:rPr>
          <w:rFonts w:hint="eastAsia" w:ascii="宋体" w:hAnsi="宋体"/>
        </w:rPr>
        <w:t>（一）城市消防、供气、通信、医疗、供电等重要部门均应双电源供电；对个别消防安全重点单位供电设备损坏严重的，应限期整改。</w:t>
      </w:r>
    </w:p>
    <w:p>
      <w:pPr>
        <w:spacing w:before="190" w:after="190"/>
        <w:ind w:firstLine="560"/>
        <w:rPr>
          <w:rFonts w:ascii="宋体" w:hAnsi="宋体"/>
        </w:rPr>
      </w:pPr>
      <w:r>
        <w:rPr>
          <w:rFonts w:hint="eastAsia" w:ascii="宋体" w:hAnsi="宋体"/>
        </w:rPr>
        <w:t>（二）一级负荷用电单位必须设置自动切换系统或设置自备发电。大型公共建筑和重要场所的变电设施应采用不带可燃性油的高、低压配电装置。</w:t>
      </w:r>
    </w:p>
    <w:p>
      <w:pPr>
        <w:pStyle w:val="2"/>
        <w:spacing w:before="190" w:after="190"/>
        <w:jc w:val="center"/>
        <w:rPr>
          <w:rFonts w:ascii="宋体" w:hAnsi="宋体"/>
        </w:rPr>
      </w:pPr>
      <w:bookmarkStart w:id="55" w:name="_Toc24793"/>
      <w:bookmarkStart w:id="56" w:name="_Toc89525984"/>
      <w:bookmarkStart w:id="57" w:name="_Toc89524727"/>
      <w:bookmarkStart w:id="58" w:name="_Toc2451"/>
      <w:bookmarkStart w:id="59" w:name="_Toc89526168"/>
      <w:bookmarkStart w:id="60" w:name="_Toc11770"/>
      <w:r>
        <w:rPr>
          <w:rFonts w:hint="eastAsia" w:ascii="宋体" w:hAnsi="宋体"/>
        </w:rPr>
        <w:t>第十章   应急救援规划</w:t>
      </w:r>
      <w:bookmarkEnd w:id="55"/>
      <w:bookmarkEnd w:id="56"/>
      <w:bookmarkEnd w:id="57"/>
      <w:bookmarkEnd w:id="58"/>
      <w:bookmarkEnd w:id="59"/>
      <w:bookmarkEnd w:id="60"/>
    </w:p>
    <w:p>
      <w:pPr>
        <w:spacing w:before="190" w:after="190"/>
        <w:ind w:firstLine="560"/>
        <w:rPr>
          <w:rFonts w:ascii="宋体" w:hAnsi="宋体"/>
        </w:rPr>
      </w:pPr>
      <w:r>
        <w:rPr>
          <w:rFonts w:hint="eastAsia" w:ascii="宋体" w:hAnsi="宋体"/>
        </w:rPr>
        <w:t>第四十六条：应急救援规划</w:t>
      </w:r>
    </w:p>
    <w:p>
      <w:pPr>
        <w:spacing w:before="190" w:after="190"/>
        <w:ind w:firstLineChars="150"/>
        <w:rPr>
          <w:rFonts w:ascii="宋体" w:hAnsi="宋体"/>
        </w:rPr>
      </w:pPr>
      <w:r>
        <w:rPr>
          <w:rFonts w:hint="eastAsia" w:ascii="宋体" w:hAnsi="宋体"/>
        </w:rPr>
        <w:t>（一）按照国家有关标准配备与本地应急救援相适应的、相对先进的装备，强化针对性的社会应急救援训练。</w:t>
      </w:r>
    </w:p>
    <w:p>
      <w:pPr>
        <w:spacing w:before="190" w:after="190"/>
        <w:ind w:firstLineChars="150"/>
        <w:rPr>
          <w:rFonts w:ascii="宋体" w:hAnsi="宋体"/>
        </w:rPr>
      </w:pPr>
      <w:r>
        <w:rPr>
          <w:rFonts w:hint="eastAsia" w:ascii="宋体" w:hAnsi="宋体"/>
        </w:rPr>
        <w:t>（二）以县级应急救援体系为单元，依托消防救援队伍，结合本地实际，开展针对本区域易发灾害事故和突发事件的训练，强化新知识、新技能和新战法的应用性训练，熟练掌握各类应急救援装备的使用。</w:t>
      </w:r>
    </w:p>
    <w:p>
      <w:pPr>
        <w:spacing w:before="190" w:after="190"/>
        <w:ind w:firstLineChars="150"/>
        <w:rPr>
          <w:rFonts w:ascii="宋体" w:hAnsi="宋体"/>
        </w:rPr>
      </w:pPr>
      <w:r>
        <w:rPr>
          <w:rFonts w:hint="eastAsia" w:ascii="宋体" w:hAnsi="宋体"/>
        </w:rPr>
        <w:t>（三）建立完善社会应急救援战勤保障，依托应急平台，建立突发事件评估机制，充分利用气象、地质、环保等有关部门对自然灾害以及公安部门对社会安全事件等突发事件的评估信息，运用重大危险源评估技术等手段，科学评估应急救援战勤保障需求总量，合理建设应急救援战勤保障中心。</w:t>
      </w:r>
    </w:p>
    <w:p>
      <w:pPr>
        <w:pStyle w:val="2"/>
        <w:spacing w:before="190" w:after="190"/>
        <w:jc w:val="center"/>
        <w:rPr>
          <w:rFonts w:ascii="宋体" w:hAnsi="宋体"/>
        </w:rPr>
      </w:pPr>
      <w:bookmarkStart w:id="61" w:name="_Toc19449"/>
      <w:bookmarkStart w:id="62" w:name="_Toc89526169"/>
      <w:bookmarkStart w:id="63" w:name="_Toc89524728"/>
      <w:bookmarkStart w:id="64" w:name="_Toc1534"/>
      <w:bookmarkStart w:id="65" w:name="_Toc17722"/>
      <w:bookmarkStart w:id="66" w:name="_Toc89525985"/>
      <w:r>
        <w:rPr>
          <w:rFonts w:hint="eastAsia" w:ascii="宋体" w:hAnsi="宋体"/>
        </w:rPr>
        <w:t>第十一章   近期建设规划</w:t>
      </w:r>
      <w:bookmarkEnd w:id="61"/>
      <w:bookmarkEnd w:id="62"/>
      <w:bookmarkEnd w:id="63"/>
      <w:bookmarkEnd w:id="64"/>
      <w:bookmarkEnd w:id="65"/>
      <w:bookmarkEnd w:id="66"/>
    </w:p>
    <w:p>
      <w:pPr>
        <w:spacing w:before="190" w:after="190"/>
        <w:ind w:firstLine="562"/>
        <w:rPr>
          <w:rFonts w:ascii="宋体" w:hAnsi="宋体"/>
          <w:b/>
        </w:rPr>
      </w:pPr>
      <w:r>
        <w:rPr>
          <w:rFonts w:hint="eastAsia" w:ascii="宋体" w:hAnsi="宋体"/>
          <w:b/>
        </w:rPr>
        <w:t>第四十七条：消防站建设</w:t>
      </w:r>
    </w:p>
    <w:p>
      <w:pPr>
        <w:spacing w:before="190" w:after="190"/>
        <w:ind w:firstLine="562"/>
        <w:rPr>
          <w:rFonts w:ascii="宋体" w:hAnsi="宋体"/>
          <w:b/>
        </w:rPr>
      </w:pPr>
      <w:r>
        <w:rPr>
          <w:rFonts w:hint="eastAsia" w:ascii="宋体" w:hAnsi="宋体"/>
          <w:b/>
        </w:rPr>
        <w:t>（一）提升、改造花马池站，完善消防人员、消防车辆、灭火器材、防护器材等装备配置，达到一级普通兼化工特勤消防站标准。</w:t>
      </w:r>
    </w:p>
    <w:p>
      <w:pPr>
        <w:spacing w:before="190" w:after="190"/>
        <w:ind w:firstLine="562"/>
        <w:rPr>
          <w:rFonts w:ascii="宋体" w:hAnsi="宋体"/>
          <w:b/>
        </w:rPr>
      </w:pPr>
      <w:r>
        <w:rPr>
          <w:rFonts w:hint="eastAsia" w:ascii="宋体" w:hAnsi="宋体"/>
          <w:b/>
        </w:rPr>
        <w:t>（二）提升、改造高沙窝政府政府专职消防站，完善消防人员、消防车辆、灭火器材、防护器材等装备配置，达到一级普通消防站标准并兼顾森林草原灭火的要求。</w:t>
      </w:r>
    </w:p>
    <w:p>
      <w:pPr>
        <w:spacing w:before="190" w:after="190"/>
        <w:ind w:firstLine="562"/>
        <w:rPr>
          <w:rFonts w:ascii="宋体" w:hAnsi="宋体"/>
          <w:b/>
        </w:rPr>
      </w:pPr>
      <w:r>
        <w:rPr>
          <w:rFonts w:hint="eastAsia" w:ascii="宋体" w:hAnsi="宋体"/>
          <w:b/>
        </w:rPr>
        <w:t>（三）新建大水坑镇小型消防站，提升大水坑镇消防救援能力。</w:t>
      </w:r>
    </w:p>
    <w:p>
      <w:pPr>
        <w:spacing w:before="190" w:after="190"/>
        <w:ind w:firstLine="562"/>
        <w:rPr>
          <w:rFonts w:ascii="宋体" w:hAnsi="宋体"/>
          <w:b/>
        </w:rPr>
      </w:pPr>
      <w:r>
        <w:rPr>
          <w:rFonts w:hint="eastAsia" w:ascii="宋体" w:hAnsi="宋体"/>
          <w:b/>
        </w:rPr>
        <w:t>（四）提升、改造惠安堡镇乡镇专职消防队，达到一级乡镇专职消防队标准，提升惠安堡镇消防救援能力。</w:t>
      </w:r>
    </w:p>
    <w:p>
      <w:pPr>
        <w:spacing w:before="190" w:after="190"/>
        <w:ind w:firstLine="562"/>
        <w:rPr>
          <w:rFonts w:hint="eastAsia" w:ascii="宋体" w:hAnsi="宋体"/>
          <w:b/>
        </w:rPr>
      </w:pPr>
      <w:r>
        <w:rPr>
          <w:rFonts w:hint="eastAsia" w:ascii="宋体" w:hAnsi="宋体"/>
          <w:b/>
        </w:rPr>
        <w:t>（五）新建青山乡乡镇志愿消防队，按乡镇志愿消防队标准建设。</w:t>
      </w:r>
    </w:p>
    <w:p>
      <w:pPr>
        <w:spacing w:before="190" w:after="190"/>
        <w:ind w:firstLine="562"/>
        <w:rPr>
          <w:rFonts w:ascii="宋体" w:hAnsi="宋体"/>
          <w:b/>
        </w:rPr>
      </w:pPr>
      <w:r>
        <w:rPr>
          <w:rFonts w:hint="eastAsia" w:ascii="宋体" w:hAnsi="宋体"/>
          <w:b/>
        </w:rPr>
        <w:t>第四十八条：消防供水设施建设</w:t>
      </w:r>
    </w:p>
    <w:p>
      <w:pPr>
        <w:spacing w:before="190" w:after="190"/>
        <w:ind w:firstLine="562"/>
        <w:rPr>
          <w:rFonts w:ascii="宋体" w:hAnsi="宋体"/>
          <w:b/>
        </w:rPr>
      </w:pPr>
      <w:r>
        <w:rPr>
          <w:rFonts w:hint="eastAsia" w:ascii="宋体" w:hAnsi="宋体"/>
          <w:b/>
        </w:rPr>
        <w:t>近期重点加强旧城区供水管网改造，对现状损坏的消火栓进行修复，增补市政消火栓、消防水鹤，以满足消防需要。近期建设消火栓</w:t>
      </w:r>
      <w:r>
        <w:rPr>
          <w:rFonts w:ascii="宋体" w:hAnsi="宋体"/>
          <w:b/>
        </w:rPr>
        <w:t>100</w:t>
      </w:r>
      <w:r>
        <w:rPr>
          <w:rFonts w:hint="eastAsia" w:ascii="宋体" w:hAnsi="宋体"/>
          <w:b/>
        </w:rPr>
        <w:t>个、消防水鹤3个。</w:t>
      </w:r>
    </w:p>
    <w:p>
      <w:pPr>
        <w:spacing w:before="190" w:after="190"/>
        <w:ind w:firstLine="562"/>
        <w:rPr>
          <w:rFonts w:ascii="宋体" w:hAnsi="宋体"/>
          <w:b/>
        </w:rPr>
      </w:pPr>
      <w:r>
        <w:rPr>
          <w:rFonts w:hint="eastAsia" w:ascii="宋体" w:hAnsi="宋体"/>
          <w:b/>
        </w:rPr>
        <w:t>第四十九条：消防通信设施建设</w:t>
      </w:r>
    </w:p>
    <w:p>
      <w:pPr>
        <w:spacing w:before="190" w:after="190"/>
        <w:ind w:firstLine="562"/>
        <w:rPr>
          <w:rFonts w:hint="eastAsia" w:ascii="宋体" w:hAnsi="宋体"/>
          <w:b/>
        </w:rPr>
      </w:pPr>
      <w:r>
        <w:rPr>
          <w:rFonts w:ascii="宋体" w:hAnsi="宋体"/>
          <w:b/>
        </w:rPr>
        <w:t>近期针对县大队</w:t>
      </w:r>
      <w:r>
        <w:rPr>
          <w:rFonts w:hint="eastAsia" w:ascii="宋体" w:hAnsi="宋体"/>
          <w:b/>
        </w:rPr>
        <w:t>及</w:t>
      </w:r>
      <w:r>
        <w:rPr>
          <w:rFonts w:ascii="宋体" w:hAnsi="宋体"/>
          <w:b/>
        </w:rPr>
        <w:t>消防站通信器材不足</w:t>
      </w:r>
      <w:r>
        <w:rPr>
          <w:rFonts w:hint="eastAsia" w:ascii="宋体" w:hAnsi="宋体"/>
          <w:b/>
        </w:rPr>
        <w:t>，</w:t>
      </w:r>
      <w:r>
        <w:rPr>
          <w:rFonts w:ascii="宋体" w:hAnsi="宋体"/>
          <w:b/>
        </w:rPr>
        <w:t>更新</w:t>
      </w:r>
      <w:r>
        <w:rPr>
          <w:rFonts w:hint="eastAsia" w:ascii="宋体" w:hAnsi="宋体"/>
          <w:b/>
        </w:rPr>
        <w:t>、</w:t>
      </w:r>
      <w:r>
        <w:rPr>
          <w:rFonts w:ascii="宋体" w:hAnsi="宋体"/>
          <w:b/>
        </w:rPr>
        <w:t>完善</w:t>
      </w:r>
      <w:r>
        <w:rPr>
          <w:rFonts w:hint="eastAsia" w:ascii="宋体" w:hAnsi="宋体"/>
          <w:b/>
        </w:rPr>
        <w:t>消防通信器材，满足消防报警、救援、指挥的需求。</w:t>
      </w:r>
    </w:p>
    <w:p>
      <w:pPr>
        <w:spacing w:before="0" w:beforeLines="0" w:after="0" w:afterLines="0"/>
        <w:ind w:firstLine="0" w:firstLineChars="0"/>
        <w:jc w:val="center"/>
        <w:rPr>
          <w:rFonts w:ascii="仿宋" w:hAnsi="仿宋" w:eastAsia="仿宋"/>
          <w:bCs/>
          <w:sz w:val="24"/>
        </w:rPr>
      </w:pPr>
      <w:r>
        <w:rPr>
          <w:rFonts w:hint="eastAsia" w:ascii="仿宋" w:hAnsi="仿宋" w:eastAsia="仿宋"/>
          <w:bCs/>
          <w:sz w:val="24"/>
        </w:rPr>
        <w:t>近期建设项目一览表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457"/>
        <w:gridCol w:w="918"/>
        <w:gridCol w:w="988"/>
        <w:gridCol w:w="803"/>
        <w:gridCol w:w="1160"/>
        <w:gridCol w:w="1160"/>
        <w:gridCol w:w="1986"/>
        <w:gridCol w:w="1056"/>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jc w:val="center"/>
        </w:trPr>
        <w:tc>
          <w:tcPr>
            <w:tcW w:w="22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序号</w:t>
            </w:r>
          </w:p>
        </w:tc>
        <w:tc>
          <w:tcPr>
            <w:tcW w:w="55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名称</w:t>
            </w:r>
          </w:p>
        </w:tc>
        <w:tc>
          <w:tcPr>
            <w:tcW w:w="59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位置</w:t>
            </w:r>
          </w:p>
        </w:tc>
        <w:tc>
          <w:tcPr>
            <w:tcW w:w="48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规划性质</w:t>
            </w:r>
          </w:p>
        </w:tc>
        <w:tc>
          <w:tcPr>
            <w:tcW w:w="69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用地</w:t>
            </w:r>
            <w:r>
              <w:rPr>
                <w:rFonts w:hint="eastAsia" w:ascii="仿宋" w:hAnsi="仿宋" w:eastAsia="仿宋" w:cs="Calibri"/>
                <w:b/>
                <w:bCs/>
                <w:color w:val="000000"/>
                <w:sz w:val="24"/>
              </w:rPr>
              <w:t>面积</w:t>
            </w:r>
          </w:p>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（平方米）</w:t>
            </w:r>
          </w:p>
        </w:tc>
        <w:tc>
          <w:tcPr>
            <w:tcW w:w="69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建筑面积</w:t>
            </w:r>
          </w:p>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（平方米）</w:t>
            </w:r>
          </w:p>
        </w:tc>
        <w:tc>
          <w:tcPr>
            <w:tcW w:w="1177"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建设内容</w:t>
            </w:r>
          </w:p>
        </w:tc>
        <w:tc>
          <w:tcPr>
            <w:tcW w:w="58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投资估算</w:t>
            </w:r>
          </w:p>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（万元）</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1</w:t>
            </w:r>
          </w:p>
        </w:tc>
        <w:tc>
          <w:tcPr>
            <w:tcW w:w="55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花马</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池站</w:t>
            </w:r>
          </w:p>
        </w:tc>
        <w:tc>
          <w:tcPr>
            <w:tcW w:w="5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花马池西街与振兴路交叉口东北侧</w:t>
            </w:r>
          </w:p>
        </w:tc>
        <w:tc>
          <w:tcPr>
            <w:tcW w:w="48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一级普通兼化工特勤消防站</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6642.3</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4</w:t>
            </w:r>
            <w:r>
              <w:rPr>
                <w:rFonts w:ascii="仿宋" w:hAnsi="仿宋" w:eastAsia="仿宋" w:cs="Calibri"/>
                <w:bCs/>
                <w:color w:val="000000"/>
                <w:sz w:val="24"/>
              </w:rPr>
              <w:t>000</w:t>
            </w: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提升、改造花马池站，完善消防人员、消防车辆、灭火器材、防护器材等装备配置，达到一级普通兼化工特勤消防要求。</w:t>
            </w:r>
          </w:p>
        </w:tc>
        <w:tc>
          <w:tcPr>
            <w:tcW w:w="58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ascii="仿宋" w:hAnsi="仿宋" w:eastAsia="仿宋" w:cs="Calibri"/>
                <w:bCs/>
                <w:color w:val="000000"/>
                <w:sz w:val="24"/>
              </w:rPr>
              <w:t>800.00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2</w:t>
            </w:r>
          </w:p>
        </w:tc>
        <w:tc>
          <w:tcPr>
            <w:tcW w:w="55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高沙窝政府政府专职消防站</w:t>
            </w:r>
          </w:p>
        </w:tc>
        <w:tc>
          <w:tcPr>
            <w:tcW w:w="59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高沙窝工业园区</w:t>
            </w:r>
          </w:p>
        </w:tc>
        <w:tc>
          <w:tcPr>
            <w:tcW w:w="4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一级普通消防站</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5000</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3</w:t>
            </w:r>
            <w:r>
              <w:rPr>
                <w:rFonts w:ascii="仿宋" w:hAnsi="仿宋" w:eastAsia="仿宋" w:cs="Calibri"/>
                <w:bCs/>
                <w:color w:val="000000"/>
                <w:sz w:val="24"/>
              </w:rPr>
              <w:t>000</w:t>
            </w: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提升、改造花高沙窝政府政府专职消防站，完善消防人员、消防车辆、灭火器材、防护器材等装备配置，达到一级普通消防站标准并兼顾林草原灭火的要求。</w:t>
            </w:r>
          </w:p>
        </w:tc>
        <w:tc>
          <w:tcPr>
            <w:tcW w:w="58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ascii="仿宋" w:hAnsi="仿宋" w:eastAsia="仿宋" w:cs="Calibri"/>
                <w:bCs/>
                <w:color w:val="000000"/>
                <w:sz w:val="24"/>
              </w:rPr>
              <w:t>400.00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3</w:t>
            </w:r>
          </w:p>
        </w:tc>
        <w:tc>
          <w:tcPr>
            <w:tcW w:w="55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小型消防站</w:t>
            </w:r>
          </w:p>
        </w:tc>
        <w:tc>
          <w:tcPr>
            <w:tcW w:w="59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大水</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坑镇</w:t>
            </w:r>
          </w:p>
        </w:tc>
        <w:tc>
          <w:tcPr>
            <w:tcW w:w="48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小型消防站</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1500</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1000</w:t>
            </w: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新建，按小型消防站配备消防人员、消防车辆、灭火器材、防护器材等。</w:t>
            </w:r>
          </w:p>
        </w:tc>
        <w:tc>
          <w:tcPr>
            <w:tcW w:w="5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1</w:t>
            </w:r>
            <w:r>
              <w:rPr>
                <w:rFonts w:ascii="仿宋" w:hAnsi="仿宋" w:eastAsia="仿宋" w:cs="Calibri"/>
                <w:bCs/>
                <w:color w:val="000000"/>
                <w:sz w:val="24"/>
              </w:rPr>
              <w:t>000.00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4</w:t>
            </w:r>
          </w:p>
        </w:tc>
        <w:tc>
          <w:tcPr>
            <w:tcW w:w="55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乡镇消防队</w:t>
            </w:r>
          </w:p>
        </w:tc>
        <w:tc>
          <w:tcPr>
            <w:tcW w:w="59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惠安</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堡镇</w:t>
            </w:r>
          </w:p>
        </w:tc>
        <w:tc>
          <w:tcPr>
            <w:tcW w:w="48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一级乡镇专职消防队</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1</w:t>
            </w:r>
            <w:r>
              <w:rPr>
                <w:rFonts w:ascii="仿宋" w:hAnsi="仿宋" w:eastAsia="仿宋" w:cs="Calibri"/>
                <w:bCs/>
                <w:color w:val="000000"/>
                <w:sz w:val="24"/>
              </w:rPr>
              <w:t>200</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6</w:t>
            </w:r>
            <w:r>
              <w:rPr>
                <w:rFonts w:ascii="仿宋" w:hAnsi="仿宋" w:eastAsia="仿宋" w:cs="Calibri"/>
                <w:bCs/>
                <w:color w:val="000000"/>
                <w:sz w:val="24"/>
              </w:rPr>
              <w:t>00</w:t>
            </w: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提升、改造，按一级乡镇专职消防队标准配备消防人员、消防车辆、灭火器材、防护器材等。</w:t>
            </w:r>
          </w:p>
        </w:tc>
        <w:tc>
          <w:tcPr>
            <w:tcW w:w="5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100.00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5</w:t>
            </w:r>
          </w:p>
        </w:tc>
        <w:tc>
          <w:tcPr>
            <w:tcW w:w="55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乡镇消防队</w:t>
            </w:r>
          </w:p>
        </w:tc>
        <w:tc>
          <w:tcPr>
            <w:tcW w:w="5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青山乡</w:t>
            </w:r>
          </w:p>
        </w:tc>
        <w:tc>
          <w:tcPr>
            <w:tcW w:w="48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乡镇志愿消防队</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4</w:t>
            </w:r>
            <w:r>
              <w:rPr>
                <w:rFonts w:ascii="仿宋" w:hAnsi="仿宋" w:eastAsia="仿宋" w:cs="Calibri"/>
                <w:bCs/>
                <w:color w:val="000000"/>
                <w:sz w:val="24"/>
              </w:rPr>
              <w:t>00</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2</w:t>
            </w:r>
            <w:r>
              <w:rPr>
                <w:rFonts w:ascii="仿宋" w:hAnsi="仿宋" w:eastAsia="仿宋" w:cs="Calibri"/>
                <w:bCs/>
                <w:color w:val="000000"/>
                <w:sz w:val="24"/>
              </w:rPr>
              <w:t>00</w:t>
            </w: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新建，按乡镇志愿消防队标准建设。</w:t>
            </w:r>
          </w:p>
        </w:tc>
        <w:tc>
          <w:tcPr>
            <w:tcW w:w="5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5</w:t>
            </w:r>
            <w:r>
              <w:rPr>
                <w:rFonts w:ascii="仿宋" w:hAnsi="仿宋" w:eastAsia="仿宋" w:cs="Calibri"/>
                <w:bCs/>
                <w:color w:val="000000"/>
                <w:sz w:val="24"/>
              </w:rPr>
              <w:t>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6</w:t>
            </w:r>
          </w:p>
        </w:tc>
        <w:tc>
          <w:tcPr>
            <w:tcW w:w="55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市政消火栓</w:t>
            </w:r>
          </w:p>
        </w:tc>
        <w:tc>
          <w:tcPr>
            <w:tcW w:w="5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县城、工业园区</w:t>
            </w:r>
          </w:p>
        </w:tc>
        <w:tc>
          <w:tcPr>
            <w:tcW w:w="48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消防供水设施</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增补市政消火栓1</w:t>
            </w:r>
            <w:r>
              <w:rPr>
                <w:rFonts w:ascii="仿宋" w:hAnsi="仿宋" w:eastAsia="仿宋" w:cs="Calibri"/>
                <w:bCs/>
                <w:color w:val="000000"/>
                <w:sz w:val="24"/>
              </w:rPr>
              <w:t>00座</w:t>
            </w:r>
            <w:r>
              <w:rPr>
                <w:rFonts w:hint="eastAsia" w:ascii="仿宋" w:hAnsi="仿宋" w:eastAsia="仿宋" w:cs="Calibri"/>
                <w:bCs/>
                <w:color w:val="000000"/>
                <w:sz w:val="24"/>
              </w:rPr>
              <w:t>。</w:t>
            </w:r>
          </w:p>
        </w:tc>
        <w:tc>
          <w:tcPr>
            <w:tcW w:w="5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1</w:t>
            </w:r>
            <w:r>
              <w:rPr>
                <w:rFonts w:ascii="仿宋" w:hAnsi="仿宋" w:eastAsia="仿宋" w:cs="Calibri"/>
                <w:bCs/>
                <w:color w:val="000000"/>
                <w:sz w:val="24"/>
              </w:rPr>
              <w:t>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7</w:t>
            </w:r>
          </w:p>
        </w:tc>
        <w:tc>
          <w:tcPr>
            <w:tcW w:w="55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消防</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水鹤</w:t>
            </w:r>
          </w:p>
        </w:tc>
        <w:tc>
          <w:tcPr>
            <w:tcW w:w="5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县城、工业园区</w:t>
            </w:r>
          </w:p>
        </w:tc>
        <w:tc>
          <w:tcPr>
            <w:tcW w:w="48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消防供水设施</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增补消防水鹤</w:t>
            </w:r>
            <w:r>
              <w:rPr>
                <w:rFonts w:ascii="仿宋" w:hAnsi="仿宋" w:eastAsia="仿宋" w:cs="Calibri"/>
                <w:bCs/>
                <w:color w:val="000000"/>
                <w:sz w:val="24"/>
              </w:rPr>
              <w:t>3</w:t>
            </w:r>
            <w:r>
              <w:rPr>
                <w:rFonts w:hint="eastAsia" w:ascii="仿宋" w:hAnsi="仿宋" w:eastAsia="仿宋" w:cs="Calibri"/>
                <w:bCs/>
                <w:color w:val="000000"/>
                <w:sz w:val="24"/>
              </w:rPr>
              <w:t>座。</w:t>
            </w:r>
          </w:p>
        </w:tc>
        <w:tc>
          <w:tcPr>
            <w:tcW w:w="5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1</w:t>
            </w:r>
            <w:r>
              <w:rPr>
                <w:rFonts w:ascii="仿宋" w:hAnsi="仿宋" w:eastAsia="仿宋" w:cs="Calibri"/>
                <w:bCs/>
                <w:color w:val="000000"/>
                <w:sz w:val="24"/>
              </w:rPr>
              <w:t>5.00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8</w:t>
            </w:r>
          </w:p>
        </w:tc>
        <w:tc>
          <w:tcPr>
            <w:tcW w:w="55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通信</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器材</w:t>
            </w:r>
          </w:p>
        </w:tc>
        <w:tc>
          <w:tcPr>
            <w:tcW w:w="5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大队、消防站</w:t>
            </w:r>
          </w:p>
        </w:tc>
        <w:tc>
          <w:tcPr>
            <w:tcW w:w="48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消防通信器材</w:t>
            </w: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参照相关标准，按实际需求配备。</w:t>
            </w:r>
          </w:p>
        </w:tc>
        <w:tc>
          <w:tcPr>
            <w:tcW w:w="5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5</w:t>
            </w:r>
            <w:r>
              <w:rPr>
                <w:rFonts w:ascii="仿宋" w:hAnsi="仿宋" w:eastAsia="仿宋" w:cs="Calibri"/>
                <w:bCs/>
                <w:color w:val="000000"/>
                <w:sz w:val="24"/>
              </w:rPr>
              <w:t>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9</w:t>
            </w:r>
          </w:p>
        </w:tc>
        <w:tc>
          <w:tcPr>
            <w:tcW w:w="55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合计</w:t>
            </w:r>
          </w:p>
        </w:tc>
        <w:tc>
          <w:tcPr>
            <w:tcW w:w="5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48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9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1177"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5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2</w:t>
            </w:r>
            <w:r>
              <w:rPr>
                <w:rFonts w:ascii="仿宋" w:hAnsi="仿宋" w:eastAsia="仿宋" w:cs="Calibri"/>
                <w:bCs/>
                <w:color w:val="000000"/>
                <w:sz w:val="24"/>
              </w:rPr>
              <w:t>515.00</w:t>
            </w:r>
          </w:p>
        </w:tc>
      </w:tr>
    </w:tbl>
    <w:p>
      <w:pPr>
        <w:pStyle w:val="2"/>
        <w:spacing w:before="190" w:after="190"/>
        <w:jc w:val="center"/>
        <w:rPr>
          <w:rFonts w:ascii="宋体" w:hAnsi="宋体"/>
        </w:rPr>
      </w:pPr>
      <w:bookmarkStart w:id="67" w:name="_Toc89525986"/>
      <w:bookmarkStart w:id="68" w:name="_Toc13516"/>
      <w:bookmarkStart w:id="69" w:name="_Toc89526170"/>
      <w:bookmarkStart w:id="70" w:name="_Toc2711"/>
      <w:bookmarkStart w:id="71" w:name="_Toc89524729"/>
      <w:bookmarkStart w:id="72" w:name="_Toc27882"/>
      <w:r>
        <w:rPr>
          <w:rFonts w:hint="eastAsia" w:ascii="宋体" w:hAnsi="宋体"/>
        </w:rPr>
        <w:t>第十二章   实施措施和建议</w:t>
      </w:r>
      <w:bookmarkEnd w:id="67"/>
      <w:bookmarkEnd w:id="68"/>
      <w:bookmarkEnd w:id="69"/>
      <w:bookmarkEnd w:id="70"/>
      <w:bookmarkEnd w:id="71"/>
      <w:bookmarkEnd w:id="72"/>
    </w:p>
    <w:p>
      <w:pPr>
        <w:spacing w:before="190" w:after="190"/>
        <w:ind w:firstLine="560"/>
        <w:rPr>
          <w:rFonts w:ascii="宋体" w:hAnsi="宋体"/>
        </w:rPr>
      </w:pPr>
      <w:bookmarkStart w:id="73" w:name="_Toc36114605"/>
      <w:r>
        <w:rPr>
          <w:rFonts w:hint="eastAsia" w:ascii="宋体" w:hAnsi="宋体"/>
        </w:rPr>
        <w:t>第五十条：</w:t>
      </w:r>
      <w:r>
        <w:rPr>
          <w:rFonts w:ascii="宋体" w:hAnsi="宋体"/>
        </w:rPr>
        <w:t>规划实施</w:t>
      </w:r>
      <w:bookmarkEnd w:id="73"/>
    </w:p>
    <w:p>
      <w:pPr>
        <w:spacing w:before="190" w:after="190"/>
        <w:ind w:firstLine="562"/>
        <w:rPr>
          <w:rFonts w:ascii="宋体" w:hAnsi="宋体"/>
          <w:b/>
        </w:rPr>
      </w:pPr>
      <w:r>
        <w:rPr>
          <w:rFonts w:hint="eastAsia" w:ascii="宋体" w:hAnsi="宋体"/>
          <w:b/>
        </w:rPr>
        <w:t>（一）</w:t>
      </w:r>
      <w:r>
        <w:rPr>
          <w:rFonts w:ascii="宋体" w:hAnsi="宋体"/>
          <w:b/>
        </w:rPr>
        <w:t>消防规划一经政府批准，即具有法律效力，任何单位和个人无权任意更改。如有原则性改变须经原审批机关批准。</w:t>
      </w:r>
    </w:p>
    <w:p>
      <w:pPr>
        <w:spacing w:before="190" w:after="190"/>
        <w:ind w:firstLine="562"/>
        <w:rPr>
          <w:rFonts w:ascii="宋体" w:hAnsi="宋体"/>
          <w:b/>
        </w:rPr>
      </w:pPr>
      <w:r>
        <w:rPr>
          <w:rFonts w:hint="eastAsia" w:ascii="宋体" w:hAnsi="宋体"/>
          <w:b/>
        </w:rPr>
        <w:t>（二）应急管理、自然资源、</w:t>
      </w:r>
      <w:r>
        <w:rPr>
          <w:rFonts w:ascii="宋体" w:hAnsi="宋体"/>
          <w:b/>
        </w:rPr>
        <w:t>建设部门要积极参与城市消防规划的编制，并纳入法定规划中，保证城镇公共消防设施与其他市政基础设施同步规划、同步建设。</w:t>
      </w:r>
    </w:p>
    <w:p>
      <w:pPr>
        <w:spacing w:before="190" w:after="190"/>
        <w:ind w:firstLine="560"/>
        <w:rPr>
          <w:rFonts w:ascii="宋体" w:hAnsi="宋体"/>
        </w:rPr>
      </w:pPr>
      <w:r>
        <w:rPr>
          <w:rFonts w:hint="eastAsia" w:ascii="宋体" w:hAnsi="宋体"/>
        </w:rPr>
        <w:t>（三）</w:t>
      </w:r>
      <w:r>
        <w:rPr>
          <w:rFonts w:ascii="宋体" w:hAnsi="宋体"/>
        </w:rPr>
        <w:t>发改部门</w:t>
      </w:r>
      <w:r>
        <w:rPr>
          <w:rFonts w:hint="eastAsia" w:ascii="宋体" w:hAnsi="宋体"/>
        </w:rPr>
        <w:t>应</w:t>
      </w:r>
      <w:r>
        <w:rPr>
          <w:rFonts w:ascii="宋体" w:hAnsi="宋体"/>
        </w:rPr>
        <w:t>将消防事业建设纳入国民经济与社会发展总体计划中</w:t>
      </w:r>
      <w:r>
        <w:rPr>
          <w:rFonts w:hint="eastAsia" w:ascii="宋体" w:hAnsi="宋体"/>
        </w:rPr>
        <w:t>。</w:t>
      </w:r>
      <w:r>
        <w:rPr>
          <w:rFonts w:ascii="宋体" w:hAnsi="宋体"/>
        </w:rPr>
        <w:t>消防部门提出年度实施计划，协同有关部门包括发改、财政、建设、规</w:t>
      </w:r>
      <w:r>
        <w:rPr>
          <w:rFonts w:hint="eastAsia" w:ascii="宋体" w:hAnsi="宋体"/>
        </w:rPr>
        <w:t>自然资源</w:t>
      </w:r>
      <w:r>
        <w:rPr>
          <w:rFonts w:ascii="宋体" w:hAnsi="宋体"/>
        </w:rPr>
        <w:t>、供电、供水、交通、通信等部门积极落实规划。</w:t>
      </w:r>
    </w:p>
    <w:p>
      <w:pPr>
        <w:spacing w:before="190" w:after="190"/>
        <w:ind w:firstLine="560"/>
        <w:rPr>
          <w:rFonts w:ascii="宋体" w:hAnsi="宋体"/>
        </w:rPr>
      </w:pPr>
      <w:r>
        <w:rPr>
          <w:rFonts w:hint="eastAsia" w:ascii="宋体" w:hAnsi="宋体"/>
        </w:rPr>
        <w:t>（四）</w:t>
      </w:r>
      <w:r>
        <w:rPr>
          <w:rFonts w:ascii="宋体" w:hAnsi="宋体"/>
        </w:rPr>
        <w:t>财政部门要根据城市经济发展水平和消防队</w:t>
      </w:r>
      <w:r>
        <w:rPr>
          <w:rFonts w:hint="eastAsia" w:ascii="宋体" w:hAnsi="宋体"/>
        </w:rPr>
        <w:t>伍</w:t>
      </w:r>
      <w:r>
        <w:rPr>
          <w:rFonts w:ascii="宋体" w:hAnsi="宋体"/>
        </w:rPr>
        <w:t>拓宽抢险救援职能的实际情况，逐步增加消防经费的投入，保证消防事业费用供给的合理增长。</w:t>
      </w:r>
    </w:p>
    <w:p>
      <w:pPr>
        <w:spacing w:before="190" w:after="190"/>
        <w:ind w:firstLine="560"/>
      </w:pPr>
      <w:r>
        <w:rPr>
          <w:rFonts w:hint="eastAsia" w:ascii="宋体" w:hAnsi="宋体"/>
        </w:rPr>
        <w:t>（五）</w:t>
      </w:r>
      <w:r>
        <w:rPr>
          <w:rFonts w:ascii="宋体" w:hAnsi="宋体"/>
        </w:rPr>
        <w:t>提倡广泛的公众参与，让公众了解城市消防规划的内容，规划实施过程中也应积极、充分收集社会各阶层的意见和建议，从而不断完善规划的实施和管理。</w:t>
      </w:r>
    </w:p>
    <w:p>
      <w:pPr>
        <w:spacing w:before="190" w:after="190"/>
        <w:ind w:firstLine="560"/>
        <w:rPr>
          <w:rFonts w:ascii="宋体" w:hAnsi="宋体"/>
        </w:rPr>
      </w:pPr>
      <w:bookmarkStart w:id="74" w:name="_Toc36114606"/>
      <w:r>
        <w:rPr>
          <w:rFonts w:hint="eastAsia" w:ascii="宋体" w:hAnsi="宋体"/>
        </w:rPr>
        <w:t>第五十一条：</w:t>
      </w:r>
      <w:r>
        <w:rPr>
          <w:rFonts w:ascii="宋体" w:hAnsi="宋体"/>
        </w:rPr>
        <w:t>政策制定</w:t>
      </w:r>
      <w:bookmarkEnd w:id="74"/>
    </w:p>
    <w:p>
      <w:pPr>
        <w:spacing w:before="190" w:after="190"/>
        <w:ind w:firstLine="560"/>
        <w:rPr>
          <w:rFonts w:ascii="宋体" w:hAnsi="宋体"/>
        </w:rPr>
      </w:pPr>
      <w:r>
        <w:rPr>
          <w:rFonts w:hint="eastAsia" w:ascii="宋体" w:hAnsi="宋体"/>
        </w:rPr>
        <w:t>（一）</w:t>
      </w:r>
      <w:r>
        <w:rPr>
          <w:rFonts w:ascii="宋体" w:hAnsi="宋体"/>
        </w:rPr>
        <w:t>逐步完善城市消防规划地方法规的立法工作，并根据消防规划的各项规定和要求，制定相应的实施细则和技术规范，使城市消防建设和规划管理有法可依。</w:t>
      </w:r>
    </w:p>
    <w:p>
      <w:pPr>
        <w:spacing w:before="190" w:after="190"/>
        <w:ind w:firstLine="560"/>
        <w:rPr>
          <w:rFonts w:ascii="宋体" w:hAnsi="宋体"/>
        </w:rPr>
      </w:pPr>
      <w:r>
        <w:rPr>
          <w:rFonts w:hint="eastAsia" w:ascii="宋体" w:hAnsi="宋体"/>
        </w:rPr>
        <w:t>（二）</w:t>
      </w:r>
      <w:r>
        <w:rPr>
          <w:rFonts w:ascii="宋体" w:hAnsi="宋体"/>
        </w:rPr>
        <w:t>健全法制监督和执法的反馈机制，要进一步完善城市消防规划管理的法规体系，使城市消防建设、管理、违法的处理等有章可循。</w:t>
      </w:r>
      <w:bookmarkStart w:id="75" w:name="_Toc36114607"/>
    </w:p>
    <w:p>
      <w:pPr>
        <w:spacing w:before="190" w:after="190"/>
        <w:ind w:firstLine="562"/>
        <w:rPr>
          <w:rFonts w:ascii="宋体" w:hAnsi="宋体"/>
          <w:b/>
        </w:rPr>
      </w:pPr>
      <w:r>
        <w:rPr>
          <w:rFonts w:hint="eastAsia" w:ascii="宋体" w:hAnsi="宋体"/>
          <w:b/>
        </w:rPr>
        <w:t>第五十二条：</w:t>
      </w:r>
      <w:r>
        <w:rPr>
          <w:rFonts w:ascii="宋体" w:hAnsi="宋体"/>
          <w:b/>
        </w:rPr>
        <w:t>技术支撑</w:t>
      </w:r>
      <w:bookmarkEnd w:id="75"/>
    </w:p>
    <w:p>
      <w:pPr>
        <w:spacing w:before="190" w:after="190"/>
        <w:ind w:firstLine="562"/>
        <w:rPr>
          <w:rFonts w:ascii="宋体" w:hAnsi="宋体"/>
          <w:b/>
        </w:rPr>
      </w:pPr>
      <w:r>
        <w:rPr>
          <w:rFonts w:ascii="宋体" w:hAnsi="宋体"/>
          <w:b/>
        </w:rPr>
        <w:t>按照城市消防规划所确定的原则，在进一步编制城市分区规划、各地段的控制性详细规划和重要地段的修建性详细规划时，应根据规划要求，落实公共消防设施用地。</w:t>
      </w:r>
    </w:p>
    <w:p>
      <w:pPr>
        <w:spacing w:before="190" w:after="190"/>
        <w:ind w:firstLine="560"/>
        <w:rPr>
          <w:rFonts w:ascii="宋体" w:hAnsi="宋体"/>
        </w:rPr>
      </w:pPr>
      <w:bookmarkStart w:id="76" w:name="_Toc36114608"/>
      <w:r>
        <w:rPr>
          <w:rFonts w:hint="eastAsia" w:ascii="宋体" w:hAnsi="宋体"/>
        </w:rPr>
        <w:t>第五十三条：</w:t>
      </w:r>
      <w:r>
        <w:rPr>
          <w:rFonts w:ascii="宋体" w:hAnsi="宋体"/>
        </w:rPr>
        <w:t>规划管理</w:t>
      </w:r>
      <w:bookmarkEnd w:id="76"/>
    </w:p>
    <w:p>
      <w:pPr>
        <w:spacing w:before="190" w:after="190"/>
        <w:ind w:firstLine="560"/>
        <w:rPr>
          <w:rFonts w:ascii="宋体" w:hAnsi="宋体"/>
        </w:rPr>
      </w:pPr>
      <w:r>
        <w:rPr>
          <w:rFonts w:hint="eastAsia" w:ascii="宋体" w:hAnsi="宋体"/>
        </w:rPr>
        <w:t>（一）</w:t>
      </w:r>
      <w:r>
        <w:rPr>
          <w:rFonts w:ascii="宋体" w:hAnsi="宋体"/>
        </w:rPr>
        <w:t>加强对城市消防建设的组织领导</w:t>
      </w:r>
      <w:r>
        <w:rPr>
          <w:rFonts w:hint="eastAsia" w:ascii="宋体" w:hAnsi="宋体"/>
        </w:rPr>
        <w:t>。</w:t>
      </w:r>
      <w:r>
        <w:rPr>
          <w:rFonts w:ascii="宋体" w:hAnsi="宋体"/>
        </w:rPr>
        <w:t>建立以城市分管领导为主的消防规划建设工作领导小组，对涉及消防规划重大的原则性问题，由消防规划工作领导小组集体决策，以保证城市消防建设和管理决策的科学性和合理性。</w:t>
      </w:r>
    </w:p>
    <w:p>
      <w:pPr>
        <w:spacing w:before="190" w:after="190"/>
        <w:ind w:firstLine="560"/>
        <w:rPr>
          <w:rFonts w:ascii="宋体" w:hAnsi="宋体"/>
        </w:rPr>
      </w:pPr>
      <w:r>
        <w:rPr>
          <w:rFonts w:hint="eastAsia" w:ascii="宋体" w:hAnsi="宋体"/>
        </w:rPr>
        <w:t>（二）</w:t>
      </w:r>
      <w:r>
        <w:rPr>
          <w:rFonts w:ascii="宋体" w:hAnsi="宋体"/>
        </w:rPr>
        <w:t>加强城市消防职能部门的建设</w:t>
      </w:r>
      <w:r>
        <w:rPr>
          <w:rFonts w:hint="eastAsia" w:ascii="宋体" w:hAnsi="宋体"/>
        </w:rPr>
        <w:t>。</w:t>
      </w:r>
      <w:r>
        <w:rPr>
          <w:rFonts w:ascii="宋体" w:hAnsi="宋体"/>
        </w:rPr>
        <w:t>城市消防职能部门</w:t>
      </w:r>
      <w:r>
        <w:rPr>
          <w:rFonts w:hint="eastAsia" w:ascii="宋体" w:hAnsi="宋体"/>
        </w:rPr>
        <w:t>应配备必要的</w:t>
      </w:r>
      <w:r>
        <w:rPr>
          <w:rFonts w:ascii="宋体" w:hAnsi="宋体"/>
        </w:rPr>
        <w:t>专业</w:t>
      </w:r>
      <w:r>
        <w:rPr>
          <w:rFonts w:hint="eastAsia" w:ascii="宋体" w:hAnsi="宋体"/>
        </w:rPr>
        <w:t>技术</w:t>
      </w:r>
      <w:r>
        <w:rPr>
          <w:rFonts w:ascii="宋体" w:hAnsi="宋体"/>
        </w:rPr>
        <w:t>人员和设备，健全</w:t>
      </w:r>
      <w:r>
        <w:rPr>
          <w:rFonts w:hint="eastAsia" w:ascii="宋体" w:hAnsi="宋体"/>
        </w:rPr>
        <w:t>各项</w:t>
      </w:r>
      <w:r>
        <w:rPr>
          <w:rFonts w:ascii="宋体" w:hAnsi="宋体"/>
        </w:rPr>
        <w:t>管理制度，保证城市消防建设的实施和管理正常运行。</w:t>
      </w:r>
    </w:p>
    <w:p>
      <w:pPr>
        <w:spacing w:before="190" w:after="190"/>
        <w:ind w:firstLine="560"/>
        <w:rPr>
          <w:rFonts w:ascii="宋体" w:hAnsi="宋体"/>
        </w:rPr>
      </w:pPr>
      <w:r>
        <w:rPr>
          <w:rFonts w:hint="eastAsia" w:ascii="宋体" w:hAnsi="宋体"/>
        </w:rPr>
        <w:t>（三）加强消防规划实施管理。制定完善的规划管理制度，严格按照消防规划的文本和图则指导城市消防建设，维护消防规划的严肃性和权威性。</w:t>
      </w:r>
    </w:p>
    <w:p>
      <w:pPr>
        <w:spacing w:before="190" w:after="190"/>
        <w:ind w:firstLine="560"/>
        <w:rPr>
          <w:rFonts w:ascii="宋体" w:hAnsi="宋体"/>
        </w:rPr>
      </w:pPr>
      <w:r>
        <w:rPr>
          <w:rFonts w:hint="eastAsia" w:ascii="宋体" w:hAnsi="宋体"/>
        </w:rPr>
        <w:t>（四）规范城市消防建设审批程序。建立规范化的城市消防建设审批程序，严格执行消防“一票否决”制度，提高工作效率，确保规划顺利实施。</w:t>
      </w:r>
    </w:p>
    <w:p>
      <w:pPr>
        <w:pStyle w:val="2"/>
        <w:spacing w:before="190" w:after="190"/>
        <w:jc w:val="center"/>
        <w:rPr>
          <w:rFonts w:ascii="宋体" w:hAnsi="宋体"/>
        </w:rPr>
      </w:pPr>
      <w:bookmarkStart w:id="77" w:name="_Toc89526171"/>
      <w:bookmarkStart w:id="78" w:name="_Toc89524730"/>
      <w:bookmarkStart w:id="79" w:name="_Toc27229"/>
      <w:bookmarkStart w:id="80" w:name="_Toc28110"/>
      <w:bookmarkStart w:id="81" w:name="_Toc89525987"/>
      <w:bookmarkStart w:id="82" w:name="_Toc1833"/>
      <w:bookmarkStart w:id="83" w:name="_Toc59977678"/>
      <w:r>
        <w:rPr>
          <w:rFonts w:hint="eastAsia" w:ascii="宋体" w:hAnsi="宋体"/>
        </w:rPr>
        <w:t>第十三章   附则</w:t>
      </w:r>
      <w:bookmarkEnd w:id="77"/>
      <w:bookmarkEnd w:id="78"/>
      <w:bookmarkEnd w:id="79"/>
      <w:bookmarkEnd w:id="80"/>
      <w:bookmarkEnd w:id="81"/>
      <w:bookmarkEnd w:id="82"/>
      <w:bookmarkEnd w:id="83"/>
    </w:p>
    <w:p>
      <w:pPr>
        <w:spacing w:before="190" w:after="190"/>
        <w:ind w:firstLine="560"/>
        <w:rPr>
          <w:rFonts w:ascii="宋体" w:hAnsi="宋体"/>
        </w:rPr>
      </w:pPr>
      <w:r>
        <w:rPr>
          <w:rFonts w:hint="eastAsia" w:ascii="宋体" w:hAnsi="宋体"/>
        </w:rPr>
        <w:t>第五十四条：</w:t>
      </w:r>
      <w:r>
        <w:rPr>
          <w:rFonts w:ascii="宋体" w:hAnsi="宋体"/>
        </w:rPr>
        <w:t>本规划由规划文本、规划说明书和规划图纸三部分组成。规划文本和规划图纸具有同等法律效力。</w:t>
      </w:r>
    </w:p>
    <w:p>
      <w:pPr>
        <w:spacing w:before="190" w:after="190"/>
        <w:ind w:firstLine="560"/>
        <w:rPr>
          <w:rFonts w:ascii="宋体" w:hAnsi="宋体"/>
        </w:rPr>
      </w:pPr>
      <w:r>
        <w:rPr>
          <w:rFonts w:hint="eastAsia" w:ascii="宋体" w:hAnsi="宋体"/>
        </w:rPr>
        <w:t>第五十五条：</w:t>
      </w:r>
      <w:r>
        <w:rPr>
          <w:rFonts w:ascii="宋体" w:hAnsi="宋体"/>
        </w:rPr>
        <w:t>本规划的解释权属</w:t>
      </w:r>
      <w:r>
        <w:rPr>
          <w:rFonts w:hint="eastAsia" w:ascii="宋体" w:hAnsi="宋体"/>
        </w:rPr>
        <w:t>盐池县消防救援大队</w:t>
      </w:r>
      <w:r>
        <w:rPr>
          <w:rFonts w:ascii="宋体" w:hAnsi="宋体"/>
        </w:rPr>
        <w:t>负责，需要调整时，应按《中华人民共和国城乡规划法》有关规定进行。</w:t>
      </w:r>
    </w:p>
    <w:p>
      <w:pPr>
        <w:spacing w:before="190" w:after="190"/>
        <w:ind w:firstLine="560"/>
        <w:rPr>
          <w:rFonts w:ascii="宋体" w:hAnsi="宋体"/>
        </w:rPr>
      </w:pPr>
      <w:r>
        <w:rPr>
          <w:rFonts w:hint="eastAsia" w:ascii="宋体" w:hAnsi="宋体"/>
        </w:rPr>
        <w:t>第五十六条：</w:t>
      </w:r>
      <w:r>
        <w:rPr>
          <w:rFonts w:ascii="宋体" w:hAnsi="宋体"/>
        </w:rPr>
        <w:t>本规划以字体加黑标志的条文为强制性条文，必须严格执行。</w:t>
      </w:r>
    </w:p>
    <w:p>
      <w:pPr>
        <w:spacing w:before="190" w:after="190"/>
        <w:ind w:firstLine="560"/>
        <w:rPr>
          <w:rFonts w:ascii="宋体" w:hAnsi="宋体"/>
        </w:rPr>
      </w:pPr>
      <w:r>
        <w:rPr>
          <w:rFonts w:hint="eastAsia" w:ascii="宋体" w:hAnsi="宋体"/>
        </w:rPr>
        <w:t>第五十七条：</w:t>
      </w:r>
      <w:r>
        <w:rPr>
          <w:rFonts w:ascii="宋体" w:hAnsi="宋体"/>
        </w:rPr>
        <w:t>本规划自批准之日起生效，由</w:t>
      </w:r>
      <w:r>
        <w:rPr>
          <w:rFonts w:hint="eastAsia" w:ascii="宋体" w:hAnsi="宋体"/>
        </w:rPr>
        <w:t>盐池县</w:t>
      </w:r>
      <w:r>
        <w:rPr>
          <w:rFonts w:ascii="宋体" w:hAnsi="宋体"/>
        </w:rPr>
        <w:t>人民政府负责组织实施。</w:t>
      </w:r>
    </w:p>
    <w:p>
      <w:pPr>
        <w:spacing w:before="190" w:after="190"/>
        <w:ind w:firstLine="560"/>
        <w:rPr>
          <w:rFonts w:ascii="宋体" w:hAnsi="宋体"/>
        </w:rPr>
      </w:pPr>
    </w:p>
    <w:p>
      <w:pPr>
        <w:bidi w:val="0"/>
      </w:pPr>
    </w:p>
    <w:p>
      <w:pPr>
        <w:spacing w:before="190" w:after="190"/>
        <w:ind w:firstLine="0" w:firstLineChars="0"/>
      </w:pPr>
    </w:p>
    <w:p>
      <w:pPr>
        <w:spacing w:before="190" w:after="190"/>
        <w:ind w:firstLine="0" w:firstLineChars="0"/>
      </w:pPr>
    </w:p>
    <w:p>
      <w:pPr>
        <w:spacing w:before="190" w:after="190"/>
        <w:ind w:firstLine="0" w:firstLineChars="0"/>
      </w:pPr>
      <w:r>
        <mc:AlternateContent>
          <mc:Choice Requires="wps">
            <w:drawing>
              <wp:anchor distT="0" distB="0" distL="114300" distR="114300" simplePos="0" relativeHeight="251659264" behindDoc="0" locked="0" layoutInCell="1" allowOverlap="1">
                <wp:simplePos x="0" y="0"/>
                <wp:positionH relativeFrom="column">
                  <wp:posOffset>-4488815</wp:posOffset>
                </wp:positionH>
                <wp:positionV relativeFrom="paragraph">
                  <wp:posOffset>238760</wp:posOffset>
                </wp:positionV>
                <wp:extent cx="10017125" cy="1068070"/>
                <wp:effectExtent l="0" t="0" r="0" b="0"/>
                <wp:wrapNone/>
                <wp:docPr id="20" name="流程图: 可选过程 20"/>
                <wp:cNvGraphicFramePr/>
                <a:graphic xmlns:a="http://schemas.openxmlformats.org/drawingml/2006/main">
                  <a:graphicData uri="http://schemas.microsoft.com/office/word/2010/wordprocessingShape">
                    <wps:wsp>
                      <wps:cNvSpPr/>
                      <wps:spPr>
                        <a:xfrm>
                          <a:off x="0" y="0"/>
                          <a:ext cx="10017125" cy="1068070"/>
                        </a:xfrm>
                        <a:prstGeom prst="flowChartAlternateProcess">
                          <a:avLst/>
                        </a:prstGeom>
                        <a:noFill/>
                        <a:ln w="6350">
                          <a:noFill/>
                        </a:ln>
                      </wps:spPr>
                      <wps:txbx>
                        <w:txbxContent>
                          <w:p>
                            <w:pPr>
                              <w:spacing w:before="190" w:after="190"/>
                              <w:ind w:firstLine="960"/>
                              <w:jc w:val="right"/>
                              <w:rPr>
                                <w:rFonts w:ascii="黑体" w:hAnsi="黑体" w:eastAsia="黑体" w:cs="黑体"/>
                                <w:sz w:val="24"/>
                                <w:szCs w:val="22"/>
                              </w:rPr>
                            </w:pPr>
                            <w:r>
                              <w:rPr>
                                <w:rFonts w:hint="eastAsia" w:ascii="黑体" w:hAnsi="黑体" w:eastAsia="黑体" w:cs="黑体"/>
                                <w:color w:val="000000"/>
                                <w:sz w:val="44"/>
                                <w:szCs w:val="44"/>
                              </w:rPr>
                              <w:t>盐池县城市消防专项规划（2021—2035）</w:t>
                            </w:r>
                          </w:p>
                        </w:txbxContent>
                      </wps:txbx>
                      <wps:bodyPr anchor="ctr" anchorCtr="false" upright="true"/>
                    </wps:wsp>
                  </a:graphicData>
                </a:graphic>
              </wp:anchor>
            </w:drawing>
          </mc:Choice>
          <mc:Fallback>
            <w:pict>
              <v:shape id="_x0000_s1026" o:spid="_x0000_s1026" o:spt="176" type="#_x0000_t176" style="position:absolute;left:0pt;margin-left:-353.45pt;margin-top:18.8pt;height:84.1pt;width:788.75pt;z-index:251659264;v-text-anchor:middle;mso-width-relative:page;mso-height-relative:page;" filled="f" stroked="f" coordsize="21600,21600" o:gfxdata="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VjRYk9wA&#10;AAALAQAADwAAAAAAAAABACAAAAA4AAAAZHJzL2Rvd25yZXYueG1sUEsBAhQAFAAAAAgAh07iQPSy&#10;+BnMAQAASAMAAA4AAAAAAAAAAQAgAAAAQQEAAGRycy9lMm9Eb2MueG1sUEsFBgAAAAAGAAYAWQEA&#10;AH8FAAAAAA==&#10;">
                <v:fill on="f" focussize="0,0"/>
                <v:stroke on="f" weight="0.5pt"/>
                <v:imagedata o:title=""/>
                <o:lock v:ext="edit" aspectratio="f"/>
                <v:textbox>
                  <w:txbxContent>
                    <w:p>
                      <w:pPr>
                        <w:spacing w:before="190" w:after="190"/>
                        <w:ind w:firstLine="960"/>
                        <w:jc w:val="right"/>
                        <w:rPr>
                          <w:rFonts w:ascii="黑体" w:hAnsi="黑体" w:eastAsia="黑体" w:cs="黑体"/>
                          <w:sz w:val="24"/>
                          <w:szCs w:val="22"/>
                        </w:rPr>
                      </w:pPr>
                      <w:r>
                        <w:rPr>
                          <w:rFonts w:hint="eastAsia" w:ascii="黑体" w:hAnsi="黑体" w:eastAsia="黑体" w:cs="黑体"/>
                          <w:color w:val="000000"/>
                          <w:sz w:val="44"/>
                          <w:szCs w:val="44"/>
                        </w:rPr>
                        <w:t>盐池县城市消防专项规划（2021—2035）</w:t>
                      </w:r>
                    </w:p>
                  </w:txbxContent>
                </v:textbox>
              </v:shape>
            </w:pict>
          </mc:Fallback>
        </mc:AlternateContent>
      </w:r>
    </w:p>
    <w:p>
      <w:pPr>
        <w:spacing w:before="190" w:after="190"/>
        <w:ind w:firstLine="0" w:firstLineChars="0"/>
        <w:jc w:val="both"/>
        <w:rPr>
          <w:rFonts w:ascii="幼圆" w:hAnsi="幼圆" w:eastAsia="幼圆" w:cs="幼圆"/>
          <w:sz w:val="44"/>
          <w:szCs w:val="44"/>
        </w:rPr>
      </w:pPr>
    </w:p>
    <w:p>
      <w:pPr>
        <w:spacing w:before="190" w:after="190"/>
        <w:ind w:firstLine="0" w:firstLineChars="0"/>
        <w:jc w:val="right"/>
        <w:rPr>
          <w:rFonts w:hint="eastAsia" w:ascii="黑体" w:hAnsi="黑体" w:eastAsia="黑体" w:cs="黑体"/>
          <w:sz w:val="36"/>
          <w:szCs w:val="36"/>
        </w:rPr>
      </w:pPr>
      <w:r>
        <w:rPr>
          <w:rFonts w:hint="eastAsia" w:ascii="黑体" w:hAnsi="黑体" w:eastAsia="黑体" w:cs="黑体"/>
          <w:sz w:val="36"/>
          <w:szCs w:val="36"/>
        </w:rPr>
        <w:t>说明书</w:t>
      </w:r>
    </w:p>
    <w:p>
      <w:pPr>
        <w:spacing w:before="190" w:after="190"/>
        <w:ind w:firstLine="0" w:firstLineChars="0"/>
        <w:rPr>
          <w:rFonts w:ascii="幼圆" w:hAnsi="幼圆" w:eastAsia="幼圆" w:cs="幼圆"/>
          <w:sz w:val="44"/>
          <w:szCs w:val="44"/>
        </w:rPr>
      </w:pPr>
    </w:p>
    <w:p>
      <w:pPr>
        <w:spacing w:before="190" w:after="190"/>
        <w:ind w:firstLine="0" w:firstLineChars="0"/>
        <w:rPr>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start="1"/>
          <w:cols w:space="720" w:num="1"/>
          <w:docGrid w:type="lines" w:linePitch="381" w:charSpace="0"/>
        </w:sectPr>
      </w:pPr>
    </w:p>
    <w:p>
      <w:pPr>
        <w:tabs>
          <w:tab w:val="right" w:leader="dot" w:pos="10216"/>
        </w:tabs>
        <w:spacing w:before="156" w:beforeLines="0" w:after="156" w:afterLines="0" w:line="240" w:lineRule="auto"/>
        <w:ind w:firstLine="481" w:firstLineChars="150"/>
        <w:jc w:val="center"/>
      </w:pPr>
      <w:r>
        <w:rPr>
          <w:rFonts w:hint="eastAsia" w:ascii="宋体" w:hAnsi="宋体"/>
          <w:b/>
          <w:sz w:val="32"/>
          <w:szCs w:val="32"/>
        </w:rPr>
        <w:t>目 录</w:t>
      </w:r>
      <w:r>
        <w:rPr>
          <w:rStyle w:val="12"/>
          <w:rFonts w:hint="eastAsia" w:ascii="宋体" w:hAnsi="宋体"/>
          <w:szCs w:val="28"/>
        </w:rPr>
        <w:fldChar w:fldCharType="begin"/>
      </w:r>
      <w:r>
        <w:rPr>
          <w:rStyle w:val="12"/>
          <w:rFonts w:hint="eastAsia" w:ascii="宋体" w:hAnsi="宋体"/>
          <w:szCs w:val="28"/>
        </w:rPr>
        <w:instrText xml:space="preserve">TOC \o "1-3" \h \u </w:instrText>
      </w:r>
      <w:r>
        <w:rPr>
          <w:rStyle w:val="12"/>
          <w:rFonts w:hint="eastAsia" w:ascii="宋体" w:hAnsi="宋体"/>
          <w:szCs w:val="28"/>
        </w:rPr>
        <w:fldChar w:fldCharType="separate"/>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_Toc2011 </w:instrText>
      </w:r>
      <w:r>
        <w:rPr>
          <w:rFonts w:hint="eastAsia" w:ascii="宋体" w:hAnsi="宋体"/>
          <w:bCs/>
          <w:szCs w:val="28"/>
        </w:rPr>
        <w:fldChar w:fldCharType="separate"/>
      </w:r>
      <w:r>
        <w:rPr>
          <w:rFonts w:hint="eastAsia" w:ascii="宋体" w:hAnsi="宋体"/>
          <w:szCs w:val="36"/>
        </w:rPr>
        <w:t>前言</w:t>
      </w:r>
      <w:r>
        <w:tab/>
      </w:r>
      <w:r>
        <w:fldChar w:fldCharType="begin"/>
      </w:r>
      <w:r>
        <w:instrText xml:space="preserve"> PAGEREF _Toc2011 \h </w:instrText>
      </w:r>
      <w:r>
        <w:fldChar w:fldCharType="separate"/>
      </w:r>
      <w:r>
        <w:t>1</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_Toc2529 </w:instrText>
      </w:r>
      <w:r>
        <w:rPr>
          <w:rFonts w:hint="eastAsia" w:ascii="宋体" w:hAnsi="宋体"/>
          <w:bCs/>
          <w:szCs w:val="28"/>
        </w:rPr>
        <w:fldChar w:fldCharType="separate"/>
      </w:r>
      <w:r>
        <w:rPr>
          <w:rFonts w:hint="eastAsia" w:ascii="宋体" w:hAnsi="宋体"/>
        </w:rPr>
        <w:t>第一章 现状概况</w:t>
      </w:r>
      <w:r>
        <w:tab/>
      </w:r>
      <w:r>
        <w:fldChar w:fldCharType="begin"/>
      </w:r>
      <w:r>
        <w:instrText xml:space="preserve"> PAGEREF _Toc2529 \h </w:instrText>
      </w:r>
      <w:r>
        <w:fldChar w:fldCharType="separate"/>
      </w:r>
      <w:r>
        <w:t>2</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_Toc380 </w:instrText>
      </w:r>
      <w:r>
        <w:rPr>
          <w:rFonts w:hint="eastAsia" w:ascii="宋体" w:hAnsi="宋体"/>
          <w:bCs/>
          <w:szCs w:val="28"/>
        </w:rPr>
        <w:fldChar w:fldCharType="separate"/>
      </w:r>
      <w:r>
        <w:rPr>
          <w:rFonts w:hint="eastAsia" w:ascii="宋体" w:hAnsi="宋体"/>
          <w:szCs w:val="32"/>
        </w:rPr>
        <w:t>1.1概况</w:t>
      </w:r>
      <w:r>
        <w:tab/>
      </w:r>
      <w:r>
        <w:fldChar w:fldCharType="begin"/>
      </w:r>
      <w:r>
        <w:instrText xml:space="preserve"> PAGEREF _Toc380 \h </w:instrText>
      </w:r>
      <w:r>
        <w:fldChar w:fldCharType="separate"/>
      </w:r>
      <w:r>
        <w:t>2</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_Toc14872 </w:instrText>
      </w:r>
      <w:r>
        <w:rPr>
          <w:rFonts w:hint="eastAsia" w:ascii="宋体" w:hAnsi="宋体"/>
          <w:bCs/>
          <w:szCs w:val="28"/>
        </w:rPr>
        <w:fldChar w:fldCharType="separate"/>
      </w:r>
      <w:r>
        <w:rPr>
          <w:rFonts w:hint="eastAsia" w:ascii="宋体" w:hAnsi="宋体"/>
          <w:szCs w:val="30"/>
        </w:rPr>
        <w:t>1.1.1区位分析</w:t>
      </w:r>
      <w:r>
        <w:tab/>
      </w:r>
      <w:r>
        <w:fldChar w:fldCharType="begin"/>
      </w:r>
      <w:r>
        <w:instrText xml:space="preserve"> PAGEREF _Toc14872 \h </w:instrText>
      </w:r>
      <w:r>
        <w:fldChar w:fldCharType="separate"/>
      </w:r>
      <w:r>
        <w:t>2</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_Toc10410 </w:instrText>
      </w:r>
      <w:r>
        <w:rPr>
          <w:rFonts w:hint="eastAsia" w:ascii="宋体" w:hAnsi="宋体"/>
          <w:bCs/>
          <w:szCs w:val="28"/>
        </w:rPr>
        <w:fldChar w:fldCharType="separate"/>
      </w:r>
      <w:r>
        <w:rPr>
          <w:rFonts w:hint="eastAsia" w:ascii="宋体" w:hAnsi="宋体"/>
          <w:szCs w:val="30"/>
        </w:rPr>
        <w:t>1.1.2行政区划</w:t>
      </w:r>
      <w:r>
        <w:tab/>
      </w:r>
      <w:r>
        <w:fldChar w:fldCharType="begin"/>
      </w:r>
      <w:r>
        <w:instrText xml:space="preserve"> PAGEREF _Toc10410 \h </w:instrText>
      </w:r>
      <w:r>
        <w:fldChar w:fldCharType="separate"/>
      </w:r>
      <w:r>
        <w:t>3</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_Toc28593 </w:instrText>
      </w:r>
      <w:r>
        <w:rPr>
          <w:rFonts w:hint="eastAsia" w:ascii="宋体" w:hAnsi="宋体"/>
          <w:bCs/>
          <w:szCs w:val="28"/>
        </w:rPr>
        <w:fldChar w:fldCharType="separate"/>
      </w:r>
      <w:r>
        <w:rPr>
          <w:rFonts w:hint="eastAsia" w:ascii="宋体" w:hAnsi="宋体"/>
          <w:szCs w:val="30"/>
        </w:rPr>
        <w:t>1.1.3自然条件</w:t>
      </w:r>
      <w:r>
        <w:tab/>
      </w:r>
      <w:r>
        <w:fldChar w:fldCharType="begin"/>
      </w:r>
      <w:r>
        <w:instrText xml:space="preserve"> PAGEREF _Toc28593 \h </w:instrText>
      </w:r>
      <w:r>
        <w:fldChar w:fldCharType="separate"/>
      </w:r>
      <w:r>
        <w:t>3</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_Toc3732 </w:instrText>
      </w:r>
      <w:r>
        <w:rPr>
          <w:rFonts w:hint="eastAsia" w:ascii="宋体" w:hAnsi="宋体"/>
          <w:bCs/>
          <w:szCs w:val="28"/>
        </w:rPr>
        <w:fldChar w:fldCharType="separate"/>
      </w:r>
      <w:r>
        <w:rPr>
          <w:rFonts w:hint="eastAsia" w:ascii="宋体" w:hAnsi="宋体"/>
          <w:szCs w:val="30"/>
        </w:rPr>
        <w:t>1.1.4社会条件</w:t>
      </w:r>
      <w:r>
        <w:tab/>
      </w:r>
      <w:r>
        <w:fldChar w:fldCharType="begin"/>
      </w:r>
      <w:r>
        <w:instrText xml:space="preserve"> PAGEREF _Toc3732 \h </w:instrText>
      </w:r>
      <w:r>
        <w:fldChar w:fldCharType="separate"/>
      </w:r>
      <w:r>
        <w:t>4</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_Toc4467 </w:instrText>
      </w:r>
      <w:r>
        <w:rPr>
          <w:rFonts w:hint="eastAsia" w:ascii="宋体" w:hAnsi="宋体"/>
          <w:bCs/>
          <w:szCs w:val="28"/>
        </w:rPr>
        <w:fldChar w:fldCharType="separate"/>
      </w:r>
      <w:r>
        <w:rPr>
          <w:rFonts w:hint="eastAsia" w:ascii="宋体" w:hAnsi="宋体"/>
          <w:szCs w:val="32"/>
        </w:rPr>
        <w:t>1.2城市消防现状</w:t>
      </w:r>
      <w:r>
        <w:tab/>
      </w:r>
      <w:r>
        <w:fldChar w:fldCharType="begin"/>
      </w:r>
      <w:r>
        <w:instrText xml:space="preserve"> PAGEREF _Toc4467 \h </w:instrText>
      </w:r>
      <w:r>
        <w:fldChar w:fldCharType="separate"/>
      </w:r>
      <w:r>
        <w:t>5</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_Toc30704 </w:instrText>
      </w:r>
      <w:r>
        <w:rPr>
          <w:rFonts w:hint="eastAsia" w:ascii="宋体" w:hAnsi="宋体"/>
          <w:bCs/>
          <w:szCs w:val="28"/>
        </w:rPr>
        <w:fldChar w:fldCharType="separate"/>
      </w:r>
      <w:r>
        <w:rPr>
          <w:rFonts w:hint="eastAsia" w:ascii="宋体" w:hAnsi="宋体"/>
          <w:szCs w:val="30"/>
        </w:rPr>
        <w:t>1.2.1消防站现状</w:t>
      </w:r>
      <w:r>
        <w:tab/>
      </w:r>
      <w:r>
        <w:fldChar w:fldCharType="begin"/>
      </w:r>
      <w:r>
        <w:instrText xml:space="preserve"> PAGEREF _Toc30704 \h </w:instrText>
      </w:r>
      <w:r>
        <w:fldChar w:fldCharType="separate"/>
      </w:r>
      <w:r>
        <w:t>5</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_Toc3614 </w:instrText>
      </w:r>
      <w:r>
        <w:rPr>
          <w:rFonts w:hint="eastAsia" w:ascii="宋体" w:hAnsi="宋体"/>
          <w:bCs/>
          <w:szCs w:val="28"/>
        </w:rPr>
        <w:fldChar w:fldCharType="separate"/>
      </w:r>
      <w:r>
        <w:rPr>
          <w:rFonts w:hint="eastAsia" w:ascii="宋体" w:hAnsi="宋体"/>
          <w:szCs w:val="30"/>
        </w:rPr>
        <w:t>1.2.2火灾情况</w:t>
      </w:r>
      <w:r>
        <w:tab/>
      </w:r>
      <w:r>
        <w:fldChar w:fldCharType="begin"/>
      </w:r>
      <w:r>
        <w:instrText xml:space="preserve"> PAGEREF _Toc3614 \h </w:instrText>
      </w:r>
      <w:r>
        <w:fldChar w:fldCharType="separate"/>
      </w:r>
      <w:r>
        <w:t>7</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_Toc27094 </w:instrText>
      </w:r>
      <w:r>
        <w:rPr>
          <w:rFonts w:hint="eastAsia" w:ascii="宋体" w:hAnsi="宋体"/>
          <w:bCs/>
          <w:szCs w:val="28"/>
        </w:rPr>
        <w:fldChar w:fldCharType="separate"/>
      </w:r>
      <w:r>
        <w:rPr>
          <w:rFonts w:hint="eastAsia" w:ascii="宋体" w:hAnsi="宋体"/>
          <w:szCs w:val="30"/>
        </w:rPr>
        <w:t>1.2.3存在问题</w:t>
      </w:r>
      <w:r>
        <w:tab/>
      </w:r>
      <w:r>
        <w:fldChar w:fldCharType="begin"/>
      </w:r>
      <w:r>
        <w:instrText xml:space="preserve"> PAGEREF _Toc27094 \h </w:instrText>
      </w:r>
      <w:r>
        <w:fldChar w:fldCharType="separate"/>
      </w:r>
      <w:r>
        <w:t>8</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_Toc19034 </w:instrText>
      </w:r>
      <w:r>
        <w:rPr>
          <w:rFonts w:hint="eastAsia" w:ascii="宋体" w:hAnsi="宋体"/>
          <w:bCs/>
          <w:szCs w:val="28"/>
        </w:rPr>
        <w:fldChar w:fldCharType="separate"/>
      </w:r>
      <w:r>
        <w:rPr>
          <w:rFonts w:hint="eastAsia" w:ascii="宋体" w:hAnsi="宋体"/>
          <w:szCs w:val="32"/>
        </w:rPr>
        <w:t>1.3消防安全布局现状</w:t>
      </w:r>
      <w:r>
        <w:tab/>
      </w:r>
      <w:r>
        <w:fldChar w:fldCharType="begin"/>
      </w:r>
      <w:r>
        <w:instrText xml:space="preserve"> PAGEREF _Toc19034 \h </w:instrText>
      </w:r>
      <w:r>
        <w:fldChar w:fldCharType="separate"/>
      </w:r>
      <w:r>
        <w:t>9</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_Toc8821 </w:instrText>
      </w:r>
      <w:r>
        <w:rPr>
          <w:rFonts w:hint="eastAsia" w:ascii="宋体" w:hAnsi="宋体"/>
          <w:bCs/>
          <w:szCs w:val="28"/>
        </w:rPr>
        <w:fldChar w:fldCharType="separate"/>
      </w:r>
      <w:r>
        <w:rPr>
          <w:rFonts w:hint="eastAsia" w:ascii="宋体" w:hAnsi="宋体"/>
          <w:szCs w:val="30"/>
        </w:rPr>
        <w:t>1.3.1消防安全重点单位</w:t>
      </w:r>
      <w:r>
        <w:tab/>
      </w:r>
      <w:r>
        <w:fldChar w:fldCharType="begin"/>
      </w:r>
      <w:r>
        <w:instrText xml:space="preserve"> PAGEREF _Toc8821 \h </w:instrText>
      </w:r>
      <w:r>
        <w:fldChar w:fldCharType="separate"/>
      </w:r>
      <w:r>
        <w:t>9</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_Toc28446 </w:instrText>
      </w:r>
      <w:r>
        <w:rPr>
          <w:rFonts w:hint="eastAsia" w:ascii="宋体" w:hAnsi="宋体"/>
          <w:bCs/>
          <w:szCs w:val="28"/>
        </w:rPr>
        <w:fldChar w:fldCharType="separate"/>
      </w:r>
      <w:r>
        <w:rPr>
          <w:rFonts w:hint="eastAsia" w:ascii="宋体" w:hAnsi="宋体"/>
          <w:szCs w:val="30"/>
        </w:rPr>
        <w:t>1.3.2易燃易爆危险物品场所</w:t>
      </w:r>
      <w:r>
        <w:tab/>
      </w:r>
      <w:r>
        <w:fldChar w:fldCharType="begin"/>
      </w:r>
      <w:r>
        <w:instrText xml:space="preserve"> PAGEREF _Toc28446 \h </w:instrText>
      </w:r>
      <w:r>
        <w:fldChar w:fldCharType="separate"/>
      </w:r>
      <w:r>
        <w:t>9</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_Toc1127 </w:instrText>
      </w:r>
      <w:r>
        <w:rPr>
          <w:rFonts w:hint="eastAsia" w:ascii="宋体" w:hAnsi="宋体"/>
          <w:bCs/>
          <w:szCs w:val="28"/>
        </w:rPr>
        <w:fldChar w:fldCharType="separate"/>
      </w:r>
      <w:r>
        <w:rPr>
          <w:rFonts w:hint="eastAsia" w:ascii="宋体" w:hAnsi="宋体"/>
          <w:szCs w:val="30"/>
        </w:rPr>
        <w:t>1.3.3商业设施</w:t>
      </w:r>
      <w:r>
        <w:tab/>
      </w:r>
      <w:r>
        <w:fldChar w:fldCharType="begin"/>
      </w:r>
      <w:r>
        <w:instrText xml:space="preserve"> PAGEREF _Toc1127 \h </w:instrText>
      </w:r>
      <w:r>
        <w:fldChar w:fldCharType="separate"/>
      </w:r>
      <w:r>
        <w:t>17</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_Toc9259 </w:instrText>
      </w:r>
      <w:r>
        <w:rPr>
          <w:rFonts w:hint="eastAsia" w:ascii="宋体" w:hAnsi="宋体"/>
          <w:bCs/>
          <w:szCs w:val="28"/>
        </w:rPr>
        <w:fldChar w:fldCharType="separate"/>
      </w:r>
      <w:r>
        <w:rPr>
          <w:rFonts w:hint="eastAsia" w:ascii="宋体" w:hAnsi="宋体"/>
          <w:szCs w:val="30"/>
        </w:rPr>
        <w:t>1.3</w:t>
      </w:r>
      <w:r>
        <w:rPr>
          <w:rFonts w:ascii="宋体" w:hAnsi="宋体"/>
          <w:szCs w:val="30"/>
        </w:rPr>
        <w:t>.4</w:t>
      </w:r>
      <w:r>
        <w:rPr>
          <w:rFonts w:hint="eastAsia" w:ascii="宋体" w:hAnsi="宋体"/>
          <w:szCs w:val="30"/>
        </w:rPr>
        <w:t>高层建筑</w:t>
      </w:r>
      <w:r>
        <w:tab/>
      </w:r>
      <w:r>
        <w:fldChar w:fldCharType="begin"/>
      </w:r>
      <w:r>
        <w:instrText xml:space="preserve"> PAGEREF _Toc9259 \h </w:instrText>
      </w:r>
      <w:r>
        <w:fldChar w:fldCharType="separate"/>
      </w:r>
      <w:r>
        <w:t>19</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_Toc29106 </w:instrText>
      </w:r>
      <w:r>
        <w:rPr>
          <w:rFonts w:hint="eastAsia" w:ascii="宋体" w:hAnsi="宋体"/>
          <w:bCs/>
          <w:szCs w:val="28"/>
        </w:rPr>
        <w:fldChar w:fldCharType="separate"/>
      </w:r>
      <w:r>
        <w:rPr>
          <w:rFonts w:hint="eastAsia" w:ascii="宋体" w:hAnsi="宋体"/>
          <w:szCs w:val="30"/>
        </w:rPr>
        <w:t>1.3.</w:t>
      </w:r>
      <w:r>
        <w:rPr>
          <w:rFonts w:ascii="宋体" w:hAnsi="宋体"/>
          <w:szCs w:val="30"/>
        </w:rPr>
        <w:t>5</w:t>
      </w:r>
      <w:r>
        <w:rPr>
          <w:rFonts w:hint="eastAsia" w:ascii="宋体" w:hAnsi="宋体"/>
          <w:szCs w:val="30"/>
        </w:rPr>
        <w:t>地下建筑</w:t>
      </w:r>
      <w:r>
        <w:tab/>
      </w:r>
      <w:r>
        <w:fldChar w:fldCharType="begin"/>
      </w:r>
      <w:r>
        <w:instrText xml:space="preserve"> PAGEREF _Toc29106 \h </w:instrText>
      </w:r>
      <w:r>
        <w:fldChar w:fldCharType="separate"/>
      </w:r>
      <w:r>
        <w:t>22</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_Toc24469 </w:instrText>
      </w:r>
      <w:r>
        <w:rPr>
          <w:rFonts w:hint="eastAsia" w:ascii="宋体" w:hAnsi="宋体"/>
          <w:bCs/>
          <w:szCs w:val="28"/>
        </w:rPr>
        <w:fldChar w:fldCharType="separate"/>
      </w:r>
      <w:r>
        <w:rPr>
          <w:rFonts w:hint="eastAsia" w:ascii="宋体" w:hAnsi="宋体"/>
          <w:szCs w:val="30"/>
        </w:rPr>
        <w:t>1.3.</w:t>
      </w:r>
      <w:r>
        <w:rPr>
          <w:rFonts w:ascii="宋体" w:hAnsi="宋体"/>
          <w:szCs w:val="30"/>
        </w:rPr>
        <w:t>6</w:t>
      </w:r>
      <w:r>
        <w:rPr>
          <w:rFonts w:hint="eastAsia" w:ascii="宋体" w:hAnsi="宋体"/>
          <w:szCs w:val="30"/>
        </w:rPr>
        <w:t>公共娱乐场所</w:t>
      </w:r>
      <w:r>
        <w:tab/>
      </w:r>
      <w:r>
        <w:fldChar w:fldCharType="begin"/>
      </w:r>
      <w:r>
        <w:instrText xml:space="preserve"> PAGEREF _Toc24469 \h </w:instrText>
      </w:r>
      <w:r>
        <w:fldChar w:fldCharType="separate"/>
      </w:r>
      <w:r>
        <w:t>24</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_Toc15283 </w:instrText>
      </w:r>
      <w:r>
        <w:rPr>
          <w:rFonts w:hint="eastAsia" w:ascii="宋体" w:hAnsi="宋体"/>
          <w:bCs/>
          <w:szCs w:val="28"/>
        </w:rPr>
        <w:fldChar w:fldCharType="separate"/>
      </w:r>
      <w:r>
        <w:rPr>
          <w:rFonts w:hint="eastAsia" w:ascii="宋体" w:hAnsi="宋体"/>
          <w:szCs w:val="32"/>
        </w:rPr>
        <w:t>1.4消防通道现状</w:t>
      </w:r>
      <w:r>
        <w:tab/>
      </w:r>
      <w:r>
        <w:fldChar w:fldCharType="begin"/>
      </w:r>
      <w:r>
        <w:instrText xml:space="preserve"> PAGEREF _Toc15283 \h </w:instrText>
      </w:r>
      <w:r>
        <w:fldChar w:fldCharType="separate"/>
      </w:r>
      <w:r>
        <w:t>25</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_Toc31349 </w:instrText>
      </w:r>
      <w:r>
        <w:rPr>
          <w:rFonts w:hint="eastAsia" w:ascii="宋体" w:hAnsi="宋体"/>
          <w:bCs/>
          <w:szCs w:val="28"/>
        </w:rPr>
        <w:fldChar w:fldCharType="separate"/>
      </w:r>
      <w:r>
        <w:rPr>
          <w:rFonts w:hint="eastAsia" w:ascii="宋体" w:hAnsi="宋体"/>
          <w:szCs w:val="30"/>
        </w:rPr>
        <w:t>1.4.1道路概况</w:t>
      </w:r>
      <w:r>
        <w:tab/>
      </w:r>
      <w:r>
        <w:fldChar w:fldCharType="begin"/>
      </w:r>
      <w:r>
        <w:instrText xml:space="preserve"> PAGEREF _Toc31349 \h </w:instrText>
      </w:r>
      <w:r>
        <w:fldChar w:fldCharType="separate"/>
      </w:r>
      <w:r>
        <w:t>25</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_Toc14217 </w:instrText>
      </w:r>
      <w:r>
        <w:rPr>
          <w:rFonts w:hint="eastAsia" w:ascii="宋体" w:hAnsi="宋体"/>
          <w:bCs/>
          <w:szCs w:val="28"/>
        </w:rPr>
        <w:fldChar w:fldCharType="separate"/>
      </w:r>
      <w:r>
        <w:rPr>
          <w:rFonts w:hint="eastAsia" w:ascii="宋体" w:hAnsi="宋体"/>
          <w:szCs w:val="30"/>
        </w:rPr>
        <w:t>1.4.2存在问题</w:t>
      </w:r>
      <w:r>
        <w:tab/>
      </w:r>
      <w:r>
        <w:fldChar w:fldCharType="begin"/>
      </w:r>
      <w:r>
        <w:instrText xml:space="preserve"> PAGEREF _Toc14217 \h </w:instrText>
      </w:r>
      <w:r>
        <w:fldChar w:fldCharType="separate"/>
      </w:r>
      <w:r>
        <w:t>25</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_Toc31793 </w:instrText>
      </w:r>
      <w:r>
        <w:rPr>
          <w:rFonts w:hint="eastAsia" w:ascii="宋体" w:hAnsi="宋体"/>
          <w:bCs/>
          <w:szCs w:val="28"/>
        </w:rPr>
        <w:fldChar w:fldCharType="separate"/>
      </w:r>
      <w:r>
        <w:rPr>
          <w:rFonts w:hint="eastAsia" w:ascii="宋体" w:hAnsi="宋体"/>
          <w:szCs w:val="32"/>
        </w:rPr>
        <w:t>1.5消防给水现状</w:t>
      </w:r>
      <w:r>
        <w:tab/>
      </w:r>
      <w:r>
        <w:fldChar w:fldCharType="begin"/>
      </w:r>
      <w:r>
        <w:instrText xml:space="preserve"> PAGEREF _Toc31793 \h </w:instrText>
      </w:r>
      <w:r>
        <w:fldChar w:fldCharType="separate"/>
      </w:r>
      <w:r>
        <w:t>26</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_Toc17085 </w:instrText>
      </w:r>
      <w:r>
        <w:rPr>
          <w:rFonts w:hint="eastAsia" w:ascii="宋体" w:hAnsi="宋体"/>
          <w:bCs/>
          <w:szCs w:val="28"/>
        </w:rPr>
        <w:fldChar w:fldCharType="separate"/>
      </w:r>
      <w:r>
        <w:rPr>
          <w:rFonts w:hint="eastAsia" w:ascii="宋体" w:hAnsi="宋体"/>
          <w:szCs w:val="30"/>
        </w:rPr>
        <w:t>1.5.1 城市供水及输配水管网系统现状</w:t>
      </w:r>
      <w:r>
        <w:tab/>
      </w:r>
      <w:r>
        <w:fldChar w:fldCharType="begin"/>
      </w:r>
      <w:r>
        <w:instrText xml:space="preserve"> PAGEREF _Toc17085 \h </w:instrText>
      </w:r>
      <w:r>
        <w:fldChar w:fldCharType="separate"/>
      </w:r>
      <w:r>
        <w:t>26</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_Toc22784 </w:instrText>
      </w:r>
      <w:r>
        <w:rPr>
          <w:rFonts w:hint="eastAsia" w:ascii="宋体" w:hAnsi="宋体"/>
          <w:bCs/>
          <w:szCs w:val="28"/>
        </w:rPr>
        <w:fldChar w:fldCharType="separate"/>
      </w:r>
      <w:r>
        <w:rPr>
          <w:rFonts w:hint="eastAsia" w:ascii="宋体" w:hAnsi="宋体"/>
          <w:szCs w:val="30"/>
        </w:rPr>
        <w:t>1.5.2消火栓、消防水鹤现状</w:t>
      </w:r>
      <w:r>
        <w:tab/>
      </w:r>
      <w:r>
        <w:fldChar w:fldCharType="begin"/>
      </w:r>
      <w:r>
        <w:instrText xml:space="preserve"> PAGEREF _Toc22784 \h </w:instrText>
      </w:r>
      <w:r>
        <w:fldChar w:fldCharType="separate"/>
      </w:r>
      <w:r>
        <w:t>27</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_Toc8756 </w:instrText>
      </w:r>
      <w:r>
        <w:rPr>
          <w:rFonts w:hint="eastAsia" w:ascii="宋体" w:hAnsi="宋体"/>
          <w:bCs/>
          <w:szCs w:val="28"/>
        </w:rPr>
        <w:fldChar w:fldCharType="separate"/>
      </w:r>
      <w:r>
        <w:rPr>
          <w:rFonts w:hint="eastAsia" w:ascii="宋体" w:hAnsi="宋体"/>
          <w:szCs w:val="30"/>
        </w:rPr>
        <w:t>1.5.3地表水源现状</w:t>
      </w:r>
      <w:r>
        <w:tab/>
      </w:r>
      <w:r>
        <w:fldChar w:fldCharType="begin"/>
      </w:r>
      <w:r>
        <w:instrText xml:space="preserve"> PAGEREF _Toc8756 \h </w:instrText>
      </w:r>
      <w:r>
        <w:fldChar w:fldCharType="separate"/>
      </w:r>
      <w:r>
        <w:t>30</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_Toc1426 </w:instrText>
      </w:r>
      <w:r>
        <w:rPr>
          <w:rFonts w:hint="eastAsia" w:ascii="宋体" w:hAnsi="宋体"/>
          <w:bCs/>
          <w:szCs w:val="28"/>
        </w:rPr>
        <w:fldChar w:fldCharType="separate"/>
      </w:r>
      <w:r>
        <w:rPr>
          <w:rFonts w:ascii="宋体" w:hAnsi="宋体"/>
        </w:rPr>
        <w:t>1.</w:t>
      </w:r>
      <w:r>
        <w:rPr>
          <w:rFonts w:hint="eastAsia" w:ascii="宋体" w:hAnsi="宋体"/>
        </w:rPr>
        <w:t>5</w:t>
      </w:r>
      <w:r>
        <w:rPr>
          <w:rFonts w:ascii="宋体" w:hAnsi="宋体"/>
        </w:rPr>
        <w:t>.</w:t>
      </w:r>
      <w:r>
        <w:rPr>
          <w:rFonts w:hint="eastAsia" w:ascii="宋体" w:hAnsi="宋体"/>
        </w:rPr>
        <w:t>4消防供水存在问题</w:t>
      </w:r>
      <w:r>
        <w:tab/>
      </w:r>
      <w:r>
        <w:fldChar w:fldCharType="begin"/>
      </w:r>
      <w:r>
        <w:instrText xml:space="preserve"> PAGEREF _Toc1426 \h </w:instrText>
      </w:r>
      <w:r>
        <w:fldChar w:fldCharType="separate"/>
      </w:r>
      <w:r>
        <w:t>30</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_Toc13747 </w:instrText>
      </w:r>
      <w:r>
        <w:rPr>
          <w:rFonts w:hint="eastAsia" w:ascii="宋体" w:hAnsi="宋体"/>
          <w:bCs/>
          <w:szCs w:val="28"/>
        </w:rPr>
        <w:fldChar w:fldCharType="separate"/>
      </w:r>
      <w:r>
        <w:rPr>
          <w:rFonts w:hint="eastAsia" w:ascii="宋体" w:hAnsi="宋体"/>
          <w:szCs w:val="32"/>
        </w:rPr>
        <w:t>1.6消防通信现状</w:t>
      </w:r>
      <w:r>
        <w:tab/>
      </w:r>
      <w:r>
        <w:fldChar w:fldCharType="begin"/>
      </w:r>
      <w:r>
        <w:instrText xml:space="preserve"> PAGEREF _Toc13747 \h </w:instrText>
      </w:r>
      <w:r>
        <w:fldChar w:fldCharType="separate"/>
      </w:r>
      <w:r>
        <w:t>31</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_Toc4365 </w:instrText>
      </w:r>
      <w:r>
        <w:rPr>
          <w:rFonts w:hint="eastAsia" w:ascii="宋体" w:hAnsi="宋体"/>
          <w:bCs/>
          <w:szCs w:val="28"/>
        </w:rPr>
        <w:fldChar w:fldCharType="separate"/>
      </w:r>
      <w:r>
        <w:rPr>
          <w:rFonts w:hint="eastAsia" w:ascii="宋体" w:hAnsi="宋体"/>
          <w:szCs w:val="30"/>
        </w:rPr>
        <w:t>1.6.1现状概况</w:t>
      </w:r>
      <w:r>
        <w:tab/>
      </w:r>
      <w:r>
        <w:fldChar w:fldCharType="begin"/>
      </w:r>
      <w:r>
        <w:instrText xml:space="preserve"> PAGEREF _Toc4365 \h </w:instrText>
      </w:r>
      <w:r>
        <w:fldChar w:fldCharType="separate"/>
      </w:r>
      <w:r>
        <w:t>31</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_Toc3196 </w:instrText>
      </w:r>
      <w:r>
        <w:rPr>
          <w:rFonts w:hint="eastAsia" w:ascii="宋体" w:hAnsi="宋体"/>
          <w:bCs/>
          <w:szCs w:val="28"/>
        </w:rPr>
        <w:fldChar w:fldCharType="separate"/>
      </w:r>
      <w:r>
        <w:rPr>
          <w:rFonts w:hint="eastAsia" w:ascii="宋体" w:hAnsi="宋体"/>
          <w:szCs w:val="30"/>
        </w:rPr>
        <w:t>1.6.2存在问题</w:t>
      </w:r>
      <w:r>
        <w:tab/>
      </w:r>
      <w:r>
        <w:fldChar w:fldCharType="begin"/>
      </w:r>
      <w:r>
        <w:instrText xml:space="preserve"> PAGEREF _Toc3196 \h </w:instrText>
      </w:r>
      <w:r>
        <w:fldChar w:fldCharType="separate"/>
      </w:r>
      <w:r>
        <w:t>31</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_Toc16303 </w:instrText>
      </w:r>
      <w:r>
        <w:rPr>
          <w:rFonts w:hint="eastAsia" w:ascii="宋体" w:hAnsi="宋体"/>
          <w:bCs/>
          <w:szCs w:val="28"/>
        </w:rPr>
        <w:fldChar w:fldCharType="separate"/>
      </w:r>
      <w:r>
        <w:rPr>
          <w:rFonts w:hint="eastAsia" w:ascii="宋体" w:hAnsi="宋体"/>
          <w:szCs w:val="32"/>
        </w:rPr>
        <w:t>1.7城市燃气现状</w:t>
      </w:r>
      <w:r>
        <w:tab/>
      </w:r>
      <w:r>
        <w:fldChar w:fldCharType="begin"/>
      </w:r>
      <w:r>
        <w:instrText xml:space="preserve"> PAGEREF _Toc16303 \h </w:instrText>
      </w:r>
      <w:r>
        <w:fldChar w:fldCharType="separate"/>
      </w:r>
      <w:r>
        <w:t>31</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_Toc3014 </w:instrText>
      </w:r>
      <w:r>
        <w:rPr>
          <w:rFonts w:hint="eastAsia" w:ascii="宋体" w:hAnsi="宋体"/>
          <w:bCs/>
          <w:szCs w:val="28"/>
        </w:rPr>
        <w:fldChar w:fldCharType="separate"/>
      </w:r>
      <w:r>
        <w:rPr>
          <w:rFonts w:hint="eastAsia" w:ascii="宋体" w:hAnsi="宋体"/>
          <w:szCs w:val="30"/>
        </w:rPr>
        <w:t>1.7.1现状概况</w:t>
      </w:r>
      <w:r>
        <w:tab/>
      </w:r>
      <w:r>
        <w:fldChar w:fldCharType="begin"/>
      </w:r>
      <w:r>
        <w:instrText xml:space="preserve"> PAGEREF _Toc3014 \h </w:instrText>
      </w:r>
      <w:r>
        <w:fldChar w:fldCharType="separate"/>
      </w:r>
      <w:r>
        <w:t>31</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_Toc13278 </w:instrText>
      </w:r>
      <w:r>
        <w:rPr>
          <w:rFonts w:hint="eastAsia" w:ascii="宋体" w:hAnsi="宋体"/>
          <w:bCs/>
          <w:szCs w:val="28"/>
        </w:rPr>
        <w:fldChar w:fldCharType="separate"/>
      </w:r>
      <w:r>
        <w:rPr>
          <w:rFonts w:hint="eastAsia" w:ascii="宋体" w:hAnsi="宋体"/>
          <w:szCs w:val="30"/>
        </w:rPr>
        <w:t>1.7.2存在问题</w:t>
      </w:r>
      <w:r>
        <w:tab/>
      </w:r>
      <w:r>
        <w:fldChar w:fldCharType="begin"/>
      </w:r>
      <w:r>
        <w:instrText xml:space="preserve"> PAGEREF _Toc13278 \h </w:instrText>
      </w:r>
      <w:r>
        <w:fldChar w:fldCharType="separate"/>
      </w:r>
      <w:r>
        <w:t>32</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_Toc24693 </w:instrText>
      </w:r>
      <w:r>
        <w:rPr>
          <w:rFonts w:hint="eastAsia" w:ascii="宋体" w:hAnsi="宋体"/>
          <w:bCs/>
          <w:szCs w:val="28"/>
        </w:rPr>
        <w:fldChar w:fldCharType="separate"/>
      </w:r>
      <w:r>
        <w:rPr>
          <w:rFonts w:hint="eastAsia" w:ascii="宋体" w:hAnsi="宋体"/>
        </w:rPr>
        <w:t>第二章 规划总则</w:t>
      </w:r>
      <w:r>
        <w:tab/>
      </w:r>
      <w:r>
        <w:fldChar w:fldCharType="begin"/>
      </w:r>
      <w:r>
        <w:instrText xml:space="preserve"> PAGEREF _Toc24693 \h </w:instrText>
      </w:r>
      <w:r>
        <w:fldChar w:fldCharType="separate"/>
      </w:r>
      <w:r>
        <w:t>33</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_Toc23353 </w:instrText>
      </w:r>
      <w:r>
        <w:rPr>
          <w:rFonts w:hint="eastAsia" w:ascii="宋体" w:hAnsi="宋体"/>
          <w:bCs/>
          <w:szCs w:val="28"/>
        </w:rPr>
        <w:fldChar w:fldCharType="separate"/>
      </w:r>
      <w:r>
        <w:rPr>
          <w:rFonts w:hint="eastAsia" w:ascii="宋体" w:hAnsi="宋体"/>
          <w:szCs w:val="32"/>
        </w:rPr>
        <w:t>2.1规划依据</w:t>
      </w:r>
      <w:r>
        <w:tab/>
      </w:r>
      <w:r>
        <w:fldChar w:fldCharType="begin"/>
      </w:r>
      <w:r>
        <w:instrText xml:space="preserve"> PAGEREF _Toc23353 \h </w:instrText>
      </w:r>
      <w:r>
        <w:fldChar w:fldCharType="separate"/>
      </w:r>
      <w:r>
        <w:t>33</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_Toc5753 </w:instrText>
      </w:r>
      <w:r>
        <w:rPr>
          <w:rFonts w:hint="eastAsia" w:ascii="宋体" w:hAnsi="宋体"/>
          <w:bCs/>
          <w:szCs w:val="28"/>
        </w:rPr>
        <w:fldChar w:fldCharType="separate"/>
      </w:r>
      <w:r>
        <w:rPr>
          <w:rFonts w:hint="eastAsia" w:ascii="宋体" w:hAnsi="宋体"/>
          <w:szCs w:val="32"/>
        </w:rPr>
        <w:t>2.2规划指导思想</w:t>
      </w:r>
      <w:r>
        <w:tab/>
      </w:r>
      <w:r>
        <w:fldChar w:fldCharType="begin"/>
      </w:r>
      <w:r>
        <w:instrText xml:space="preserve"> PAGEREF _Toc5753 \h </w:instrText>
      </w:r>
      <w:r>
        <w:fldChar w:fldCharType="separate"/>
      </w:r>
      <w:r>
        <w:t>35</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_Toc20675 </w:instrText>
      </w:r>
      <w:r>
        <w:rPr>
          <w:rFonts w:hint="eastAsia" w:ascii="宋体" w:hAnsi="宋体"/>
          <w:bCs/>
          <w:szCs w:val="28"/>
        </w:rPr>
        <w:fldChar w:fldCharType="separate"/>
      </w:r>
      <w:r>
        <w:rPr>
          <w:rFonts w:hint="eastAsia" w:ascii="宋体" w:hAnsi="宋体"/>
          <w:szCs w:val="32"/>
        </w:rPr>
        <w:t>2.3规划原则</w:t>
      </w:r>
      <w:r>
        <w:tab/>
      </w:r>
      <w:r>
        <w:fldChar w:fldCharType="begin"/>
      </w:r>
      <w:r>
        <w:instrText xml:space="preserve"> PAGEREF _Toc20675 \h </w:instrText>
      </w:r>
      <w:r>
        <w:fldChar w:fldCharType="separate"/>
      </w:r>
      <w:r>
        <w:t>35</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_Toc20913 </w:instrText>
      </w:r>
      <w:r>
        <w:rPr>
          <w:rFonts w:hint="eastAsia" w:ascii="宋体" w:hAnsi="宋体"/>
          <w:bCs/>
          <w:szCs w:val="28"/>
        </w:rPr>
        <w:fldChar w:fldCharType="separate"/>
      </w:r>
      <w:r>
        <w:rPr>
          <w:rFonts w:hint="eastAsia" w:ascii="宋体" w:hAnsi="宋体"/>
          <w:szCs w:val="32"/>
        </w:rPr>
        <w:t>2.4规划范围与研究层次</w:t>
      </w:r>
      <w:r>
        <w:tab/>
      </w:r>
      <w:r>
        <w:fldChar w:fldCharType="begin"/>
      </w:r>
      <w:r>
        <w:instrText xml:space="preserve"> PAGEREF _Toc20913 \h </w:instrText>
      </w:r>
      <w:r>
        <w:fldChar w:fldCharType="separate"/>
      </w:r>
      <w:r>
        <w:t>36</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_Toc9143 </w:instrText>
      </w:r>
      <w:r>
        <w:rPr>
          <w:rFonts w:hint="eastAsia" w:ascii="宋体" w:hAnsi="宋体"/>
          <w:bCs/>
          <w:szCs w:val="28"/>
        </w:rPr>
        <w:fldChar w:fldCharType="separate"/>
      </w:r>
      <w:r>
        <w:rPr>
          <w:rFonts w:hint="eastAsia" w:ascii="宋体" w:hAnsi="宋体"/>
          <w:szCs w:val="32"/>
        </w:rPr>
        <w:t>2.4规划期限</w:t>
      </w:r>
      <w:r>
        <w:tab/>
      </w:r>
      <w:r>
        <w:fldChar w:fldCharType="begin"/>
      </w:r>
      <w:r>
        <w:instrText xml:space="preserve"> PAGEREF _Toc9143 \h </w:instrText>
      </w:r>
      <w:r>
        <w:fldChar w:fldCharType="separate"/>
      </w:r>
      <w:r>
        <w:t>37</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_Toc17066 </w:instrText>
      </w:r>
      <w:r>
        <w:rPr>
          <w:rFonts w:hint="eastAsia" w:ascii="宋体" w:hAnsi="宋体"/>
          <w:bCs/>
          <w:szCs w:val="28"/>
        </w:rPr>
        <w:fldChar w:fldCharType="separate"/>
      </w:r>
      <w:r>
        <w:rPr>
          <w:rFonts w:hint="eastAsia" w:ascii="宋体" w:hAnsi="宋体"/>
          <w:szCs w:val="32"/>
        </w:rPr>
        <w:t>2.6规划目标</w:t>
      </w:r>
      <w:r>
        <w:tab/>
      </w:r>
      <w:r>
        <w:fldChar w:fldCharType="begin"/>
      </w:r>
      <w:r>
        <w:instrText xml:space="preserve"> PAGEREF _Toc17066 \h </w:instrText>
      </w:r>
      <w:r>
        <w:fldChar w:fldCharType="separate"/>
      </w:r>
      <w:r>
        <w:t>37</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_Toc11376 </w:instrText>
      </w:r>
      <w:r>
        <w:rPr>
          <w:rFonts w:hint="eastAsia" w:ascii="宋体" w:hAnsi="宋体"/>
          <w:bCs/>
          <w:szCs w:val="28"/>
        </w:rPr>
        <w:fldChar w:fldCharType="separate"/>
      </w:r>
      <w:r>
        <w:rPr>
          <w:rFonts w:hint="eastAsia" w:ascii="宋体" w:hAnsi="宋体"/>
          <w:szCs w:val="32"/>
        </w:rPr>
        <w:t>2.7规划技术路线</w:t>
      </w:r>
      <w:r>
        <w:tab/>
      </w:r>
      <w:r>
        <w:fldChar w:fldCharType="begin"/>
      </w:r>
      <w:r>
        <w:instrText xml:space="preserve"> PAGEREF _Toc11376 \h </w:instrText>
      </w:r>
      <w:r>
        <w:fldChar w:fldCharType="separate"/>
      </w:r>
      <w:r>
        <w:t>38</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_Toc18991 </w:instrText>
      </w:r>
      <w:r>
        <w:rPr>
          <w:rFonts w:hint="eastAsia" w:ascii="宋体" w:hAnsi="宋体"/>
          <w:bCs/>
          <w:szCs w:val="28"/>
        </w:rPr>
        <w:fldChar w:fldCharType="separate"/>
      </w:r>
      <w:r>
        <w:rPr>
          <w:rFonts w:hint="eastAsia" w:ascii="宋体" w:hAnsi="宋体"/>
        </w:rPr>
        <w:t>第三章 上位规划解读</w:t>
      </w:r>
      <w:r>
        <w:tab/>
      </w:r>
      <w:r>
        <w:fldChar w:fldCharType="begin"/>
      </w:r>
      <w:r>
        <w:instrText xml:space="preserve"> PAGEREF _Toc18991 \h </w:instrText>
      </w:r>
      <w:r>
        <w:fldChar w:fldCharType="separate"/>
      </w:r>
      <w:r>
        <w:t>38</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_Toc4841 </w:instrText>
      </w:r>
      <w:r>
        <w:rPr>
          <w:rFonts w:hint="eastAsia" w:ascii="宋体" w:hAnsi="宋体"/>
          <w:bCs/>
          <w:szCs w:val="28"/>
        </w:rPr>
        <w:fldChar w:fldCharType="separate"/>
      </w:r>
      <w:r>
        <w:rPr>
          <w:rFonts w:hint="eastAsia" w:ascii="宋体" w:hAnsi="宋体"/>
          <w:szCs w:val="32"/>
        </w:rPr>
        <w:t>3.1《盐池县空间规划》（2016-2030）</w:t>
      </w:r>
      <w:r>
        <w:tab/>
      </w:r>
      <w:r>
        <w:fldChar w:fldCharType="begin"/>
      </w:r>
      <w:r>
        <w:instrText xml:space="preserve"> PAGEREF _Toc4841 \h </w:instrText>
      </w:r>
      <w:r>
        <w:fldChar w:fldCharType="separate"/>
      </w:r>
      <w:r>
        <w:t>38</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_Toc31047 </w:instrText>
      </w:r>
      <w:r>
        <w:rPr>
          <w:rFonts w:hint="eastAsia" w:ascii="宋体" w:hAnsi="宋体"/>
          <w:bCs/>
          <w:szCs w:val="28"/>
        </w:rPr>
        <w:fldChar w:fldCharType="separate"/>
      </w:r>
      <w:r>
        <w:rPr>
          <w:rFonts w:hint="eastAsia" w:ascii="宋体" w:hAnsi="宋体"/>
          <w:szCs w:val="30"/>
        </w:rPr>
        <w:t>3.1.1规划目的</w:t>
      </w:r>
      <w:r>
        <w:tab/>
      </w:r>
      <w:r>
        <w:fldChar w:fldCharType="begin"/>
      </w:r>
      <w:r>
        <w:instrText xml:space="preserve"> PAGEREF _Toc31047 \h </w:instrText>
      </w:r>
      <w:r>
        <w:fldChar w:fldCharType="separate"/>
      </w:r>
      <w:r>
        <w:t>38</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_Toc20796 </w:instrText>
      </w:r>
      <w:r>
        <w:rPr>
          <w:rFonts w:hint="eastAsia" w:ascii="宋体" w:hAnsi="宋体"/>
          <w:bCs/>
          <w:szCs w:val="28"/>
        </w:rPr>
        <w:fldChar w:fldCharType="separate"/>
      </w:r>
      <w:r>
        <w:rPr>
          <w:rFonts w:hint="eastAsia" w:ascii="宋体" w:hAnsi="宋体"/>
          <w:szCs w:val="30"/>
        </w:rPr>
        <w:t>3.1.2发展定位</w:t>
      </w:r>
      <w:r>
        <w:tab/>
      </w:r>
      <w:r>
        <w:fldChar w:fldCharType="begin"/>
      </w:r>
      <w:r>
        <w:instrText xml:space="preserve"> PAGEREF _Toc20796 \h </w:instrText>
      </w:r>
      <w:r>
        <w:fldChar w:fldCharType="separate"/>
      </w:r>
      <w:r>
        <w:t>39</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_Toc547 </w:instrText>
      </w:r>
      <w:r>
        <w:rPr>
          <w:rFonts w:hint="eastAsia" w:ascii="宋体" w:hAnsi="宋体"/>
          <w:bCs/>
          <w:szCs w:val="28"/>
        </w:rPr>
        <w:fldChar w:fldCharType="separate"/>
      </w:r>
      <w:r>
        <w:rPr>
          <w:rFonts w:hint="eastAsia" w:ascii="宋体" w:hAnsi="宋体"/>
          <w:szCs w:val="30"/>
        </w:rPr>
        <w:t>3.1.3空间布局</w:t>
      </w:r>
      <w:r>
        <w:tab/>
      </w:r>
      <w:r>
        <w:fldChar w:fldCharType="begin"/>
      </w:r>
      <w:r>
        <w:instrText xml:space="preserve"> PAGEREF _Toc547 \h </w:instrText>
      </w:r>
      <w:r>
        <w:fldChar w:fldCharType="separate"/>
      </w:r>
      <w:r>
        <w:t>40</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_Toc30536 </w:instrText>
      </w:r>
      <w:r>
        <w:rPr>
          <w:rFonts w:hint="eastAsia" w:ascii="宋体" w:hAnsi="宋体"/>
          <w:bCs/>
          <w:szCs w:val="28"/>
        </w:rPr>
        <w:fldChar w:fldCharType="separate"/>
      </w:r>
      <w:r>
        <w:rPr>
          <w:rFonts w:hint="eastAsia" w:ascii="宋体" w:hAnsi="宋体"/>
          <w:szCs w:val="30"/>
        </w:rPr>
        <w:t>3.1.4三区三线划定</w:t>
      </w:r>
      <w:r>
        <w:tab/>
      </w:r>
      <w:r>
        <w:fldChar w:fldCharType="begin"/>
      </w:r>
      <w:r>
        <w:instrText xml:space="preserve"> PAGEREF _Toc30536 \h </w:instrText>
      </w:r>
      <w:r>
        <w:fldChar w:fldCharType="separate"/>
      </w:r>
      <w:r>
        <w:t>40</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_Toc10679 </w:instrText>
      </w:r>
      <w:r>
        <w:rPr>
          <w:rFonts w:hint="eastAsia" w:ascii="宋体" w:hAnsi="宋体"/>
          <w:bCs/>
          <w:szCs w:val="28"/>
        </w:rPr>
        <w:fldChar w:fldCharType="separate"/>
      </w:r>
      <w:r>
        <w:rPr>
          <w:rFonts w:hint="eastAsia" w:ascii="宋体" w:hAnsi="宋体"/>
          <w:szCs w:val="30"/>
        </w:rPr>
        <w:t>3.1.5人口规模</w:t>
      </w:r>
      <w:r>
        <w:tab/>
      </w:r>
      <w:r>
        <w:fldChar w:fldCharType="begin"/>
      </w:r>
      <w:r>
        <w:instrText xml:space="preserve"> PAGEREF _Toc10679 \h </w:instrText>
      </w:r>
      <w:r>
        <w:fldChar w:fldCharType="separate"/>
      </w:r>
      <w:r>
        <w:t>42</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_Toc8322 </w:instrText>
      </w:r>
      <w:r>
        <w:rPr>
          <w:rFonts w:hint="eastAsia" w:ascii="宋体" w:hAnsi="宋体"/>
          <w:bCs/>
          <w:szCs w:val="28"/>
        </w:rPr>
        <w:fldChar w:fldCharType="separate"/>
      </w:r>
      <w:r>
        <w:rPr>
          <w:rFonts w:hint="eastAsia" w:ascii="宋体" w:hAnsi="宋体"/>
          <w:szCs w:val="30"/>
        </w:rPr>
        <w:t>3.1.6城镇职能</w:t>
      </w:r>
      <w:r>
        <w:tab/>
      </w:r>
      <w:r>
        <w:fldChar w:fldCharType="begin"/>
      </w:r>
      <w:r>
        <w:instrText xml:space="preserve"> PAGEREF _Toc8322 \h </w:instrText>
      </w:r>
      <w:r>
        <w:fldChar w:fldCharType="separate"/>
      </w:r>
      <w:r>
        <w:t>43</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_Toc1737 </w:instrText>
      </w:r>
      <w:r>
        <w:rPr>
          <w:rFonts w:hint="eastAsia" w:ascii="宋体" w:hAnsi="宋体"/>
          <w:bCs/>
          <w:szCs w:val="28"/>
        </w:rPr>
        <w:fldChar w:fldCharType="separate"/>
      </w:r>
      <w:r>
        <w:rPr>
          <w:rFonts w:hint="eastAsia" w:ascii="宋体" w:hAnsi="宋体"/>
          <w:szCs w:val="30"/>
        </w:rPr>
        <w:t>3.1.7综合交通规划</w:t>
      </w:r>
      <w:r>
        <w:tab/>
      </w:r>
      <w:r>
        <w:fldChar w:fldCharType="begin"/>
      </w:r>
      <w:r>
        <w:instrText xml:space="preserve"> PAGEREF _Toc1737 \h </w:instrText>
      </w:r>
      <w:r>
        <w:fldChar w:fldCharType="separate"/>
      </w:r>
      <w:r>
        <w:t>43</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_Toc21808 </w:instrText>
      </w:r>
      <w:r>
        <w:rPr>
          <w:rFonts w:hint="eastAsia" w:ascii="宋体" w:hAnsi="宋体"/>
          <w:bCs/>
          <w:szCs w:val="28"/>
        </w:rPr>
        <w:fldChar w:fldCharType="separate"/>
      </w:r>
      <w:r>
        <w:rPr>
          <w:rFonts w:hint="eastAsia" w:ascii="宋体" w:hAnsi="宋体"/>
          <w:szCs w:val="30"/>
        </w:rPr>
        <w:t>3.1.8消防规划</w:t>
      </w:r>
      <w:r>
        <w:tab/>
      </w:r>
      <w:r>
        <w:fldChar w:fldCharType="begin"/>
      </w:r>
      <w:r>
        <w:instrText xml:space="preserve"> PAGEREF _Toc21808 \h </w:instrText>
      </w:r>
      <w:r>
        <w:fldChar w:fldCharType="separate"/>
      </w:r>
      <w:r>
        <w:t>44</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_Toc693 </w:instrText>
      </w:r>
      <w:r>
        <w:rPr>
          <w:rFonts w:hint="eastAsia" w:ascii="宋体" w:hAnsi="宋体"/>
          <w:bCs/>
          <w:szCs w:val="28"/>
        </w:rPr>
        <w:fldChar w:fldCharType="separate"/>
      </w:r>
      <w:r>
        <w:rPr>
          <w:rFonts w:hint="eastAsia" w:ascii="宋体" w:hAnsi="宋体"/>
          <w:szCs w:val="32"/>
        </w:rPr>
        <w:t>3.2《盐池县城市总体规划》（2010-2030）</w:t>
      </w:r>
      <w:r>
        <w:tab/>
      </w:r>
      <w:r>
        <w:fldChar w:fldCharType="begin"/>
      </w:r>
      <w:r>
        <w:instrText xml:space="preserve"> PAGEREF _Toc693 \h </w:instrText>
      </w:r>
      <w:r>
        <w:fldChar w:fldCharType="separate"/>
      </w:r>
      <w:r>
        <w:t>45</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_Toc6821 </w:instrText>
      </w:r>
      <w:r>
        <w:rPr>
          <w:rFonts w:hint="eastAsia" w:ascii="宋体" w:hAnsi="宋体"/>
          <w:bCs/>
          <w:szCs w:val="28"/>
        </w:rPr>
        <w:fldChar w:fldCharType="separate"/>
      </w:r>
      <w:r>
        <w:rPr>
          <w:rFonts w:hint="eastAsia" w:ascii="宋体" w:hAnsi="宋体"/>
          <w:szCs w:val="30"/>
        </w:rPr>
        <w:t>3.2.1规划重点</w:t>
      </w:r>
      <w:r>
        <w:tab/>
      </w:r>
      <w:r>
        <w:fldChar w:fldCharType="begin"/>
      </w:r>
      <w:r>
        <w:instrText xml:space="preserve"> PAGEREF _Toc6821 \h </w:instrText>
      </w:r>
      <w:r>
        <w:fldChar w:fldCharType="separate"/>
      </w:r>
      <w:r>
        <w:t>45</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_Toc29001 </w:instrText>
      </w:r>
      <w:r>
        <w:rPr>
          <w:rFonts w:hint="eastAsia" w:ascii="宋体" w:hAnsi="宋体"/>
          <w:bCs/>
          <w:szCs w:val="28"/>
        </w:rPr>
        <w:fldChar w:fldCharType="separate"/>
      </w:r>
      <w:r>
        <w:rPr>
          <w:rFonts w:hint="eastAsia" w:ascii="宋体" w:hAnsi="宋体"/>
          <w:szCs w:val="30"/>
        </w:rPr>
        <w:t>3.2.2规划期限</w:t>
      </w:r>
      <w:r>
        <w:tab/>
      </w:r>
      <w:r>
        <w:fldChar w:fldCharType="begin"/>
      </w:r>
      <w:r>
        <w:instrText xml:space="preserve"> PAGEREF _Toc29001 \h </w:instrText>
      </w:r>
      <w:r>
        <w:fldChar w:fldCharType="separate"/>
      </w:r>
      <w:r>
        <w:t>47</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_Toc21046 </w:instrText>
      </w:r>
      <w:r>
        <w:rPr>
          <w:rFonts w:hint="eastAsia" w:ascii="宋体" w:hAnsi="宋体"/>
          <w:bCs/>
          <w:szCs w:val="28"/>
        </w:rPr>
        <w:fldChar w:fldCharType="separate"/>
      </w:r>
      <w:r>
        <w:rPr>
          <w:rFonts w:hint="eastAsia" w:ascii="宋体" w:hAnsi="宋体"/>
          <w:szCs w:val="30"/>
        </w:rPr>
        <w:t>3.2.3规划层次与范围</w:t>
      </w:r>
      <w:r>
        <w:tab/>
      </w:r>
      <w:r>
        <w:fldChar w:fldCharType="begin"/>
      </w:r>
      <w:r>
        <w:instrText xml:space="preserve"> PAGEREF _Toc21046 \h </w:instrText>
      </w:r>
      <w:r>
        <w:fldChar w:fldCharType="separate"/>
      </w:r>
      <w:r>
        <w:t>47</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_Toc82 </w:instrText>
      </w:r>
      <w:r>
        <w:rPr>
          <w:rFonts w:hint="eastAsia" w:ascii="宋体" w:hAnsi="宋体"/>
          <w:bCs/>
          <w:szCs w:val="28"/>
        </w:rPr>
        <w:fldChar w:fldCharType="separate"/>
      </w:r>
      <w:r>
        <w:rPr>
          <w:rFonts w:hint="eastAsia" w:ascii="宋体" w:hAnsi="宋体"/>
          <w:szCs w:val="30"/>
        </w:rPr>
        <w:t>3.2.4城镇空间结构规划</w:t>
      </w:r>
      <w:r>
        <w:tab/>
      </w:r>
      <w:r>
        <w:fldChar w:fldCharType="begin"/>
      </w:r>
      <w:r>
        <w:instrText xml:space="preserve"> PAGEREF _Toc82 \h </w:instrText>
      </w:r>
      <w:r>
        <w:fldChar w:fldCharType="separate"/>
      </w:r>
      <w:r>
        <w:t>47</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_Toc17665 </w:instrText>
      </w:r>
      <w:r>
        <w:rPr>
          <w:rFonts w:hint="eastAsia" w:ascii="宋体" w:hAnsi="宋体"/>
          <w:bCs/>
          <w:szCs w:val="28"/>
        </w:rPr>
        <w:fldChar w:fldCharType="separate"/>
      </w:r>
      <w:r>
        <w:rPr>
          <w:rFonts w:hint="eastAsia" w:ascii="宋体" w:hAnsi="宋体"/>
          <w:szCs w:val="30"/>
        </w:rPr>
        <w:t>3.2.5城市规划区</w:t>
      </w:r>
      <w:r>
        <w:tab/>
      </w:r>
      <w:r>
        <w:fldChar w:fldCharType="begin"/>
      </w:r>
      <w:r>
        <w:instrText xml:space="preserve"> PAGEREF _Toc17665 \h </w:instrText>
      </w:r>
      <w:r>
        <w:fldChar w:fldCharType="separate"/>
      </w:r>
      <w:r>
        <w:t>48</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_Toc1245 </w:instrText>
      </w:r>
      <w:r>
        <w:rPr>
          <w:rFonts w:hint="eastAsia" w:ascii="宋体" w:hAnsi="宋体"/>
          <w:bCs/>
          <w:szCs w:val="28"/>
        </w:rPr>
        <w:fldChar w:fldCharType="separate"/>
      </w:r>
      <w:r>
        <w:rPr>
          <w:rFonts w:hint="eastAsia" w:ascii="宋体" w:hAnsi="宋体"/>
          <w:szCs w:val="30"/>
        </w:rPr>
        <w:t>3.2.6城市性质与规模</w:t>
      </w:r>
      <w:r>
        <w:tab/>
      </w:r>
      <w:r>
        <w:fldChar w:fldCharType="begin"/>
      </w:r>
      <w:r>
        <w:instrText xml:space="preserve"> PAGEREF _Toc1245 \h </w:instrText>
      </w:r>
      <w:r>
        <w:fldChar w:fldCharType="separate"/>
      </w:r>
      <w:r>
        <w:t>50</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_Toc27324 </w:instrText>
      </w:r>
      <w:r>
        <w:rPr>
          <w:rFonts w:hint="eastAsia" w:ascii="宋体" w:hAnsi="宋体"/>
          <w:bCs/>
          <w:szCs w:val="28"/>
        </w:rPr>
        <w:fldChar w:fldCharType="separate"/>
      </w:r>
      <w:r>
        <w:rPr>
          <w:rFonts w:hint="eastAsia" w:ascii="宋体" w:hAnsi="宋体"/>
          <w:szCs w:val="30"/>
        </w:rPr>
        <w:t>3.2.7城市空间布局结构</w:t>
      </w:r>
      <w:r>
        <w:tab/>
      </w:r>
      <w:r>
        <w:fldChar w:fldCharType="begin"/>
      </w:r>
      <w:r>
        <w:instrText xml:space="preserve"> PAGEREF _Toc27324 \h </w:instrText>
      </w:r>
      <w:r>
        <w:fldChar w:fldCharType="separate"/>
      </w:r>
      <w:r>
        <w:t>51</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_Toc6969 </w:instrText>
      </w:r>
      <w:r>
        <w:rPr>
          <w:rFonts w:hint="eastAsia" w:ascii="宋体" w:hAnsi="宋体"/>
          <w:bCs/>
          <w:szCs w:val="28"/>
        </w:rPr>
        <w:fldChar w:fldCharType="separate"/>
      </w:r>
      <w:r>
        <w:rPr>
          <w:rFonts w:hint="eastAsia" w:ascii="宋体" w:hAnsi="宋体"/>
          <w:szCs w:val="30"/>
        </w:rPr>
        <w:t>3.2.8城区综合交通规划</w:t>
      </w:r>
      <w:r>
        <w:tab/>
      </w:r>
      <w:r>
        <w:fldChar w:fldCharType="begin"/>
      </w:r>
      <w:r>
        <w:instrText xml:space="preserve"> PAGEREF _Toc6969 \h </w:instrText>
      </w:r>
      <w:r>
        <w:fldChar w:fldCharType="separate"/>
      </w:r>
      <w:r>
        <w:t>51</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_Toc11298 </w:instrText>
      </w:r>
      <w:r>
        <w:rPr>
          <w:rFonts w:hint="eastAsia" w:ascii="宋体" w:hAnsi="宋体"/>
          <w:bCs/>
          <w:szCs w:val="28"/>
        </w:rPr>
        <w:fldChar w:fldCharType="separate"/>
      </w:r>
      <w:r>
        <w:rPr>
          <w:rFonts w:hint="eastAsia" w:ascii="宋体" w:hAnsi="宋体"/>
          <w:szCs w:val="30"/>
        </w:rPr>
        <w:t>3.2.9消防规划</w:t>
      </w:r>
      <w:r>
        <w:tab/>
      </w:r>
      <w:r>
        <w:fldChar w:fldCharType="begin"/>
      </w:r>
      <w:r>
        <w:instrText xml:space="preserve"> PAGEREF _Toc11298 \h </w:instrText>
      </w:r>
      <w:r>
        <w:fldChar w:fldCharType="separate"/>
      </w:r>
      <w:r>
        <w:t>52</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_Toc30773 </w:instrText>
      </w:r>
      <w:r>
        <w:rPr>
          <w:rFonts w:hint="eastAsia" w:ascii="宋体" w:hAnsi="宋体"/>
          <w:bCs/>
          <w:szCs w:val="28"/>
        </w:rPr>
        <w:fldChar w:fldCharType="separate"/>
      </w:r>
      <w:r>
        <w:rPr>
          <w:rFonts w:hint="eastAsia" w:ascii="宋体" w:hAnsi="宋体"/>
          <w:szCs w:val="32"/>
        </w:rPr>
        <w:t>3</w:t>
      </w:r>
      <w:r>
        <w:rPr>
          <w:rFonts w:ascii="宋体" w:hAnsi="宋体"/>
          <w:szCs w:val="32"/>
        </w:rPr>
        <w:t>.3</w:t>
      </w:r>
      <w:r>
        <w:rPr>
          <w:rFonts w:hint="eastAsia" w:ascii="宋体" w:hAnsi="宋体"/>
          <w:szCs w:val="32"/>
        </w:rPr>
        <w:t>《</w:t>
      </w:r>
      <w:r>
        <w:rPr>
          <w:rFonts w:ascii="宋体" w:hAnsi="宋体"/>
          <w:szCs w:val="32"/>
        </w:rPr>
        <w:t>盐池县国土空间规划</w:t>
      </w:r>
      <w:r>
        <w:rPr>
          <w:rFonts w:hint="eastAsia" w:ascii="宋体" w:hAnsi="宋体"/>
          <w:szCs w:val="32"/>
        </w:rPr>
        <w:t>》（2</w:t>
      </w:r>
      <w:r>
        <w:rPr>
          <w:rFonts w:ascii="宋体" w:hAnsi="宋体"/>
          <w:szCs w:val="32"/>
        </w:rPr>
        <w:t>021</w:t>
      </w:r>
      <w:r>
        <w:rPr>
          <w:rFonts w:hint="eastAsia" w:ascii="宋体" w:hAnsi="宋体"/>
          <w:szCs w:val="32"/>
        </w:rPr>
        <w:t>-</w:t>
      </w:r>
      <w:r>
        <w:rPr>
          <w:rFonts w:ascii="宋体" w:hAnsi="宋体"/>
          <w:szCs w:val="32"/>
        </w:rPr>
        <w:t>2035</w:t>
      </w:r>
      <w:r>
        <w:rPr>
          <w:rFonts w:hint="eastAsia" w:ascii="宋体" w:hAnsi="宋体"/>
          <w:szCs w:val="32"/>
        </w:rPr>
        <w:t>）</w:t>
      </w:r>
      <w:r>
        <w:tab/>
      </w:r>
      <w:r>
        <w:fldChar w:fldCharType="begin"/>
      </w:r>
      <w:r>
        <w:instrText xml:space="preserve"> PAGEREF _Toc30773 \h </w:instrText>
      </w:r>
      <w:r>
        <w:fldChar w:fldCharType="separate"/>
      </w:r>
      <w:r>
        <w:t>53</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_Toc9667 </w:instrText>
      </w:r>
      <w:r>
        <w:rPr>
          <w:rFonts w:hint="eastAsia" w:ascii="宋体" w:hAnsi="宋体"/>
          <w:bCs/>
          <w:szCs w:val="28"/>
        </w:rPr>
        <w:fldChar w:fldCharType="separate"/>
      </w:r>
      <w:r>
        <w:rPr>
          <w:rFonts w:hint="eastAsia" w:ascii="宋体" w:hAnsi="宋体"/>
          <w:szCs w:val="30"/>
        </w:rPr>
        <w:t>3</w:t>
      </w:r>
      <w:r>
        <w:rPr>
          <w:rFonts w:ascii="宋体" w:hAnsi="宋体"/>
          <w:szCs w:val="30"/>
        </w:rPr>
        <w:t>.3.1城市性质</w:t>
      </w:r>
      <w:r>
        <w:tab/>
      </w:r>
      <w:r>
        <w:fldChar w:fldCharType="begin"/>
      </w:r>
      <w:r>
        <w:instrText xml:space="preserve"> PAGEREF _Toc9667 \h </w:instrText>
      </w:r>
      <w:r>
        <w:fldChar w:fldCharType="separate"/>
      </w:r>
      <w:r>
        <w:t>53</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_Toc22068 </w:instrText>
      </w:r>
      <w:r>
        <w:rPr>
          <w:rFonts w:hint="eastAsia" w:ascii="宋体" w:hAnsi="宋体"/>
          <w:bCs/>
          <w:szCs w:val="28"/>
        </w:rPr>
        <w:fldChar w:fldCharType="separate"/>
      </w:r>
      <w:r>
        <w:rPr>
          <w:rFonts w:hint="eastAsia" w:ascii="宋体" w:hAnsi="宋体"/>
        </w:rPr>
        <w:t>第四章 火灾风险评估</w:t>
      </w:r>
      <w:r>
        <w:tab/>
      </w:r>
      <w:r>
        <w:fldChar w:fldCharType="begin"/>
      </w:r>
      <w:r>
        <w:instrText xml:space="preserve"> PAGEREF _Toc22068 \h </w:instrText>
      </w:r>
      <w:r>
        <w:fldChar w:fldCharType="separate"/>
      </w:r>
      <w:r>
        <w:t>56</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_Toc28187 </w:instrText>
      </w:r>
      <w:r>
        <w:rPr>
          <w:rFonts w:hint="eastAsia" w:ascii="宋体" w:hAnsi="宋体"/>
          <w:bCs/>
          <w:szCs w:val="28"/>
        </w:rPr>
        <w:fldChar w:fldCharType="separate"/>
      </w:r>
      <w:r>
        <w:rPr>
          <w:rFonts w:hint="eastAsia" w:ascii="宋体" w:hAnsi="宋体"/>
          <w:szCs w:val="32"/>
        </w:rPr>
        <w:t>4.1火灾风险评估的概念</w:t>
      </w:r>
      <w:r>
        <w:tab/>
      </w:r>
      <w:r>
        <w:fldChar w:fldCharType="begin"/>
      </w:r>
      <w:r>
        <w:instrText xml:space="preserve"> PAGEREF _Toc28187 \h </w:instrText>
      </w:r>
      <w:r>
        <w:fldChar w:fldCharType="separate"/>
      </w:r>
      <w:r>
        <w:t>56</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_Toc15104 </w:instrText>
      </w:r>
      <w:r>
        <w:rPr>
          <w:rFonts w:hint="eastAsia" w:ascii="宋体" w:hAnsi="宋体"/>
          <w:bCs/>
          <w:szCs w:val="28"/>
        </w:rPr>
        <w:fldChar w:fldCharType="separate"/>
      </w:r>
      <w:r>
        <w:rPr>
          <w:rFonts w:hint="eastAsia" w:ascii="宋体" w:hAnsi="宋体"/>
          <w:szCs w:val="32"/>
        </w:rPr>
        <w:t>4.2火灾风险评估的意义</w:t>
      </w:r>
      <w:r>
        <w:tab/>
      </w:r>
      <w:r>
        <w:fldChar w:fldCharType="begin"/>
      </w:r>
      <w:r>
        <w:instrText xml:space="preserve"> PAGEREF _Toc15104 \h </w:instrText>
      </w:r>
      <w:r>
        <w:fldChar w:fldCharType="separate"/>
      </w:r>
      <w:r>
        <w:t>56</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_Toc24315 </w:instrText>
      </w:r>
      <w:r>
        <w:rPr>
          <w:rFonts w:hint="eastAsia" w:ascii="宋体" w:hAnsi="宋体"/>
          <w:bCs/>
          <w:szCs w:val="28"/>
        </w:rPr>
        <w:fldChar w:fldCharType="separate"/>
      </w:r>
      <w:r>
        <w:rPr>
          <w:rFonts w:hint="eastAsia" w:ascii="宋体" w:hAnsi="宋体"/>
          <w:szCs w:val="32"/>
        </w:rPr>
        <w:t>4.3重点消防地区</w:t>
      </w:r>
      <w:r>
        <w:tab/>
      </w:r>
      <w:r>
        <w:fldChar w:fldCharType="begin"/>
      </w:r>
      <w:r>
        <w:instrText xml:space="preserve"> PAGEREF _Toc24315 \h </w:instrText>
      </w:r>
      <w:r>
        <w:fldChar w:fldCharType="separate"/>
      </w:r>
      <w:r>
        <w:t>57</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_Toc14779 </w:instrText>
      </w:r>
      <w:r>
        <w:rPr>
          <w:rFonts w:hint="eastAsia" w:ascii="宋体" w:hAnsi="宋体"/>
          <w:bCs/>
          <w:szCs w:val="28"/>
        </w:rPr>
        <w:fldChar w:fldCharType="separate"/>
      </w:r>
      <w:r>
        <w:rPr>
          <w:rFonts w:hint="eastAsia" w:ascii="宋体" w:hAnsi="宋体"/>
          <w:szCs w:val="32"/>
        </w:rPr>
        <w:t>4.4防火隔离带及避难疏散场地</w:t>
      </w:r>
      <w:r>
        <w:tab/>
      </w:r>
      <w:r>
        <w:fldChar w:fldCharType="begin"/>
      </w:r>
      <w:r>
        <w:instrText xml:space="preserve"> PAGEREF _Toc14779 \h </w:instrText>
      </w:r>
      <w:r>
        <w:fldChar w:fldCharType="separate"/>
      </w:r>
      <w:r>
        <w:t>59</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_Toc24915 </w:instrText>
      </w:r>
      <w:r>
        <w:rPr>
          <w:rFonts w:hint="eastAsia" w:ascii="宋体" w:hAnsi="宋体"/>
          <w:bCs/>
          <w:szCs w:val="28"/>
        </w:rPr>
        <w:fldChar w:fldCharType="separate"/>
      </w:r>
      <w:r>
        <w:rPr>
          <w:rFonts w:hint="eastAsia" w:ascii="宋体" w:hAnsi="宋体"/>
          <w:szCs w:val="32"/>
        </w:rPr>
        <w:t>4.5一般消防地区</w:t>
      </w:r>
      <w:r>
        <w:tab/>
      </w:r>
      <w:r>
        <w:fldChar w:fldCharType="begin"/>
      </w:r>
      <w:r>
        <w:instrText xml:space="preserve"> PAGEREF _Toc24915 \h </w:instrText>
      </w:r>
      <w:r>
        <w:fldChar w:fldCharType="separate"/>
      </w:r>
      <w:r>
        <w:t>59</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_Toc24369 </w:instrText>
      </w:r>
      <w:r>
        <w:rPr>
          <w:rFonts w:hint="eastAsia" w:ascii="宋体" w:hAnsi="宋体"/>
          <w:bCs/>
          <w:szCs w:val="28"/>
        </w:rPr>
        <w:fldChar w:fldCharType="separate"/>
      </w:r>
      <w:r>
        <w:rPr>
          <w:rFonts w:hint="eastAsia" w:ascii="宋体" w:hAnsi="宋体"/>
        </w:rPr>
        <w:t>第五章 县域消防规划指引</w:t>
      </w:r>
      <w:r>
        <w:tab/>
      </w:r>
      <w:r>
        <w:fldChar w:fldCharType="begin"/>
      </w:r>
      <w:r>
        <w:instrText xml:space="preserve"> PAGEREF _Toc24369 \h </w:instrText>
      </w:r>
      <w:r>
        <w:fldChar w:fldCharType="separate"/>
      </w:r>
      <w:r>
        <w:t>60</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_Toc29466 </w:instrText>
      </w:r>
      <w:r>
        <w:rPr>
          <w:rFonts w:hint="eastAsia" w:ascii="宋体" w:hAnsi="宋体"/>
          <w:bCs/>
          <w:szCs w:val="28"/>
        </w:rPr>
        <w:fldChar w:fldCharType="separate"/>
      </w:r>
      <w:r>
        <w:rPr>
          <w:rFonts w:hint="eastAsia" w:ascii="宋体" w:hAnsi="宋体"/>
          <w:szCs w:val="32"/>
        </w:rPr>
        <w:t>5.1县域消防体系规划</w:t>
      </w:r>
      <w:r>
        <w:tab/>
      </w:r>
      <w:r>
        <w:fldChar w:fldCharType="begin"/>
      </w:r>
      <w:r>
        <w:instrText xml:space="preserve"> PAGEREF _Toc29466 \h </w:instrText>
      </w:r>
      <w:r>
        <w:fldChar w:fldCharType="separate"/>
      </w:r>
      <w:r>
        <w:t>61</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_Toc3205 </w:instrText>
      </w:r>
      <w:r>
        <w:rPr>
          <w:rFonts w:hint="eastAsia" w:ascii="宋体" w:hAnsi="宋体"/>
          <w:bCs/>
          <w:szCs w:val="28"/>
        </w:rPr>
        <w:fldChar w:fldCharType="separate"/>
      </w:r>
      <w:r>
        <w:rPr>
          <w:rFonts w:hint="eastAsia" w:ascii="宋体" w:hAnsi="宋体"/>
          <w:szCs w:val="32"/>
        </w:rPr>
        <w:t>5.2县域专职消防队（站）规划</w:t>
      </w:r>
      <w:r>
        <w:tab/>
      </w:r>
      <w:r>
        <w:fldChar w:fldCharType="begin"/>
      </w:r>
      <w:r>
        <w:instrText xml:space="preserve"> PAGEREF _Toc3205 \h </w:instrText>
      </w:r>
      <w:r>
        <w:fldChar w:fldCharType="separate"/>
      </w:r>
      <w:r>
        <w:t>63</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_Toc1989 </w:instrText>
      </w:r>
      <w:r>
        <w:rPr>
          <w:rFonts w:hint="eastAsia" w:ascii="宋体" w:hAnsi="宋体"/>
          <w:bCs/>
          <w:szCs w:val="28"/>
        </w:rPr>
        <w:fldChar w:fldCharType="separate"/>
      </w:r>
      <w:r>
        <w:rPr>
          <w:rFonts w:ascii="宋体" w:hAnsi="宋体"/>
          <w:szCs w:val="30"/>
        </w:rPr>
        <w:t>5.2.1政府专职消防救援站</w:t>
      </w:r>
      <w:r>
        <w:tab/>
      </w:r>
      <w:r>
        <w:fldChar w:fldCharType="begin"/>
      </w:r>
      <w:r>
        <w:instrText xml:space="preserve"> PAGEREF _Toc1989 \h </w:instrText>
      </w:r>
      <w:r>
        <w:fldChar w:fldCharType="separate"/>
      </w:r>
      <w:r>
        <w:t>63</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_Toc10929 </w:instrText>
      </w:r>
      <w:r>
        <w:rPr>
          <w:rFonts w:hint="eastAsia" w:ascii="宋体" w:hAnsi="宋体"/>
          <w:bCs/>
          <w:szCs w:val="28"/>
        </w:rPr>
        <w:fldChar w:fldCharType="separate"/>
      </w:r>
      <w:r>
        <w:rPr>
          <w:rFonts w:hint="eastAsia" w:ascii="宋体" w:hAnsi="宋体"/>
          <w:szCs w:val="30"/>
        </w:rPr>
        <w:t>5</w:t>
      </w:r>
      <w:r>
        <w:rPr>
          <w:rFonts w:ascii="宋体" w:hAnsi="宋体"/>
          <w:szCs w:val="30"/>
        </w:rPr>
        <w:t>.2.2乡镇专职消防队</w:t>
      </w:r>
      <w:r>
        <w:tab/>
      </w:r>
      <w:r>
        <w:fldChar w:fldCharType="begin"/>
      </w:r>
      <w:r>
        <w:instrText xml:space="preserve"> PAGEREF _Toc10929 \h </w:instrText>
      </w:r>
      <w:r>
        <w:fldChar w:fldCharType="separate"/>
      </w:r>
      <w:r>
        <w:t>64</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_Toc598 </w:instrText>
      </w:r>
      <w:r>
        <w:rPr>
          <w:rFonts w:hint="eastAsia" w:ascii="宋体" w:hAnsi="宋体"/>
          <w:bCs/>
          <w:szCs w:val="28"/>
        </w:rPr>
        <w:fldChar w:fldCharType="separate"/>
      </w:r>
      <w:r>
        <w:rPr>
          <w:rFonts w:hint="eastAsia" w:ascii="宋体" w:hAnsi="宋体"/>
          <w:szCs w:val="30"/>
        </w:rPr>
        <w:t>5</w:t>
      </w:r>
      <w:r>
        <w:rPr>
          <w:rFonts w:ascii="宋体" w:hAnsi="宋体"/>
          <w:szCs w:val="30"/>
        </w:rPr>
        <w:t>.2.3企业专职消防队</w:t>
      </w:r>
      <w:r>
        <w:tab/>
      </w:r>
      <w:r>
        <w:fldChar w:fldCharType="begin"/>
      </w:r>
      <w:r>
        <w:instrText xml:space="preserve"> PAGEREF _Toc598 \h </w:instrText>
      </w:r>
      <w:r>
        <w:fldChar w:fldCharType="separate"/>
      </w:r>
      <w:r>
        <w:t>66</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_Toc32476 </w:instrText>
      </w:r>
      <w:r>
        <w:rPr>
          <w:rFonts w:hint="eastAsia" w:ascii="宋体" w:hAnsi="宋体"/>
          <w:bCs/>
          <w:szCs w:val="28"/>
        </w:rPr>
        <w:fldChar w:fldCharType="separate"/>
      </w:r>
      <w:r>
        <w:rPr>
          <w:rFonts w:hint="eastAsia" w:ascii="宋体" w:hAnsi="宋体"/>
          <w:szCs w:val="32"/>
        </w:rPr>
        <w:t>5.3县域消防供水规划</w:t>
      </w:r>
      <w:r>
        <w:tab/>
      </w:r>
      <w:r>
        <w:fldChar w:fldCharType="begin"/>
      </w:r>
      <w:r>
        <w:instrText xml:space="preserve"> PAGEREF _Toc32476 \h </w:instrText>
      </w:r>
      <w:r>
        <w:fldChar w:fldCharType="separate"/>
      </w:r>
      <w:r>
        <w:t>67</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_Toc28894 </w:instrText>
      </w:r>
      <w:r>
        <w:rPr>
          <w:rFonts w:hint="eastAsia" w:ascii="宋体" w:hAnsi="宋体"/>
          <w:bCs/>
          <w:szCs w:val="28"/>
        </w:rPr>
        <w:fldChar w:fldCharType="separate"/>
      </w:r>
      <w:r>
        <w:rPr>
          <w:rFonts w:hint="eastAsia" w:ascii="宋体" w:hAnsi="宋体"/>
          <w:szCs w:val="32"/>
        </w:rPr>
        <w:t>5.4县域消防通信规划</w:t>
      </w:r>
      <w:r>
        <w:tab/>
      </w:r>
      <w:r>
        <w:fldChar w:fldCharType="begin"/>
      </w:r>
      <w:r>
        <w:instrText xml:space="preserve"> PAGEREF _Toc28894 \h </w:instrText>
      </w:r>
      <w:r>
        <w:fldChar w:fldCharType="separate"/>
      </w:r>
      <w:r>
        <w:t>67</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_Toc20042 </w:instrText>
      </w:r>
      <w:r>
        <w:rPr>
          <w:rFonts w:hint="eastAsia" w:ascii="宋体" w:hAnsi="宋体"/>
          <w:bCs/>
          <w:szCs w:val="28"/>
        </w:rPr>
        <w:fldChar w:fldCharType="separate"/>
      </w:r>
      <w:r>
        <w:rPr>
          <w:rFonts w:hint="eastAsia" w:ascii="宋体" w:hAnsi="宋体"/>
          <w:szCs w:val="32"/>
        </w:rPr>
        <w:t>5.5县域消防通道规划</w:t>
      </w:r>
      <w:r>
        <w:tab/>
      </w:r>
      <w:r>
        <w:fldChar w:fldCharType="begin"/>
      </w:r>
      <w:r>
        <w:instrText xml:space="preserve"> PAGEREF _Toc20042 \h </w:instrText>
      </w:r>
      <w:r>
        <w:fldChar w:fldCharType="separate"/>
      </w:r>
      <w:r>
        <w:t>68</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_Toc7455 </w:instrText>
      </w:r>
      <w:r>
        <w:rPr>
          <w:rFonts w:hint="eastAsia" w:ascii="宋体" w:hAnsi="宋体"/>
          <w:bCs/>
          <w:szCs w:val="28"/>
        </w:rPr>
        <w:fldChar w:fldCharType="separate"/>
      </w:r>
      <w:r>
        <w:rPr>
          <w:rFonts w:hint="eastAsia" w:ascii="宋体" w:hAnsi="宋体"/>
          <w:szCs w:val="32"/>
        </w:rPr>
        <w:t>5</w:t>
      </w:r>
      <w:r>
        <w:rPr>
          <w:rFonts w:ascii="宋体" w:hAnsi="宋体"/>
          <w:szCs w:val="32"/>
        </w:rPr>
        <w:t>.6花马池镇域</w:t>
      </w:r>
      <w:r>
        <w:rPr>
          <w:rFonts w:hint="eastAsia" w:ascii="宋体" w:hAnsi="宋体"/>
          <w:szCs w:val="32"/>
        </w:rPr>
        <w:t>农村</w:t>
      </w:r>
      <w:r>
        <w:rPr>
          <w:rFonts w:ascii="宋体" w:hAnsi="宋体"/>
          <w:szCs w:val="32"/>
        </w:rPr>
        <w:t>消防规划</w:t>
      </w:r>
      <w:r>
        <w:tab/>
      </w:r>
      <w:r>
        <w:fldChar w:fldCharType="begin"/>
      </w:r>
      <w:r>
        <w:instrText xml:space="preserve"> PAGEREF _Toc7455 \h </w:instrText>
      </w:r>
      <w:r>
        <w:fldChar w:fldCharType="separate"/>
      </w:r>
      <w:r>
        <w:t>68</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_Toc14080 </w:instrText>
      </w:r>
      <w:r>
        <w:rPr>
          <w:rFonts w:hint="eastAsia" w:ascii="宋体" w:hAnsi="宋体"/>
          <w:bCs/>
          <w:szCs w:val="28"/>
        </w:rPr>
        <w:fldChar w:fldCharType="separate"/>
      </w:r>
      <w:r>
        <w:rPr>
          <w:rFonts w:hint="eastAsia" w:ascii="宋体" w:hAnsi="宋体"/>
          <w:szCs w:val="30"/>
        </w:rPr>
        <w:t>5.</w:t>
      </w:r>
      <w:r>
        <w:rPr>
          <w:rFonts w:ascii="宋体" w:hAnsi="宋体"/>
          <w:szCs w:val="30"/>
        </w:rPr>
        <w:t>6.1镇域</w:t>
      </w:r>
      <w:r>
        <w:rPr>
          <w:rFonts w:hint="eastAsia" w:ascii="宋体" w:hAnsi="宋体"/>
          <w:szCs w:val="30"/>
        </w:rPr>
        <w:t>农村</w:t>
      </w:r>
      <w:r>
        <w:rPr>
          <w:rFonts w:ascii="宋体" w:hAnsi="宋体"/>
          <w:szCs w:val="30"/>
        </w:rPr>
        <w:t>消防安全</w:t>
      </w:r>
      <w:r>
        <w:rPr>
          <w:rFonts w:hint="eastAsia" w:ascii="宋体" w:hAnsi="宋体"/>
          <w:szCs w:val="30"/>
        </w:rPr>
        <w:t>体系建设</w:t>
      </w:r>
      <w:r>
        <w:tab/>
      </w:r>
      <w:r>
        <w:fldChar w:fldCharType="begin"/>
      </w:r>
      <w:r>
        <w:instrText xml:space="preserve"> PAGEREF _Toc14080 \h </w:instrText>
      </w:r>
      <w:r>
        <w:fldChar w:fldCharType="separate"/>
      </w:r>
      <w:r>
        <w:t>68</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_Toc25395 </w:instrText>
      </w:r>
      <w:r>
        <w:rPr>
          <w:rFonts w:hint="eastAsia" w:ascii="宋体" w:hAnsi="宋体"/>
          <w:bCs/>
          <w:szCs w:val="28"/>
        </w:rPr>
        <w:fldChar w:fldCharType="separate"/>
      </w:r>
      <w:r>
        <w:rPr>
          <w:rFonts w:hint="eastAsia" w:ascii="宋体" w:hAnsi="宋体"/>
          <w:szCs w:val="30"/>
        </w:rPr>
        <w:t>5.</w:t>
      </w:r>
      <w:r>
        <w:rPr>
          <w:rFonts w:ascii="宋体" w:hAnsi="宋体"/>
          <w:szCs w:val="30"/>
        </w:rPr>
        <w:t>6.</w:t>
      </w:r>
      <w:r>
        <w:rPr>
          <w:rFonts w:hint="eastAsia" w:ascii="宋体" w:hAnsi="宋体"/>
          <w:szCs w:val="30"/>
        </w:rPr>
        <w:t>2镇域农村消防安全指引</w:t>
      </w:r>
      <w:r>
        <w:tab/>
      </w:r>
      <w:r>
        <w:fldChar w:fldCharType="begin"/>
      </w:r>
      <w:r>
        <w:instrText xml:space="preserve"> PAGEREF _Toc25395 \h </w:instrText>
      </w:r>
      <w:r>
        <w:fldChar w:fldCharType="separate"/>
      </w:r>
      <w:r>
        <w:t>70</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_Toc2635 </w:instrText>
      </w:r>
      <w:r>
        <w:rPr>
          <w:rFonts w:hint="eastAsia" w:ascii="宋体" w:hAnsi="宋体"/>
          <w:bCs/>
          <w:szCs w:val="28"/>
        </w:rPr>
        <w:fldChar w:fldCharType="separate"/>
      </w:r>
      <w:r>
        <w:rPr>
          <w:rFonts w:hint="eastAsia" w:ascii="宋体" w:hAnsi="宋体"/>
          <w:szCs w:val="30"/>
        </w:rPr>
        <w:t>5.</w:t>
      </w:r>
      <w:r>
        <w:rPr>
          <w:rFonts w:ascii="宋体" w:hAnsi="宋体"/>
          <w:szCs w:val="30"/>
        </w:rPr>
        <w:t>6.</w:t>
      </w:r>
      <w:r>
        <w:rPr>
          <w:rFonts w:hint="eastAsia" w:ascii="宋体" w:hAnsi="宋体"/>
          <w:szCs w:val="30"/>
        </w:rPr>
        <w:t>3农村消防水源规划</w:t>
      </w:r>
      <w:r>
        <w:tab/>
      </w:r>
      <w:r>
        <w:fldChar w:fldCharType="begin"/>
      </w:r>
      <w:r>
        <w:instrText xml:space="preserve"> PAGEREF _Toc2635 \h </w:instrText>
      </w:r>
      <w:r>
        <w:fldChar w:fldCharType="separate"/>
      </w:r>
      <w:r>
        <w:t>71</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_Toc1626 </w:instrText>
      </w:r>
      <w:r>
        <w:rPr>
          <w:rFonts w:hint="eastAsia" w:ascii="宋体" w:hAnsi="宋体"/>
          <w:bCs/>
          <w:szCs w:val="28"/>
        </w:rPr>
        <w:fldChar w:fldCharType="separate"/>
      </w:r>
      <w:r>
        <w:rPr>
          <w:rFonts w:hint="eastAsia" w:ascii="宋体" w:hAnsi="宋体"/>
          <w:szCs w:val="30"/>
        </w:rPr>
        <w:t>5.</w:t>
      </w:r>
      <w:r>
        <w:rPr>
          <w:rFonts w:ascii="宋体" w:hAnsi="宋体"/>
          <w:szCs w:val="30"/>
        </w:rPr>
        <w:t>6.</w:t>
      </w:r>
      <w:r>
        <w:rPr>
          <w:rFonts w:hint="eastAsia" w:ascii="宋体" w:hAnsi="宋体"/>
          <w:szCs w:val="30"/>
        </w:rPr>
        <w:t>4农村消防通道规划</w:t>
      </w:r>
      <w:r>
        <w:tab/>
      </w:r>
      <w:r>
        <w:fldChar w:fldCharType="begin"/>
      </w:r>
      <w:r>
        <w:instrText xml:space="preserve"> PAGEREF _Toc1626 \h </w:instrText>
      </w:r>
      <w:r>
        <w:fldChar w:fldCharType="separate"/>
      </w:r>
      <w:r>
        <w:t>71</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_Toc15719 </w:instrText>
      </w:r>
      <w:r>
        <w:rPr>
          <w:rFonts w:hint="eastAsia" w:ascii="宋体" w:hAnsi="宋体"/>
          <w:bCs/>
          <w:szCs w:val="28"/>
        </w:rPr>
        <w:fldChar w:fldCharType="separate"/>
      </w:r>
      <w:r>
        <w:rPr>
          <w:rFonts w:hint="eastAsia" w:ascii="宋体" w:hAnsi="宋体"/>
        </w:rPr>
        <w:t>第六章 城市消防安全布局规划</w:t>
      </w:r>
      <w:r>
        <w:tab/>
      </w:r>
      <w:r>
        <w:fldChar w:fldCharType="begin"/>
      </w:r>
      <w:r>
        <w:instrText xml:space="preserve"> PAGEREF _Toc15719 \h </w:instrText>
      </w:r>
      <w:r>
        <w:fldChar w:fldCharType="separate"/>
      </w:r>
      <w:r>
        <w:t>72</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_Toc7131 </w:instrText>
      </w:r>
      <w:r>
        <w:rPr>
          <w:rFonts w:hint="eastAsia" w:ascii="宋体" w:hAnsi="宋体"/>
          <w:bCs/>
          <w:szCs w:val="28"/>
        </w:rPr>
        <w:fldChar w:fldCharType="separate"/>
      </w:r>
      <w:r>
        <w:rPr>
          <w:rFonts w:hint="eastAsia" w:ascii="宋体" w:hAnsi="宋体"/>
          <w:szCs w:val="32"/>
        </w:rPr>
        <w:t>6.1规划原则</w:t>
      </w:r>
      <w:r>
        <w:tab/>
      </w:r>
      <w:r>
        <w:fldChar w:fldCharType="begin"/>
      </w:r>
      <w:r>
        <w:instrText xml:space="preserve"> PAGEREF _Toc7131 \h </w:instrText>
      </w:r>
      <w:r>
        <w:fldChar w:fldCharType="separate"/>
      </w:r>
      <w:r>
        <w:t>72</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_Toc15202 </w:instrText>
      </w:r>
      <w:r>
        <w:rPr>
          <w:rFonts w:hint="eastAsia" w:ascii="宋体" w:hAnsi="宋体"/>
          <w:bCs/>
          <w:szCs w:val="28"/>
        </w:rPr>
        <w:fldChar w:fldCharType="separate"/>
      </w:r>
      <w:r>
        <w:rPr>
          <w:rFonts w:hint="eastAsia" w:ascii="宋体" w:hAnsi="宋体"/>
          <w:szCs w:val="32"/>
        </w:rPr>
        <w:t>6.2城市工业、仓储用地消防安全布局规划</w:t>
      </w:r>
      <w:r>
        <w:tab/>
      </w:r>
      <w:r>
        <w:fldChar w:fldCharType="begin"/>
      </w:r>
      <w:r>
        <w:instrText xml:space="preserve"> PAGEREF _Toc15202 \h </w:instrText>
      </w:r>
      <w:r>
        <w:fldChar w:fldCharType="separate"/>
      </w:r>
      <w:r>
        <w:t>73</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_Toc26071 </w:instrText>
      </w:r>
      <w:r>
        <w:rPr>
          <w:rFonts w:hint="eastAsia" w:ascii="宋体" w:hAnsi="宋体"/>
          <w:bCs/>
          <w:szCs w:val="28"/>
        </w:rPr>
        <w:fldChar w:fldCharType="separate"/>
      </w:r>
      <w:r>
        <w:rPr>
          <w:rFonts w:hint="eastAsia" w:ascii="宋体" w:hAnsi="宋体"/>
          <w:szCs w:val="30"/>
        </w:rPr>
        <w:t>6.2.1城市工业用地消防安全布局规划</w:t>
      </w:r>
      <w:r>
        <w:tab/>
      </w:r>
      <w:r>
        <w:fldChar w:fldCharType="begin"/>
      </w:r>
      <w:r>
        <w:instrText xml:space="preserve"> PAGEREF _Toc26071 \h </w:instrText>
      </w:r>
      <w:r>
        <w:fldChar w:fldCharType="separate"/>
      </w:r>
      <w:r>
        <w:t>73</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_Toc24143 </w:instrText>
      </w:r>
      <w:r>
        <w:rPr>
          <w:rFonts w:hint="eastAsia" w:ascii="宋体" w:hAnsi="宋体"/>
          <w:bCs/>
          <w:szCs w:val="28"/>
        </w:rPr>
        <w:fldChar w:fldCharType="separate"/>
      </w:r>
      <w:r>
        <w:rPr>
          <w:rFonts w:hint="eastAsia" w:ascii="宋体" w:hAnsi="宋体"/>
          <w:szCs w:val="30"/>
        </w:rPr>
        <w:t>6.2.2城市仓储用地消防安全布局规划</w:t>
      </w:r>
      <w:r>
        <w:tab/>
      </w:r>
      <w:r>
        <w:fldChar w:fldCharType="begin"/>
      </w:r>
      <w:r>
        <w:instrText xml:space="preserve"> PAGEREF _Toc24143 \h </w:instrText>
      </w:r>
      <w:r>
        <w:fldChar w:fldCharType="separate"/>
      </w:r>
      <w:r>
        <w:t>74</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_Toc5261 </w:instrText>
      </w:r>
      <w:r>
        <w:rPr>
          <w:rFonts w:hint="eastAsia" w:ascii="宋体" w:hAnsi="宋体"/>
          <w:bCs/>
          <w:szCs w:val="28"/>
        </w:rPr>
        <w:fldChar w:fldCharType="separate"/>
      </w:r>
      <w:r>
        <w:rPr>
          <w:rFonts w:hint="eastAsia" w:ascii="宋体" w:hAnsi="宋体"/>
          <w:szCs w:val="32"/>
        </w:rPr>
        <w:t>6.3城市燃气消防安全布局规划</w:t>
      </w:r>
      <w:r>
        <w:tab/>
      </w:r>
      <w:r>
        <w:fldChar w:fldCharType="begin"/>
      </w:r>
      <w:r>
        <w:instrText xml:space="preserve"> PAGEREF _Toc5261 \h </w:instrText>
      </w:r>
      <w:r>
        <w:fldChar w:fldCharType="separate"/>
      </w:r>
      <w:r>
        <w:t>77</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_Toc15692 </w:instrText>
      </w:r>
      <w:r>
        <w:rPr>
          <w:rFonts w:hint="eastAsia" w:ascii="宋体" w:hAnsi="宋体"/>
          <w:bCs/>
          <w:szCs w:val="28"/>
        </w:rPr>
        <w:fldChar w:fldCharType="separate"/>
      </w:r>
      <w:r>
        <w:rPr>
          <w:rFonts w:hint="eastAsia" w:ascii="宋体" w:hAnsi="宋体"/>
          <w:szCs w:val="32"/>
        </w:rPr>
        <w:t>6.4加油加气站消防安全布局规划</w:t>
      </w:r>
      <w:r>
        <w:tab/>
      </w:r>
      <w:r>
        <w:fldChar w:fldCharType="begin"/>
      </w:r>
      <w:r>
        <w:instrText xml:space="preserve"> PAGEREF _Toc15692 \h </w:instrText>
      </w:r>
      <w:r>
        <w:fldChar w:fldCharType="separate"/>
      </w:r>
      <w:r>
        <w:t>80</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_Toc8534 </w:instrText>
      </w:r>
      <w:r>
        <w:rPr>
          <w:rFonts w:hint="eastAsia" w:ascii="宋体" w:hAnsi="宋体"/>
          <w:bCs/>
          <w:szCs w:val="28"/>
        </w:rPr>
        <w:fldChar w:fldCharType="separate"/>
      </w:r>
      <w:r>
        <w:rPr>
          <w:rFonts w:hint="eastAsia" w:ascii="宋体" w:hAnsi="宋体"/>
          <w:szCs w:val="30"/>
        </w:rPr>
        <w:t>6.4.1 加油加气站规划原则</w:t>
      </w:r>
      <w:r>
        <w:tab/>
      </w:r>
      <w:r>
        <w:fldChar w:fldCharType="begin"/>
      </w:r>
      <w:r>
        <w:instrText xml:space="preserve"> PAGEREF _Toc8534 \h </w:instrText>
      </w:r>
      <w:r>
        <w:fldChar w:fldCharType="separate"/>
      </w:r>
      <w:r>
        <w:t>80</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_Toc22613 </w:instrText>
      </w:r>
      <w:r>
        <w:rPr>
          <w:rFonts w:hint="eastAsia" w:ascii="宋体" w:hAnsi="宋体"/>
          <w:bCs/>
          <w:szCs w:val="28"/>
        </w:rPr>
        <w:fldChar w:fldCharType="separate"/>
      </w:r>
      <w:r>
        <w:rPr>
          <w:rFonts w:hint="eastAsia" w:ascii="宋体" w:hAnsi="宋体"/>
          <w:szCs w:val="30"/>
        </w:rPr>
        <w:t>6.4.2加油加气站消防安全规划</w:t>
      </w:r>
      <w:r>
        <w:tab/>
      </w:r>
      <w:r>
        <w:fldChar w:fldCharType="begin"/>
      </w:r>
      <w:r>
        <w:instrText xml:space="preserve"> PAGEREF _Toc22613 \h </w:instrText>
      </w:r>
      <w:r>
        <w:fldChar w:fldCharType="separate"/>
      </w:r>
      <w:r>
        <w:t>81</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_Toc20533 </w:instrText>
      </w:r>
      <w:r>
        <w:rPr>
          <w:rFonts w:hint="eastAsia" w:ascii="宋体" w:hAnsi="宋体"/>
          <w:bCs/>
          <w:szCs w:val="28"/>
        </w:rPr>
        <w:fldChar w:fldCharType="separate"/>
      </w:r>
      <w:r>
        <w:rPr>
          <w:rFonts w:hint="eastAsia" w:ascii="宋体" w:hAnsi="宋体"/>
          <w:szCs w:val="32"/>
        </w:rPr>
        <w:t>6.</w:t>
      </w:r>
      <w:r>
        <w:rPr>
          <w:rFonts w:ascii="宋体" w:hAnsi="宋体"/>
          <w:szCs w:val="32"/>
        </w:rPr>
        <w:t>5</w:t>
      </w:r>
      <w:r>
        <w:rPr>
          <w:rFonts w:hint="eastAsia" w:ascii="宋体" w:hAnsi="宋体"/>
          <w:szCs w:val="32"/>
        </w:rPr>
        <w:t>商业服务区消防安全布局规划</w:t>
      </w:r>
      <w:r>
        <w:tab/>
      </w:r>
      <w:r>
        <w:fldChar w:fldCharType="begin"/>
      </w:r>
      <w:r>
        <w:instrText xml:space="preserve"> PAGEREF _Toc20533 \h </w:instrText>
      </w:r>
      <w:r>
        <w:fldChar w:fldCharType="separate"/>
      </w:r>
      <w:r>
        <w:t>86</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_Toc32624 </w:instrText>
      </w:r>
      <w:r>
        <w:rPr>
          <w:rFonts w:hint="eastAsia" w:ascii="宋体" w:hAnsi="宋体"/>
          <w:bCs/>
          <w:szCs w:val="28"/>
        </w:rPr>
        <w:fldChar w:fldCharType="separate"/>
      </w:r>
      <w:r>
        <w:rPr>
          <w:rFonts w:hint="eastAsia" w:ascii="宋体" w:hAnsi="宋体"/>
          <w:szCs w:val="30"/>
        </w:rPr>
        <w:t>6.</w:t>
      </w:r>
      <w:r>
        <w:rPr>
          <w:rFonts w:ascii="宋体" w:hAnsi="宋体"/>
          <w:szCs w:val="30"/>
        </w:rPr>
        <w:t>5</w:t>
      </w:r>
      <w:r>
        <w:rPr>
          <w:rFonts w:hint="eastAsia" w:ascii="宋体" w:hAnsi="宋体"/>
          <w:szCs w:val="30"/>
        </w:rPr>
        <w:t>.1规划布局要求</w:t>
      </w:r>
      <w:r>
        <w:tab/>
      </w:r>
      <w:r>
        <w:fldChar w:fldCharType="begin"/>
      </w:r>
      <w:r>
        <w:instrText xml:space="preserve"> PAGEREF _Toc32624 \h </w:instrText>
      </w:r>
      <w:r>
        <w:fldChar w:fldCharType="separate"/>
      </w:r>
      <w:r>
        <w:t>86</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_Toc9440 </w:instrText>
      </w:r>
      <w:r>
        <w:rPr>
          <w:rFonts w:hint="eastAsia" w:ascii="宋体" w:hAnsi="宋体"/>
          <w:bCs/>
          <w:szCs w:val="28"/>
        </w:rPr>
        <w:fldChar w:fldCharType="separate"/>
      </w:r>
      <w:r>
        <w:rPr>
          <w:rFonts w:hint="eastAsia" w:ascii="宋体" w:hAnsi="宋体"/>
          <w:szCs w:val="30"/>
        </w:rPr>
        <w:t>6.</w:t>
      </w:r>
      <w:r>
        <w:rPr>
          <w:rFonts w:ascii="宋体" w:hAnsi="宋体"/>
          <w:szCs w:val="30"/>
        </w:rPr>
        <w:t>5</w:t>
      </w:r>
      <w:r>
        <w:rPr>
          <w:rFonts w:hint="eastAsia" w:ascii="宋体" w:hAnsi="宋体"/>
          <w:szCs w:val="30"/>
        </w:rPr>
        <w:t>.2商业服务区消防安全规划</w:t>
      </w:r>
      <w:r>
        <w:tab/>
      </w:r>
      <w:r>
        <w:fldChar w:fldCharType="begin"/>
      </w:r>
      <w:r>
        <w:instrText xml:space="preserve"> PAGEREF _Toc9440 \h </w:instrText>
      </w:r>
      <w:r>
        <w:fldChar w:fldCharType="separate"/>
      </w:r>
      <w:r>
        <w:t>87</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_Toc29722 </w:instrText>
      </w:r>
      <w:r>
        <w:rPr>
          <w:rFonts w:hint="eastAsia" w:ascii="宋体" w:hAnsi="宋体"/>
          <w:bCs/>
          <w:szCs w:val="28"/>
        </w:rPr>
        <w:fldChar w:fldCharType="separate"/>
      </w:r>
      <w:r>
        <w:rPr>
          <w:rFonts w:hint="eastAsia" w:ascii="宋体" w:hAnsi="宋体"/>
          <w:szCs w:val="32"/>
        </w:rPr>
        <w:t>6.6高层建筑消防安全布局规划</w:t>
      </w:r>
      <w:r>
        <w:tab/>
      </w:r>
      <w:r>
        <w:fldChar w:fldCharType="begin"/>
      </w:r>
      <w:r>
        <w:instrText xml:space="preserve"> PAGEREF _Toc29722 \h </w:instrText>
      </w:r>
      <w:r>
        <w:fldChar w:fldCharType="separate"/>
      </w:r>
      <w:r>
        <w:t>88</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_Toc31993 </w:instrText>
      </w:r>
      <w:r>
        <w:rPr>
          <w:rFonts w:hint="eastAsia" w:ascii="宋体" w:hAnsi="宋体"/>
          <w:bCs/>
          <w:szCs w:val="28"/>
        </w:rPr>
        <w:fldChar w:fldCharType="separate"/>
      </w:r>
      <w:r>
        <w:rPr>
          <w:rFonts w:hint="eastAsia" w:ascii="宋体" w:hAnsi="宋体"/>
        </w:rPr>
        <w:t>第七章 消防站规划</w:t>
      </w:r>
      <w:r>
        <w:tab/>
      </w:r>
      <w:r>
        <w:fldChar w:fldCharType="begin"/>
      </w:r>
      <w:r>
        <w:instrText xml:space="preserve"> PAGEREF _Toc31993 \h </w:instrText>
      </w:r>
      <w:r>
        <w:fldChar w:fldCharType="separate"/>
      </w:r>
      <w:r>
        <w:t>89</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_Toc7972 </w:instrText>
      </w:r>
      <w:r>
        <w:rPr>
          <w:rFonts w:hint="eastAsia" w:ascii="宋体" w:hAnsi="宋体"/>
          <w:bCs/>
          <w:szCs w:val="28"/>
        </w:rPr>
        <w:fldChar w:fldCharType="separate"/>
      </w:r>
      <w:r>
        <w:rPr>
          <w:rFonts w:hint="eastAsia" w:ascii="宋体" w:hAnsi="宋体"/>
          <w:szCs w:val="32"/>
        </w:rPr>
        <w:t>7.1消防站布局规划</w:t>
      </w:r>
      <w:r>
        <w:tab/>
      </w:r>
      <w:r>
        <w:fldChar w:fldCharType="begin"/>
      </w:r>
      <w:r>
        <w:instrText xml:space="preserve"> PAGEREF _Toc7972 \h </w:instrText>
      </w:r>
      <w:r>
        <w:fldChar w:fldCharType="separate"/>
      </w:r>
      <w:r>
        <w:t>89</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_Toc24827 </w:instrText>
      </w:r>
      <w:r>
        <w:rPr>
          <w:rFonts w:hint="eastAsia" w:ascii="宋体" w:hAnsi="宋体"/>
          <w:bCs/>
          <w:szCs w:val="28"/>
        </w:rPr>
        <w:fldChar w:fldCharType="separate"/>
      </w:r>
      <w:r>
        <w:rPr>
          <w:rFonts w:hint="eastAsia" w:ascii="宋体" w:hAnsi="宋体"/>
          <w:szCs w:val="30"/>
        </w:rPr>
        <w:t>7.1.1消防站辖区面积确定原则</w:t>
      </w:r>
      <w:r>
        <w:tab/>
      </w:r>
      <w:r>
        <w:fldChar w:fldCharType="begin"/>
      </w:r>
      <w:r>
        <w:instrText xml:space="preserve"> PAGEREF _Toc24827 \h </w:instrText>
      </w:r>
      <w:r>
        <w:fldChar w:fldCharType="separate"/>
      </w:r>
      <w:r>
        <w:t>89</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_Toc18016 </w:instrText>
      </w:r>
      <w:r>
        <w:rPr>
          <w:rFonts w:hint="eastAsia" w:ascii="宋体" w:hAnsi="宋体"/>
          <w:bCs/>
          <w:szCs w:val="28"/>
        </w:rPr>
        <w:fldChar w:fldCharType="separate"/>
      </w:r>
      <w:r>
        <w:rPr>
          <w:rFonts w:hint="eastAsia" w:ascii="宋体" w:hAnsi="宋体"/>
          <w:szCs w:val="30"/>
        </w:rPr>
        <w:t>7.1.2消防站选址应符合以下条件</w:t>
      </w:r>
      <w:r>
        <w:tab/>
      </w:r>
      <w:r>
        <w:fldChar w:fldCharType="begin"/>
      </w:r>
      <w:r>
        <w:instrText xml:space="preserve"> PAGEREF _Toc18016 \h </w:instrText>
      </w:r>
      <w:r>
        <w:fldChar w:fldCharType="separate"/>
      </w:r>
      <w:r>
        <w:t>89</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_Toc27051 </w:instrText>
      </w:r>
      <w:r>
        <w:rPr>
          <w:rFonts w:hint="eastAsia" w:ascii="宋体" w:hAnsi="宋体"/>
          <w:bCs/>
          <w:szCs w:val="28"/>
        </w:rPr>
        <w:fldChar w:fldCharType="separate"/>
      </w:r>
      <w:r>
        <w:rPr>
          <w:rFonts w:hint="eastAsia" w:ascii="宋体" w:hAnsi="宋体"/>
          <w:szCs w:val="30"/>
        </w:rPr>
        <w:t>7.1.3消防站布局的其它原则</w:t>
      </w:r>
      <w:r>
        <w:tab/>
      </w:r>
      <w:r>
        <w:fldChar w:fldCharType="begin"/>
      </w:r>
      <w:r>
        <w:instrText xml:space="preserve"> PAGEREF _Toc27051 \h </w:instrText>
      </w:r>
      <w:r>
        <w:fldChar w:fldCharType="separate"/>
      </w:r>
      <w:r>
        <w:t>90</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_Toc18635 </w:instrText>
      </w:r>
      <w:r>
        <w:rPr>
          <w:rFonts w:hint="eastAsia" w:ascii="宋体" w:hAnsi="宋体"/>
          <w:bCs/>
          <w:szCs w:val="28"/>
        </w:rPr>
        <w:fldChar w:fldCharType="separate"/>
      </w:r>
      <w:r>
        <w:rPr>
          <w:rFonts w:hint="eastAsia" w:ascii="宋体" w:hAnsi="宋体"/>
          <w:szCs w:val="30"/>
        </w:rPr>
        <w:t>7.1.4消防站布局规划</w:t>
      </w:r>
      <w:r>
        <w:tab/>
      </w:r>
      <w:r>
        <w:fldChar w:fldCharType="begin"/>
      </w:r>
      <w:r>
        <w:instrText xml:space="preserve"> PAGEREF _Toc18635 \h </w:instrText>
      </w:r>
      <w:r>
        <w:fldChar w:fldCharType="separate"/>
      </w:r>
      <w:r>
        <w:t>91</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_Toc17941 </w:instrText>
      </w:r>
      <w:r>
        <w:rPr>
          <w:rFonts w:hint="eastAsia" w:ascii="宋体" w:hAnsi="宋体"/>
          <w:bCs/>
          <w:szCs w:val="28"/>
        </w:rPr>
        <w:fldChar w:fldCharType="separate"/>
      </w:r>
      <w:r>
        <w:rPr>
          <w:rFonts w:hint="eastAsia" w:ascii="宋体" w:hAnsi="宋体"/>
          <w:szCs w:val="30"/>
        </w:rPr>
        <w:t>7.1.5消防站辖区规划</w:t>
      </w:r>
      <w:r>
        <w:tab/>
      </w:r>
      <w:r>
        <w:fldChar w:fldCharType="begin"/>
      </w:r>
      <w:r>
        <w:instrText xml:space="preserve"> PAGEREF _Toc17941 \h </w:instrText>
      </w:r>
      <w:r>
        <w:fldChar w:fldCharType="separate"/>
      </w:r>
      <w:r>
        <w:t>92</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_Toc23846 </w:instrText>
      </w:r>
      <w:r>
        <w:rPr>
          <w:rFonts w:hint="eastAsia" w:ascii="宋体" w:hAnsi="宋体"/>
          <w:bCs/>
          <w:szCs w:val="28"/>
        </w:rPr>
        <w:fldChar w:fldCharType="separate"/>
      </w:r>
      <w:r>
        <w:rPr>
          <w:rFonts w:hint="eastAsia" w:ascii="宋体" w:hAnsi="宋体"/>
          <w:szCs w:val="30"/>
        </w:rPr>
        <w:t>7.1.6消防站建设规划</w:t>
      </w:r>
      <w:r>
        <w:tab/>
      </w:r>
      <w:r>
        <w:fldChar w:fldCharType="begin"/>
      </w:r>
      <w:r>
        <w:instrText xml:space="preserve"> PAGEREF _Toc23846 \h </w:instrText>
      </w:r>
      <w:r>
        <w:fldChar w:fldCharType="separate"/>
      </w:r>
      <w:r>
        <w:t>93</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_Toc3670 </w:instrText>
      </w:r>
      <w:r>
        <w:rPr>
          <w:rFonts w:hint="eastAsia" w:ascii="宋体" w:hAnsi="宋体"/>
          <w:bCs/>
          <w:szCs w:val="28"/>
        </w:rPr>
        <w:fldChar w:fldCharType="separate"/>
      </w:r>
      <w:r>
        <w:rPr>
          <w:rFonts w:hint="eastAsia" w:ascii="宋体" w:hAnsi="宋体"/>
          <w:szCs w:val="32"/>
        </w:rPr>
        <w:t>7.2消防装备规划</w:t>
      </w:r>
      <w:r>
        <w:tab/>
      </w:r>
      <w:r>
        <w:fldChar w:fldCharType="begin"/>
      </w:r>
      <w:r>
        <w:instrText xml:space="preserve"> PAGEREF _Toc3670 \h </w:instrText>
      </w:r>
      <w:r>
        <w:fldChar w:fldCharType="separate"/>
      </w:r>
      <w:r>
        <w:t>97</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_Toc28175 </w:instrText>
      </w:r>
      <w:r>
        <w:rPr>
          <w:rFonts w:hint="eastAsia" w:ascii="宋体" w:hAnsi="宋体"/>
          <w:bCs/>
          <w:szCs w:val="28"/>
        </w:rPr>
        <w:fldChar w:fldCharType="separate"/>
      </w:r>
      <w:r>
        <w:rPr>
          <w:rFonts w:hint="eastAsia" w:ascii="宋体" w:hAnsi="宋体"/>
          <w:szCs w:val="30"/>
        </w:rPr>
        <w:t>7.2.1消防车辆</w:t>
      </w:r>
      <w:r>
        <w:tab/>
      </w:r>
      <w:r>
        <w:fldChar w:fldCharType="begin"/>
      </w:r>
      <w:r>
        <w:instrText xml:space="preserve"> PAGEREF _Toc28175 \h </w:instrText>
      </w:r>
      <w:r>
        <w:fldChar w:fldCharType="separate"/>
      </w:r>
      <w:r>
        <w:t>97</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_Toc12733 </w:instrText>
      </w:r>
      <w:r>
        <w:rPr>
          <w:rFonts w:hint="eastAsia" w:ascii="宋体" w:hAnsi="宋体"/>
          <w:bCs/>
          <w:szCs w:val="28"/>
        </w:rPr>
        <w:fldChar w:fldCharType="separate"/>
      </w:r>
      <w:r>
        <w:rPr>
          <w:rFonts w:hint="eastAsia" w:ascii="宋体" w:hAnsi="宋体"/>
          <w:szCs w:val="30"/>
        </w:rPr>
        <w:t>7.2.2消防灭火器材</w:t>
      </w:r>
      <w:r>
        <w:tab/>
      </w:r>
      <w:r>
        <w:fldChar w:fldCharType="begin"/>
      </w:r>
      <w:r>
        <w:instrText xml:space="preserve"> PAGEREF _Toc12733 \h </w:instrText>
      </w:r>
      <w:r>
        <w:fldChar w:fldCharType="separate"/>
      </w:r>
      <w:r>
        <w:t>98</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_Toc18452 </w:instrText>
      </w:r>
      <w:r>
        <w:rPr>
          <w:rFonts w:hint="eastAsia" w:ascii="宋体" w:hAnsi="宋体"/>
          <w:bCs/>
          <w:szCs w:val="28"/>
        </w:rPr>
        <w:fldChar w:fldCharType="separate"/>
      </w:r>
      <w:r>
        <w:rPr>
          <w:rFonts w:hint="eastAsia"/>
        </w:rPr>
        <w:t>7.2.3抢险救援器材</w:t>
      </w:r>
      <w:r>
        <w:tab/>
      </w:r>
      <w:r>
        <w:fldChar w:fldCharType="begin"/>
      </w:r>
      <w:r>
        <w:instrText xml:space="preserve"> PAGEREF _Toc18452 \h </w:instrText>
      </w:r>
      <w:r>
        <w:fldChar w:fldCharType="separate"/>
      </w:r>
      <w:r>
        <w:t>99</w:t>
      </w:r>
      <w:r>
        <w:fldChar w:fldCharType="end"/>
      </w:r>
      <w:r>
        <w:rPr>
          <w:rFonts w:hint="eastAsia" w:ascii="宋体" w:hAnsi="宋体"/>
          <w:bCs/>
          <w:szCs w:val="28"/>
        </w:rPr>
        <w:fldChar w:fldCharType="end"/>
      </w:r>
    </w:p>
    <w:p>
      <w:pPr>
        <w:pStyle w:val="5"/>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_Toc790 </w:instrText>
      </w:r>
      <w:r>
        <w:rPr>
          <w:rFonts w:hint="eastAsia" w:ascii="宋体" w:hAnsi="宋体"/>
          <w:bCs/>
          <w:szCs w:val="28"/>
        </w:rPr>
        <w:fldChar w:fldCharType="separate"/>
      </w:r>
      <w:r>
        <w:rPr>
          <w:rFonts w:hint="eastAsia" w:ascii="宋体" w:hAnsi="宋体"/>
          <w:szCs w:val="30"/>
        </w:rPr>
        <w:t>7.2.4消防员防护器材</w:t>
      </w:r>
      <w:r>
        <w:tab/>
      </w:r>
      <w:r>
        <w:fldChar w:fldCharType="begin"/>
      </w:r>
      <w:r>
        <w:instrText xml:space="preserve"> PAGEREF _Toc790 \h </w:instrText>
      </w:r>
      <w:r>
        <w:fldChar w:fldCharType="separate"/>
      </w:r>
      <w:r>
        <w:t>100</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_Toc12650 </w:instrText>
      </w:r>
      <w:r>
        <w:rPr>
          <w:rFonts w:hint="eastAsia" w:ascii="宋体" w:hAnsi="宋体"/>
          <w:bCs/>
          <w:szCs w:val="28"/>
        </w:rPr>
        <w:fldChar w:fldCharType="separate"/>
      </w:r>
      <w:r>
        <w:rPr>
          <w:rFonts w:hint="eastAsia" w:ascii="宋体" w:hAnsi="宋体"/>
          <w:szCs w:val="32"/>
        </w:rPr>
        <w:t>7.3消防人员规划</w:t>
      </w:r>
      <w:r>
        <w:tab/>
      </w:r>
      <w:r>
        <w:fldChar w:fldCharType="begin"/>
      </w:r>
      <w:r>
        <w:instrText xml:space="preserve"> PAGEREF _Toc12650 \h </w:instrText>
      </w:r>
      <w:r>
        <w:fldChar w:fldCharType="separate"/>
      </w:r>
      <w:r>
        <w:t>102</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_Toc15379 </w:instrText>
      </w:r>
      <w:r>
        <w:rPr>
          <w:rFonts w:hint="eastAsia" w:ascii="宋体" w:hAnsi="宋体"/>
          <w:bCs/>
          <w:szCs w:val="28"/>
        </w:rPr>
        <w:fldChar w:fldCharType="separate"/>
      </w:r>
      <w:r>
        <w:rPr>
          <w:rFonts w:hint="eastAsia" w:ascii="宋体" w:hAnsi="宋体"/>
        </w:rPr>
        <w:t>第八章 消防通信规划</w:t>
      </w:r>
      <w:r>
        <w:tab/>
      </w:r>
      <w:r>
        <w:fldChar w:fldCharType="begin"/>
      </w:r>
      <w:r>
        <w:instrText xml:space="preserve"> PAGEREF _Toc15379 \h </w:instrText>
      </w:r>
      <w:r>
        <w:fldChar w:fldCharType="separate"/>
      </w:r>
      <w:r>
        <w:t>103</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_Toc26 </w:instrText>
      </w:r>
      <w:r>
        <w:rPr>
          <w:rFonts w:hint="eastAsia" w:ascii="宋体" w:hAnsi="宋体"/>
          <w:bCs/>
          <w:szCs w:val="28"/>
        </w:rPr>
        <w:fldChar w:fldCharType="separate"/>
      </w:r>
      <w:r>
        <w:rPr>
          <w:rFonts w:hint="eastAsia" w:ascii="宋体" w:hAnsi="宋体"/>
          <w:szCs w:val="32"/>
        </w:rPr>
        <w:t>8.1消防通信规划</w:t>
      </w:r>
      <w:r>
        <w:tab/>
      </w:r>
      <w:r>
        <w:fldChar w:fldCharType="begin"/>
      </w:r>
      <w:r>
        <w:instrText xml:space="preserve"> PAGEREF _Toc26 \h </w:instrText>
      </w:r>
      <w:r>
        <w:fldChar w:fldCharType="separate"/>
      </w:r>
      <w:r>
        <w:t>104</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_Toc22829 </w:instrText>
      </w:r>
      <w:r>
        <w:rPr>
          <w:rFonts w:hint="eastAsia" w:ascii="宋体" w:hAnsi="宋体"/>
          <w:bCs/>
          <w:szCs w:val="28"/>
        </w:rPr>
        <w:fldChar w:fldCharType="separate"/>
      </w:r>
      <w:r>
        <w:rPr>
          <w:rFonts w:hint="eastAsia" w:ascii="宋体" w:hAnsi="宋体"/>
          <w:szCs w:val="32"/>
        </w:rPr>
        <w:t>8.2</w:t>
      </w:r>
      <w:r>
        <w:rPr>
          <w:rFonts w:ascii="宋体" w:hAnsi="宋体"/>
        </w:rPr>
        <w:t xml:space="preserve"> </w:t>
      </w:r>
      <w:r>
        <w:rPr>
          <w:rFonts w:hint="eastAsia" w:ascii="宋体" w:hAnsi="宋体"/>
          <w:szCs w:val="32"/>
        </w:rPr>
        <w:t>智慧消防建设</w:t>
      </w:r>
      <w:r>
        <w:tab/>
      </w:r>
      <w:r>
        <w:fldChar w:fldCharType="begin"/>
      </w:r>
      <w:r>
        <w:instrText xml:space="preserve"> PAGEREF _Toc22829 \h </w:instrText>
      </w:r>
      <w:r>
        <w:fldChar w:fldCharType="separate"/>
      </w:r>
      <w:r>
        <w:t>107</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_Toc31101 </w:instrText>
      </w:r>
      <w:r>
        <w:rPr>
          <w:rFonts w:hint="eastAsia" w:ascii="宋体" w:hAnsi="宋体"/>
          <w:bCs/>
          <w:szCs w:val="28"/>
        </w:rPr>
        <w:fldChar w:fldCharType="separate"/>
      </w:r>
      <w:r>
        <w:rPr>
          <w:rFonts w:hint="eastAsia" w:ascii="宋体" w:hAnsi="宋体"/>
        </w:rPr>
        <w:t>第九章 消防给水规划</w:t>
      </w:r>
      <w:r>
        <w:tab/>
      </w:r>
      <w:r>
        <w:fldChar w:fldCharType="begin"/>
      </w:r>
      <w:r>
        <w:instrText xml:space="preserve"> PAGEREF _Toc31101 \h </w:instrText>
      </w:r>
      <w:r>
        <w:fldChar w:fldCharType="separate"/>
      </w:r>
      <w:r>
        <w:t>109</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_Toc29269 </w:instrText>
      </w:r>
      <w:r>
        <w:rPr>
          <w:rFonts w:hint="eastAsia" w:ascii="宋体" w:hAnsi="宋体"/>
          <w:bCs/>
          <w:szCs w:val="28"/>
        </w:rPr>
        <w:fldChar w:fldCharType="separate"/>
      </w:r>
      <w:r>
        <w:rPr>
          <w:rFonts w:hint="eastAsia" w:ascii="宋体" w:hAnsi="宋体"/>
          <w:szCs w:val="32"/>
        </w:rPr>
        <w:t>9.</w:t>
      </w:r>
      <w:r>
        <w:rPr>
          <w:rFonts w:ascii="宋体" w:hAnsi="宋体"/>
          <w:szCs w:val="32"/>
        </w:rPr>
        <w:t>1</w:t>
      </w:r>
      <w:r>
        <w:rPr>
          <w:rFonts w:hint="eastAsia" w:ascii="宋体" w:hAnsi="宋体"/>
          <w:szCs w:val="32"/>
        </w:rPr>
        <w:t>消防供水水源</w:t>
      </w:r>
      <w:r>
        <w:tab/>
      </w:r>
      <w:r>
        <w:fldChar w:fldCharType="begin"/>
      </w:r>
      <w:r>
        <w:instrText xml:space="preserve"> PAGEREF _Toc29269 \h </w:instrText>
      </w:r>
      <w:r>
        <w:fldChar w:fldCharType="separate"/>
      </w:r>
      <w:r>
        <w:t>109</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_Toc2644 </w:instrText>
      </w:r>
      <w:r>
        <w:rPr>
          <w:rFonts w:hint="eastAsia" w:ascii="宋体" w:hAnsi="宋体"/>
          <w:bCs/>
          <w:szCs w:val="28"/>
        </w:rPr>
        <w:fldChar w:fldCharType="separate"/>
      </w:r>
      <w:r>
        <w:rPr>
          <w:rFonts w:hint="eastAsia" w:ascii="宋体" w:hAnsi="宋体"/>
          <w:szCs w:val="32"/>
        </w:rPr>
        <w:t>9.</w:t>
      </w:r>
      <w:r>
        <w:rPr>
          <w:rFonts w:ascii="宋体" w:hAnsi="宋体"/>
          <w:szCs w:val="32"/>
        </w:rPr>
        <w:t>2</w:t>
      </w:r>
      <w:r>
        <w:rPr>
          <w:rFonts w:hint="eastAsia" w:ascii="宋体" w:hAnsi="宋体"/>
          <w:szCs w:val="32"/>
        </w:rPr>
        <w:t>消防供水管网</w:t>
      </w:r>
      <w:r>
        <w:tab/>
      </w:r>
      <w:r>
        <w:fldChar w:fldCharType="begin"/>
      </w:r>
      <w:r>
        <w:instrText xml:space="preserve"> PAGEREF _Toc2644 \h </w:instrText>
      </w:r>
      <w:r>
        <w:fldChar w:fldCharType="separate"/>
      </w:r>
      <w:r>
        <w:t>109</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_Toc27191 </w:instrText>
      </w:r>
      <w:r>
        <w:rPr>
          <w:rFonts w:hint="eastAsia" w:ascii="宋体" w:hAnsi="宋体"/>
          <w:bCs/>
          <w:szCs w:val="28"/>
        </w:rPr>
        <w:fldChar w:fldCharType="separate"/>
      </w:r>
      <w:r>
        <w:rPr>
          <w:rFonts w:hint="eastAsia" w:ascii="宋体" w:hAnsi="宋体"/>
          <w:szCs w:val="32"/>
        </w:rPr>
        <w:t>9.3市政消防栓</w:t>
      </w:r>
      <w:r>
        <w:tab/>
      </w:r>
      <w:r>
        <w:fldChar w:fldCharType="begin"/>
      </w:r>
      <w:r>
        <w:instrText xml:space="preserve"> PAGEREF _Toc27191 \h </w:instrText>
      </w:r>
      <w:r>
        <w:fldChar w:fldCharType="separate"/>
      </w:r>
      <w:r>
        <w:t>110</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_Toc1180 </w:instrText>
      </w:r>
      <w:r>
        <w:rPr>
          <w:rFonts w:hint="eastAsia" w:ascii="宋体" w:hAnsi="宋体"/>
          <w:bCs/>
          <w:szCs w:val="28"/>
        </w:rPr>
        <w:fldChar w:fldCharType="separate"/>
      </w:r>
      <w:r>
        <w:rPr>
          <w:rFonts w:hint="eastAsia" w:ascii="宋体" w:hAnsi="宋体"/>
          <w:szCs w:val="32"/>
        </w:rPr>
        <w:t>9.4消防水鹤</w:t>
      </w:r>
      <w:r>
        <w:tab/>
      </w:r>
      <w:r>
        <w:fldChar w:fldCharType="begin"/>
      </w:r>
      <w:r>
        <w:instrText xml:space="preserve"> PAGEREF _Toc1180 \h </w:instrText>
      </w:r>
      <w:r>
        <w:fldChar w:fldCharType="separate"/>
      </w:r>
      <w:r>
        <w:t>111</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_Toc12850 </w:instrText>
      </w:r>
      <w:r>
        <w:rPr>
          <w:rFonts w:hint="eastAsia" w:ascii="宋体" w:hAnsi="宋体"/>
          <w:bCs/>
          <w:szCs w:val="28"/>
        </w:rPr>
        <w:fldChar w:fldCharType="separate"/>
      </w:r>
      <w:r>
        <w:rPr>
          <w:rFonts w:hint="eastAsia" w:ascii="宋体" w:hAnsi="宋体"/>
          <w:szCs w:val="32"/>
        </w:rPr>
        <w:t>9.5消防应急、备用水源</w:t>
      </w:r>
      <w:r>
        <w:tab/>
      </w:r>
      <w:r>
        <w:fldChar w:fldCharType="begin"/>
      </w:r>
      <w:r>
        <w:instrText xml:space="preserve"> PAGEREF _Toc12850 \h </w:instrText>
      </w:r>
      <w:r>
        <w:fldChar w:fldCharType="separate"/>
      </w:r>
      <w:r>
        <w:t>112</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_Toc29263 </w:instrText>
      </w:r>
      <w:r>
        <w:rPr>
          <w:rFonts w:hint="eastAsia" w:ascii="宋体" w:hAnsi="宋体"/>
          <w:bCs/>
          <w:szCs w:val="28"/>
        </w:rPr>
        <w:fldChar w:fldCharType="separate"/>
      </w:r>
      <w:r>
        <w:rPr>
          <w:rFonts w:hint="eastAsia" w:ascii="宋体" w:hAnsi="宋体"/>
        </w:rPr>
        <w:t>第十章 消防通道规划</w:t>
      </w:r>
      <w:r>
        <w:tab/>
      </w:r>
      <w:r>
        <w:fldChar w:fldCharType="begin"/>
      </w:r>
      <w:r>
        <w:instrText xml:space="preserve"> PAGEREF _Toc29263 \h </w:instrText>
      </w:r>
      <w:r>
        <w:fldChar w:fldCharType="separate"/>
      </w:r>
      <w:r>
        <w:t>113</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_Toc22990 </w:instrText>
      </w:r>
      <w:r>
        <w:rPr>
          <w:rFonts w:hint="eastAsia" w:ascii="宋体" w:hAnsi="宋体"/>
          <w:bCs/>
          <w:szCs w:val="28"/>
        </w:rPr>
        <w:fldChar w:fldCharType="separate"/>
      </w:r>
      <w:r>
        <w:rPr>
          <w:rFonts w:hint="eastAsia" w:ascii="宋体" w:hAnsi="宋体"/>
          <w:szCs w:val="32"/>
        </w:rPr>
        <w:t>10.1消防通道规划</w:t>
      </w:r>
      <w:r>
        <w:tab/>
      </w:r>
      <w:r>
        <w:fldChar w:fldCharType="begin"/>
      </w:r>
      <w:r>
        <w:instrText xml:space="preserve"> PAGEREF _Toc22990 \h </w:instrText>
      </w:r>
      <w:r>
        <w:fldChar w:fldCharType="separate"/>
      </w:r>
      <w:r>
        <w:t>113</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_Toc25727 </w:instrText>
      </w:r>
      <w:r>
        <w:rPr>
          <w:rFonts w:hint="eastAsia" w:ascii="宋体" w:hAnsi="宋体"/>
          <w:bCs/>
          <w:szCs w:val="28"/>
        </w:rPr>
        <w:fldChar w:fldCharType="separate"/>
      </w:r>
      <w:r>
        <w:rPr>
          <w:rFonts w:hint="eastAsia" w:ascii="宋体" w:hAnsi="宋体"/>
          <w:szCs w:val="32"/>
        </w:rPr>
        <w:t>10.2危险品运输路线规划</w:t>
      </w:r>
      <w:r>
        <w:tab/>
      </w:r>
      <w:r>
        <w:fldChar w:fldCharType="begin"/>
      </w:r>
      <w:r>
        <w:instrText xml:space="preserve"> PAGEREF _Toc25727 \h </w:instrText>
      </w:r>
      <w:r>
        <w:fldChar w:fldCharType="separate"/>
      </w:r>
      <w:r>
        <w:t>114</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_Toc5845 </w:instrText>
      </w:r>
      <w:r>
        <w:rPr>
          <w:rFonts w:hint="eastAsia" w:ascii="宋体" w:hAnsi="宋体"/>
          <w:bCs/>
          <w:szCs w:val="28"/>
        </w:rPr>
        <w:fldChar w:fldCharType="separate"/>
      </w:r>
      <w:r>
        <w:rPr>
          <w:rFonts w:hint="eastAsia" w:ascii="宋体" w:hAnsi="宋体"/>
          <w:szCs w:val="32"/>
        </w:rPr>
        <w:t>10.3消防通道规划措施</w:t>
      </w:r>
      <w:r>
        <w:tab/>
      </w:r>
      <w:r>
        <w:fldChar w:fldCharType="begin"/>
      </w:r>
      <w:r>
        <w:instrText xml:space="preserve"> PAGEREF _Toc5845 \h </w:instrText>
      </w:r>
      <w:r>
        <w:fldChar w:fldCharType="separate"/>
      </w:r>
      <w:r>
        <w:t>116</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_Toc1732 </w:instrText>
      </w:r>
      <w:r>
        <w:rPr>
          <w:rFonts w:hint="eastAsia" w:ascii="宋体" w:hAnsi="宋体"/>
          <w:bCs/>
          <w:szCs w:val="28"/>
        </w:rPr>
        <w:fldChar w:fldCharType="separate"/>
      </w:r>
      <w:r>
        <w:rPr>
          <w:rFonts w:hint="eastAsia" w:ascii="宋体" w:hAnsi="宋体"/>
        </w:rPr>
        <w:t>第十一章 消防供电规划</w:t>
      </w:r>
      <w:r>
        <w:tab/>
      </w:r>
      <w:r>
        <w:fldChar w:fldCharType="begin"/>
      </w:r>
      <w:r>
        <w:instrText xml:space="preserve"> PAGEREF _Toc1732 \h </w:instrText>
      </w:r>
      <w:r>
        <w:fldChar w:fldCharType="separate"/>
      </w:r>
      <w:r>
        <w:t>117</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_Toc26511 </w:instrText>
      </w:r>
      <w:r>
        <w:rPr>
          <w:rFonts w:hint="eastAsia" w:ascii="宋体" w:hAnsi="宋体"/>
          <w:bCs/>
          <w:szCs w:val="28"/>
        </w:rPr>
        <w:fldChar w:fldCharType="separate"/>
      </w:r>
      <w:r>
        <w:rPr>
          <w:rFonts w:hint="eastAsia" w:ascii="宋体" w:hAnsi="宋体"/>
          <w:szCs w:val="32"/>
        </w:rPr>
        <w:t>11.1 城市供电规划</w:t>
      </w:r>
      <w:r>
        <w:tab/>
      </w:r>
      <w:r>
        <w:fldChar w:fldCharType="begin"/>
      </w:r>
      <w:r>
        <w:instrText xml:space="preserve"> PAGEREF _Toc26511 \h </w:instrText>
      </w:r>
      <w:r>
        <w:fldChar w:fldCharType="separate"/>
      </w:r>
      <w:r>
        <w:t>117</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_Toc8982 </w:instrText>
      </w:r>
      <w:r>
        <w:rPr>
          <w:rFonts w:hint="eastAsia" w:ascii="宋体" w:hAnsi="宋体"/>
          <w:bCs/>
          <w:szCs w:val="28"/>
        </w:rPr>
        <w:fldChar w:fldCharType="separate"/>
      </w:r>
      <w:r>
        <w:rPr>
          <w:rFonts w:hint="eastAsia" w:ascii="宋体" w:hAnsi="宋体"/>
          <w:szCs w:val="32"/>
        </w:rPr>
        <w:t>11.2消防供电规划</w:t>
      </w:r>
      <w:r>
        <w:tab/>
      </w:r>
      <w:r>
        <w:fldChar w:fldCharType="begin"/>
      </w:r>
      <w:r>
        <w:instrText xml:space="preserve"> PAGEREF _Toc8982 \h </w:instrText>
      </w:r>
      <w:r>
        <w:fldChar w:fldCharType="separate"/>
      </w:r>
      <w:r>
        <w:t>118</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_Toc18364 </w:instrText>
      </w:r>
      <w:r>
        <w:rPr>
          <w:rFonts w:hint="eastAsia" w:ascii="宋体" w:hAnsi="宋体"/>
          <w:bCs/>
          <w:szCs w:val="28"/>
        </w:rPr>
        <w:fldChar w:fldCharType="separate"/>
      </w:r>
      <w:r>
        <w:rPr>
          <w:rFonts w:hint="eastAsia" w:ascii="宋体" w:hAnsi="宋体"/>
        </w:rPr>
        <w:t>第十二章 应急救援规划</w:t>
      </w:r>
      <w:r>
        <w:tab/>
      </w:r>
      <w:r>
        <w:fldChar w:fldCharType="begin"/>
      </w:r>
      <w:r>
        <w:instrText xml:space="preserve"> PAGEREF _Toc18364 \h </w:instrText>
      </w:r>
      <w:r>
        <w:fldChar w:fldCharType="separate"/>
      </w:r>
      <w:r>
        <w:t>118</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_Toc16717 </w:instrText>
      </w:r>
      <w:r>
        <w:rPr>
          <w:rFonts w:hint="eastAsia" w:ascii="宋体" w:hAnsi="宋体"/>
          <w:bCs/>
          <w:szCs w:val="28"/>
        </w:rPr>
        <w:fldChar w:fldCharType="separate"/>
      </w:r>
      <w:r>
        <w:rPr>
          <w:rFonts w:hint="eastAsia" w:ascii="宋体" w:hAnsi="宋体"/>
          <w:szCs w:val="32"/>
        </w:rPr>
        <w:t>12.1.应急救援的基本情况与特点</w:t>
      </w:r>
      <w:r>
        <w:tab/>
      </w:r>
      <w:r>
        <w:fldChar w:fldCharType="begin"/>
      </w:r>
      <w:r>
        <w:instrText xml:space="preserve"> PAGEREF _Toc16717 \h </w:instrText>
      </w:r>
      <w:r>
        <w:fldChar w:fldCharType="separate"/>
      </w:r>
      <w:r>
        <w:t>119</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_Toc5759 </w:instrText>
      </w:r>
      <w:r>
        <w:rPr>
          <w:rFonts w:hint="eastAsia" w:ascii="宋体" w:hAnsi="宋体"/>
          <w:bCs/>
          <w:szCs w:val="28"/>
        </w:rPr>
        <w:fldChar w:fldCharType="separate"/>
      </w:r>
      <w:r>
        <w:rPr>
          <w:rFonts w:hint="eastAsia" w:ascii="宋体" w:hAnsi="宋体"/>
          <w:szCs w:val="32"/>
        </w:rPr>
        <w:t>12.2应急救援规划</w:t>
      </w:r>
      <w:r>
        <w:tab/>
      </w:r>
      <w:r>
        <w:fldChar w:fldCharType="begin"/>
      </w:r>
      <w:r>
        <w:instrText xml:space="preserve"> PAGEREF _Toc5759 \h </w:instrText>
      </w:r>
      <w:r>
        <w:fldChar w:fldCharType="separate"/>
      </w:r>
      <w:r>
        <w:t>120</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_Toc10217 </w:instrText>
      </w:r>
      <w:r>
        <w:rPr>
          <w:rFonts w:hint="eastAsia" w:ascii="宋体" w:hAnsi="宋体"/>
          <w:bCs/>
          <w:szCs w:val="28"/>
        </w:rPr>
        <w:fldChar w:fldCharType="separate"/>
      </w:r>
      <w:r>
        <w:rPr>
          <w:rFonts w:hint="eastAsia" w:ascii="宋体" w:hAnsi="宋体"/>
        </w:rPr>
        <w:t>第十三章 近期建设规划</w:t>
      </w:r>
      <w:r>
        <w:tab/>
      </w:r>
      <w:r>
        <w:fldChar w:fldCharType="begin"/>
      </w:r>
      <w:r>
        <w:instrText xml:space="preserve"> PAGEREF _Toc10217 \h </w:instrText>
      </w:r>
      <w:r>
        <w:fldChar w:fldCharType="separate"/>
      </w:r>
      <w:r>
        <w:t>121</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_Toc31903 </w:instrText>
      </w:r>
      <w:r>
        <w:rPr>
          <w:rFonts w:hint="eastAsia" w:ascii="宋体" w:hAnsi="宋体"/>
          <w:bCs/>
          <w:szCs w:val="28"/>
        </w:rPr>
        <w:fldChar w:fldCharType="separate"/>
      </w:r>
      <w:r>
        <w:rPr>
          <w:rFonts w:hint="eastAsia" w:ascii="宋体" w:hAnsi="宋体"/>
          <w:szCs w:val="32"/>
        </w:rPr>
        <w:t>13.1消防站建设</w:t>
      </w:r>
      <w:r>
        <w:tab/>
      </w:r>
      <w:r>
        <w:fldChar w:fldCharType="begin"/>
      </w:r>
      <w:r>
        <w:instrText xml:space="preserve"> PAGEREF _Toc31903 \h </w:instrText>
      </w:r>
      <w:r>
        <w:fldChar w:fldCharType="separate"/>
      </w:r>
      <w:r>
        <w:t>121</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_Toc28620 </w:instrText>
      </w:r>
      <w:r>
        <w:rPr>
          <w:rFonts w:hint="eastAsia" w:ascii="宋体" w:hAnsi="宋体"/>
          <w:bCs/>
          <w:szCs w:val="28"/>
        </w:rPr>
        <w:fldChar w:fldCharType="separate"/>
      </w:r>
      <w:r>
        <w:rPr>
          <w:rFonts w:hint="eastAsia" w:ascii="宋体" w:hAnsi="宋体"/>
          <w:szCs w:val="32"/>
        </w:rPr>
        <w:t>1</w:t>
      </w:r>
      <w:r>
        <w:rPr>
          <w:rFonts w:ascii="宋体" w:hAnsi="宋体"/>
          <w:szCs w:val="32"/>
        </w:rPr>
        <w:t>3.2</w:t>
      </w:r>
      <w:r>
        <w:rPr>
          <w:rFonts w:hint="eastAsia" w:ascii="宋体" w:hAnsi="宋体"/>
          <w:szCs w:val="32"/>
        </w:rPr>
        <w:t>消防供水设施建设</w:t>
      </w:r>
      <w:r>
        <w:tab/>
      </w:r>
      <w:r>
        <w:fldChar w:fldCharType="begin"/>
      </w:r>
      <w:r>
        <w:instrText xml:space="preserve"> PAGEREF _Toc28620 \h </w:instrText>
      </w:r>
      <w:r>
        <w:fldChar w:fldCharType="separate"/>
      </w:r>
      <w:r>
        <w:t>122</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_Toc24006 </w:instrText>
      </w:r>
      <w:r>
        <w:rPr>
          <w:rFonts w:hint="eastAsia" w:ascii="宋体" w:hAnsi="宋体"/>
          <w:bCs/>
          <w:szCs w:val="28"/>
        </w:rPr>
        <w:fldChar w:fldCharType="separate"/>
      </w:r>
      <w:r>
        <w:rPr>
          <w:rFonts w:hint="eastAsia" w:ascii="宋体" w:hAnsi="宋体"/>
          <w:szCs w:val="32"/>
        </w:rPr>
        <w:t>1</w:t>
      </w:r>
      <w:r>
        <w:rPr>
          <w:rFonts w:ascii="宋体" w:hAnsi="宋体"/>
          <w:szCs w:val="32"/>
        </w:rPr>
        <w:t>3.3</w:t>
      </w:r>
      <w:r>
        <w:rPr>
          <w:rFonts w:hint="eastAsia" w:ascii="宋体" w:hAnsi="宋体"/>
          <w:szCs w:val="32"/>
        </w:rPr>
        <w:t>消防通信设施建设</w:t>
      </w:r>
      <w:r>
        <w:tab/>
      </w:r>
      <w:r>
        <w:fldChar w:fldCharType="begin"/>
      </w:r>
      <w:r>
        <w:instrText xml:space="preserve"> PAGEREF _Toc24006 \h </w:instrText>
      </w:r>
      <w:r>
        <w:fldChar w:fldCharType="separate"/>
      </w:r>
      <w:r>
        <w:t>122</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_Toc11017 </w:instrText>
      </w:r>
      <w:r>
        <w:rPr>
          <w:rFonts w:hint="eastAsia" w:ascii="宋体" w:hAnsi="宋体"/>
          <w:bCs/>
          <w:szCs w:val="28"/>
        </w:rPr>
        <w:fldChar w:fldCharType="separate"/>
      </w:r>
      <w:r>
        <w:rPr>
          <w:rFonts w:hint="eastAsia" w:ascii="宋体" w:hAnsi="宋体"/>
          <w:szCs w:val="32"/>
        </w:rPr>
        <w:t>13.</w:t>
      </w:r>
      <w:r>
        <w:rPr>
          <w:rFonts w:ascii="宋体" w:hAnsi="宋体"/>
          <w:szCs w:val="32"/>
        </w:rPr>
        <w:t>4</w:t>
      </w:r>
      <w:r>
        <w:rPr>
          <w:rFonts w:hint="eastAsia" w:ascii="宋体" w:hAnsi="宋体"/>
          <w:szCs w:val="32"/>
        </w:rPr>
        <w:t>消防通道建设</w:t>
      </w:r>
      <w:r>
        <w:tab/>
      </w:r>
      <w:r>
        <w:fldChar w:fldCharType="begin"/>
      </w:r>
      <w:r>
        <w:instrText xml:space="preserve"> PAGEREF _Toc11017 \h </w:instrText>
      </w:r>
      <w:r>
        <w:fldChar w:fldCharType="separate"/>
      </w:r>
      <w:r>
        <w:t>122</w:t>
      </w:r>
      <w:r>
        <w:fldChar w:fldCharType="end"/>
      </w:r>
      <w:r>
        <w:rPr>
          <w:rFonts w:hint="eastAsia" w:ascii="宋体" w:hAnsi="宋体"/>
          <w:bCs/>
          <w:szCs w:val="28"/>
        </w:rPr>
        <w:fldChar w:fldCharType="end"/>
      </w:r>
    </w:p>
    <w:p>
      <w:pPr>
        <w:pStyle w:val="8"/>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_Toc29851 </w:instrText>
      </w:r>
      <w:r>
        <w:rPr>
          <w:rFonts w:hint="eastAsia" w:ascii="宋体" w:hAnsi="宋体"/>
          <w:bCs/>
          <w:szCs w:val="28"/>
        </w:rPr>
        <w:fldChar w:fldCharType="separate"/>
      </w:r>
      <w:r>
        <w:rPr>
          <w:rFonts w:hint="eastAsia" w:ascii="宋体" w:hAnsi="宋体"/>
        </w:rPr>
        <w:t>第十四章 实施措施和建议</w:t>
      </w:r>
      <w:r>
        <w:tab/>
      </w:r>
      <w:r>
        <w:fldChar w:fldCharType="begin"/>
      </w:r>
      <w:r>
        <w:instrText xml:space="preserve"> PAGEREF _Toc29851 \h </w:instrText>
      </w:r>
      <w:r>
        <w:fldChar w:fldCharType="separate"/>
      </w:r>
      <w:r>
        <w:t>124</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_Toc24319 </w:instrText>
      </w:r>
      <w:r>
        <w:rPr>
          <w:rFonts w:hint="eastAsia" w:ascii="宋体" w:hAnsi="宋体"/>
          <w:bCs/>
          <w:szCs w:val="28"/>
        </w:rPr>
        <w:fldChar w:fldCharType="separate"/>
      </w:r>
      <w:r>
        <w:rPr>
          <w:rFonts w:ascii="宋体" w:hAnsi="宋体"/>
          <w:szCs w:val="32"/>
        </w:rPr>
        <w:t>1</w:t>
      </w:r>
      <w:r>
        <w:rPr>
          <w:rFonts w:hint="eastAsia" w:ascii="宋体" w:hAnsi="宋体"/>
          <w:szCs w:val="32"/>
        </w:rPr>
        <w:t>4</w:t>
      </w:r>
      <w:r>
        <w:rPr>
          <w:rFonts w:ascii="宋体" w:hAnsi="宋体"/>
          <w:szCs w:val="32"/>
        </w:rPr>
        <w:t>.1规划实施</w:t>
      </w:r>
      <w:r>
        <w:tab/>
      </w:r>
      <w:r>
        <w:fldChar w:fldCharType="begin"/>
      </w:r>
      <w:r>
        <w:instrText xml:space="preserve"> PAGEREF _Toc24319 \h </w:instrText>
      </w:r>
      <w:r>
        <w:fldChar w:fldCharType="separate"/>
      </w:r>
      <w:r>
        <w:t>124</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_Toc30970 </w:instrText>
      </w:r>
      <w:r>
        <w:rPr>
          <w:rFonts w:hint="eastAsia" w:ascii="宋体" w:hAnsi="宋体"/>
          <w:bCs/>
          <w:szCs w:val="28"/>
        </w:rPr>
        <w:fldChar w:fldCharType="separate"/>
      </w:r>
      <w:r>
        <w:rPr>
          <w:rFonts w:ascii="宋体" w:hAnsi="宋体"/>
          <w:szCs w:val="32"/>
        </w:rPr>
        <w:t>1</w:t>
      </w:r>
      <w:r>
        <w:rPr>
          <w:rFonts w:hint="eastAsia" w:ascii="宋体" w:hAnsi="宋体"/>
          <w:szCs w:val="32"/>
        </w:rPr>
        <w:t>4</w:t>
      </w:r>
      <w:r>
        <w:rPr>
          <w:rFonts w:ascii="宋体" w:hAnsi="宋体"/>
          <w:szCs w:val="32"/>
        </w:rPr>
        <w:t>.2政策制定</w:t>
      </w:r>
      <w:r>
        <w:tab/>
      </w:r>
      <w:r>
        <w:fldChar w:fldCharType="begin"/>
      </w:r>
      <w:r>
        <w:instrText xml:space="preserve"> PAGEREF _Toc30970 \h </w:instrText>
      </w:r>
      <w:r>
        <w:fldChar w:fldCharType="separate"/>
      </w:r>
      <w:r>
        <w:t>125</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_Toc21575 </w:instrText>
      </w:r>
      <w:r>
        <w:rPr>
          <w:rFonts w:hint="eastAsia" w:ascii="宋体" w:hAnsi="宋体"/>
          <w:bCs/>
          <w:szCs w:val="28"/>
        </w:rPr>
        <w:fldChar w:fldCharType="separate"/>
      </w:r>
      <w:r>
        <w:rPr>
          <w:rFonts w:ascii="宋体" w:hAnsi="宋体"/>
          <w:szCs w:val="32"/>
        </w:rPr>
        <w:t>1</w:t>
      </w:r>
      <w:r>
        <w:rPr>
          <w:rFonts w:hint="eastAsia" w:ascii="宋体" w:hAnsi="宋体"/>
          <w:szCs w:val="32"/>
        </w:rPr>
        <w:t>4</w:t>
      </w:r>
      <w:r>
        <w:rPr>
          <w:rFonts w:ascii="宋体" w:hAnsi="宋体"/>
          <w:szCs w:val="32"/>
        </w:rPr>
        <w:t>.3技术支撑</w:t>
      </w:r>
      <w:r>
        <w:tab/>
      </w:r>
      <w:r>
        <w:fldChar w:fldCharType="begin"/>
      </w:r>
      <w:r>
        <w:instrText xml:space="preserve"> PAGEREF _Toc21575 \h </w:instrText>
      </w:r>
      <w:r>
        <w:fldChar w:fldCharType="separate"/>
      </w:r>
      <w:r>
        <w:t>125</w:t>
      </w:r>
      <w:r>
        <w:fldChar w:fldCharType="end"/>
      </w:r>
      <w:r>
        <w:rPr>
          <w:rFonts w:hint="eastAsia" w:ascii="宋体" w:hAnsi="宋体"/>
          <w:bCs/>
          <w:szCs w:val="28"/>
        </w:rPr>
        <w:fldChar w:fldCharType="end"/>
      </w:r>
    </w:p>
    <w:p>
      <w:pPr>
        <w:pStyle w:val="9"/>
        <w:tabs>
          <w:tab w:val="right" w:leader="dot" w:pos="9026"/>
        </w:tabs>
      </w:pPr>
      <w:r>
        <w:rPr>
          <w:rFonts w:hint="eastAsia" w:ascii="宋体" w:hAnsi="宋体"/>
          <w:bCs/>
          <w:szCs w:val="28"/>
        </w:rPr>
        <w:fldChar w:fldCharType="begin"/>
      </w:r>
      <w:r>
        <w:rPr>
          <w:rFonts w:hint="eastAsia" w:ascii="宋体" w:hAnsi="宋体"/>
          <w:bCs/>
          <w:szCs w:val="28"/>
        </w:rPr>
        <w:instrText xml:space="preserve"> HYPERLINK \l _Toc26768 </w:instrText>
      </w:r>
      <w:r>
        <w:rPr>
          <w:rFonts w:hint="eastAsia" w:ascii="宋体" w:hAnsi="宋体"/>
          <w:bCs/>
          <w:szCs w:val="28"/>
        </w:rPr>
        <w:fldChar w:fldCharType="separate"/>
      </w:r>
      <w:r>
        <w:rPr>
          <w:rFonts w:ascii="宋体" w:hAnsi="宋体"/>
          <w:szCs w:val="32"/>
        </w:rPr>
        <w:t>1</w:t>
      </w:r>
      <w:r>
        <w:rPr>
          <w:rFonts w:hint="eastAsia" w:ascii="宋体" w:hAnsi="宋体"/>
          <w:szCs w:val="32"/>
        </w:rPr>
        <w:t>4</w:t>
      </w:r>
      <w:r>
        <w:rPr>
          <w:rFonts w:ascii="宋体" w:hAnsi="宋体"/>
          <w:szCs w:val="32"/>
        </w:rPr>
        <w:t>.4规划管理</w:t>
      </w:r>
      <w:r>
        <w:tab/>
      </w:r>
      <w:r>
        <w:fldChar w:fldCharType="begin"/>
      </w:r>
      <w:r>
        <w:instrText xml:space="preserve"> PAGEREF _Toc26768 \h </w:instrText>
      </w:r>
      <w:r>
        <w:fldChar w:fldCharType="separate"/>
      </w:r>
      <w:r>
        <w:t>126</w:t>
      </w:r>
      <w:r>
        <w:fldChar w:fldCharType="end"/>
      </w:r>
      <w:r>
        <w:rPr>
          <w:rFonts w:hint="eastAsia" w:ascii="宋体" w:hAnsi="宋体"/>
          <w:bCs/>
          <w:szCs w:val="28"/>
        </w:rPr>
        <w:fldChar w:fldCharType="end"/>
      </w:r>
    </w:p>
    <w:p>
      <w:pPr>
        <w:tabs>
          <w:tab w:val="right" w:leader="dot" w:pos="9856"/>
        </w:tabs>
        <w:spacing w:before="156" w:beforeLines="0" w:after="156" w:afterLines="0" w:line="240" w:lineRule="auto"/>
        <w:ind w:firstLine="420" w:firstLineChars="150"/>
        <w:jc w:val="center"/>
        <w:rPr>
          <w:b/>
          <w:bCs/>
          <w:sz w:val="24"/>
        </w:rPr>
        <w:sectPr>
          <w:pgSz w:w="11906" w:h="16838"/>
          <w:pgMar w:top="1800" w:right="1440" w:bottom="1800" w:left="1440" w:header="851" w:footer="992" w:gutter="0"/>
          <w:pgNumType w:start="1"/>
          <w:cols w:space="720" w:num="1"/>
          <w:docGrid w:type="lines" w:linePitch="312" w:charSpace="0"/>
        </w:sectPr>
      </w:pPr>
      <w:r>
        <w:rPr>
          <w:rFonts w:hint="eastAsia" w:ascii="宋体" w:hAnsi="宋体"/>
          <w:bCs/>
          <w:szCs w:val="28"/>
        </w:rPr>
        <w:fldChar w:fldCharType="end"/>
      </w:r>
    </w:p>
    <w:p>
      <w:pPr>
        <w:pStyle w:val="2"/>
        <w:spacing w:before="190" w:after="190"/>
        <w:jc w:val="center"/>
        <w:rPr>
          <w:rFonts w:ascii="宋体" w:hAnsi="宋体"/>
          <w:b/>
          <w:szCs w:val="36"/>
        </w:rPr>
      </w:pPr>
      <w:bookmarkStart w:id="84" w:name="_Toc20277"/>
      <w:bookmarkStart w:id="85" w:name="_Toc2011"/>
      <w:bookmarkStart w:id="86" w:name="_Toc1861"/>
      <w:r>
        <w:rPr>
          <w:rFonts w:hint="eastAsia" w:ascii="宋体" w:hAnsi="宋体"/>
          <w:b/>
          <w:szCs w:val="36"/>
        </w:rPr>
        <w:t>前言</w:t>
      </w:r>
      <w:bookmarkEnd w:id="84"/>
      <w:bookmarkEnd w:id="85"/>
      <w:bookmarkEnd w:id="86"/>
    </w:p>
    <w:p>
      <w:pPr>
        <w:spacing w:before="190" w:after="190"/>
        <w:ind w:firstLine="560"/>
      </w:pPr>
      <w:r>
        <w:rPr>
          <w:rFonts w:hint="eastAsia"/>
        </w:rPr>
        <w:t>城市消防事业是国民经济和社会发展的重要组成部分，是衡量一个城市、地区现代化文明程度的标志之一，是城市正常运行的重要保障，对城市经济发展和促进社会进步有着重要意义。消防事业关系着社会的安全与稳定，消防规划是城市总体规划的重要组成部分，编制城市消防规划，有利于促进城市消防基础设施建设，保障城乡消防安全，是城市建设发展的必然要求。</w:t>
      </w:r>
    </w:p>
    <w:p>
      <w:pPr>
        <w:spacing w:before="190" w:after="190"/>
        <w:ind w:firstLine="560"/>
      </w:pPr>
      <w:r>
        <w:rPr>
          <w:rFonts w:hint="eastAsia"/>
        </w:rPr>
        <w:t>随着城市经济社会的不断发展，全社会消防安全意识明显提高，消防职能也从单一的灭火作战向防核防化、水上救生、高空救援、公共救助、交通拯救等处置突发事件的多方面发展，对消防规划提出了更高的需求。</w:t>
      </w:r>
    </w:p>
    <w:p>
      <w:pPr>
        <w:spacing w:before="190" w:after="190"/>
        <w:ind w:firstLine="560"/>
      </w:pPr>
      <w:r>
        <w:rPr>
          <w:rFonts w:hint="eastAsia"/>
        </w:rPr>
        <w:t>随着</w:t>
      </w:r>
      <w:r>
        <w:rPr>
          <w:rFonts w:hint="eastAsia" w:ascii="宋体" w:hAnsi="宋体"/>
        </w:rPr>
        <w:t>《</w:t>
      </w:r>
      <w:r>
        <w:rPr>
          <w:rFonts w:hint="eastAsia"/>
        </w:rPr>
        <w:t>盐池县国土空间规划（2020-2035</w:t>
      </w:r>
      <w:r>
        <w:rPr>
          <w:rFonts w:hint="eastAsia" w:ascii="宋体" w:hAnsi="宋体"/>
        </w:rPr>
        <w:t>》</w:t>
      </w:r>
      <w:r>
        <w:rPr>
          <w:rFonts w:hint="eastAsia"/>
        </w:rPr>
        <w:t>的开展编制。上版消防规划《盐池县城消防专业规划》规划内容已相对滞后，已不适应当前盐池县城市的消防设施建设，已不能指导未来城市消防建设的需求，对消防规划的修编迫在眉睫。</w:t>
      </w:r>
    </w:p>
    <w:p>
      <w:pPr>
        <w:spacing w:before="190" w:after="190"/>
        <w:ind w:firstLine="560"/>
      </w:pPr>
      <w:r>
        <w:rPr>
          <w:rFonts w:hint="eastAsia"/>
        </w:rPr>
        <w:t>为构建科学、先进、完善的城市消防安全体系，指导城市消防安全布局和公共消防设施的建设发展，增强城市抗御火灾和处置各种灾害事故的综合能力，满足城市社会和经济建设快速发展对消防工作的新要求，保障城市消防安全，编制《盐池城市消防专项规划（2020-2035）》。</w:t>
      </w:r>
    </w:p>
    <w:p>
      <w:pPr>
        <w:pStyle w:val="2"/>
        <w:numPr>
          <w:ilvl w:val="0"/>
          <w:numId w:val="3"/>
        </w:numPr>
        <w:spacing w:before="190" w:after="190"/>
        <w:ind w:firstLine="0"/>
        <w:jc w:val="center"/>
        <w:rPr>
          <w:rFonts w:ascii="宋体" w:hAnsi="宋体"/>
          <w:b/>
        </w:rPr>
      </w:pPr>
      <w:bookmarkStart w:id="87" w:name="_Toc2529"/>
      <w:bookmarkStart w:id="88" w:name="_Toc9814"/>
      <w:bookmarkStart w:id="89" w:name="_Toc20996"/>
      <w:r>
        <w:rPr>
          <w:rFonts w:hint="eastAsia" w:ascii="宋体" w:hAnsi="宋体"/>
          <w:b/>
        </w:rPr>
        <w:t>现状概况</w:t>
      </w:r>
      <w:bookmarkEnd w:id="87"/>
      <w:bookmarkEnd w:id="88"/>
      <w:bookmarkEnd w:id="89"/>
    </w:p>
    <w:p>
      <w:pPr>
        <w:pStyle w:val="3"/>
        <w:spacing w:before="190" w:after="190"/>
        <w:rPr>
          <w:rFonts w:ascii="宋体" w:hAnsi="宋体"/>
          <w:szCs w:val="32"/>
        </w:rPr>
      </w:pPr>
      <w:bookmarkStart w:id="90" w:name="_Toc6311"/>
      <w:bookmarkStart w:id="91" w:name="_Toc15998"/>
      <w:bookmarkStart w:id="92" w:name="_Toc380"/>
      <w:r>
        <w:rPr>
          <w:rFonts w:hint="eastAsia" w:ascii="宋体" w:hAnsi="宋体"/>
          <w:szCs w:val="32"/>
        </w:rPr>
        <w:t>1.1概况</w:t>
      </w:r>
      <w:bookmarkEnd w:id="90"/>
      <w:bookmarkEnd w:id="91"/>
      <w:bookmarkEnd w:id="92"/>
    </w:p>
    <w:p>
      <w:pPr>
        <w:pStyle w:val="4"/>
        <w:spacing w:before="0" w:beforeLines="0" w:after="0" w:afterLines="0" w:line="240" w:lineRule="auto"/>
        <w:rPr>
          <w:rFonts w:ascii="宋体" w:hAnsi="宋体"/>
          <w:szCs w:val="30"/>
        </w:rPr>
      </w:pPr>
      <w:bookmarkStart w:id="93" w:name="_Toc59386267"/>
      <w:bookmarkStart w:id="94" w:name="_Toc14872"/>
      <w:bookmarkStart w:id="95" w:name="_Toc18713"/>
      <w:bookmarkStart w:id="96" w:name="_Toc8902"/>
      <w:r>
        <w:rPr>
          <w:rFonts w:hint="eastAsia" w:ascii="宋体" w:hAnsi="宋体"/>
          <w:szCs w:val="30"/>
        </w:rPr>
        <w:t>1.1.1区位分析</w:t>
      </w:r>
      <w:bookmarkEnd w:id="93"/>
      <w:bookmarkEnd w:id="94"/>
      <w:bookmarkEnd w:id="95"/>
      <w:bookmarkEnd w:id="96"/>
    </w:p>
    <w:p>
      <w:pPr>
        <w:spacing w:before="190" w:after="190"/>
        <w:ind w:firstLine="560"/>
        <w:rPr>
          <w:rFonts w:hint="eastAsia" w:ascii="宋体" w:hAnsi="宋体"/>
        </w:rPr>
      </w:pPr>
      <w:r>
        <w:rPr>
          <w:rFonts w:hint="eastAsia"/>
        </w:rPr>
        <w:t>盐</w:t>
      </w:r>
      <w:r>
        <w:rPr>
          <w:rFonts w:hint="eastAsia" w:ascii="宋体" w:hAnsi="宋体"/>
        </w:rPr>
        <w:t>池县位于宁夏回族自治区东部，西与灵武市、同心县连接，北与内蒙古自治区鄂托克前旗相临，东与陕西省定边县接壤，南与甘肃省环县毗邻。全县南北长110公里，东西宽66公里，总面积8661.3平方公里。盐池县城位于县域的东北部，县城距自治区首府银川市131公里。盐池县城具有优越的经济和地理区位条件，青银高速、307国道从县城北部穿过，太中银铁路从县城南部穿过。</w:t>
      </w:r>
      <w:r>
        <w:rPr>
          <w:rFonts w:hint="eastAsia" w:ascii="宋体" w:hAnsi="宋体"/>
        </w:rPr>
        <w:drawing>
          <wp:anchor distT="0" distB="0" distL="114300" distR="114300" simplePos="0" relativeHeight="251660288" behindDoc="0" locked="0" layoutInCell="1" allowOverlap="1">
            <wp:simplePos x="0" y="0"/>
            <wp:positionH relativeFrom="page">
              <wp:posOffset>1074420</wp:posOffset>
            </wp:positionH>
            <wp:positionV relativeFrom="page">
              <wp:posOffset>5057775</wp:posOffset>
            </wp:positionV>
            <wp:extent cx="5540375" cy="4053840"/>
            <wp:effectExtent l="0" t="0" r="3175" b="3810"/>
            <wp:wrapSquare wrapText="bothSides"/>
            <wp:docPr id="19" name="图片 3" descr="01-区位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3" descr="01-区位图"/>
                    <pic:cNvPicPr>
                      <a:picLocks noChangeAspect="true"/>
                    </pic:cNvPicPr>
                  </pic:nvPicPr>
                  <pic:blipFill>
                    <a:blip r:embed="rId15"/>
                    <a:srcRect l="3261"/>
                    <a:stretch>
                      <a:fillRect/>
                    </a:stretch>
                  </pic:blipFill>
                  <pic:spPr>
                    <a:xfrm>
                      <a:off x="0" y="0"/>
                      <a:ext cx="5540375" cy="4053840"/>
                    </a:xfrm>
                    <a:prstGeom prst="rect">
                      <a:avLst/>
                    </a:prstGeom>
                    <a:noFill/>
                    <a:ln>
                      <a:noFill/>
                    </a:ln>
                  </pic:spPr>
                </pic:pic>
              </a:graphicData>
            </a:graphic>
          </wp:anchor>
        </w:drawing>
      </w:r>
    </w:p>
    <w:p>
      <w:pPr>
        <w:pStyle w:val="4"/>
        <w:spacing w:before="0" w:beforeLines="0" w:after="0" w:afterLines="0" w:line="240" w:lineRule="auto"/>
        <w:rPr>
          <w:rFonts w:ascii="宋体" w:hAnsi="宋体"/>
          <w:szCs w:val="30"/>
        </w:rPr>
      </w:pPr>
      <w:bookmarkStart w:id="97" w:name="_Toc10410"/>
      <w:bookmarkStart w:id="98" w:name="_Toc18593"/>
      <w:bookmarkStart w:id="99" w:name="_Toc59386268"/>
      <w:bookmarkStart w:id="100" w:name="_Toc22174"/>
      <w:r>
        <w:rPr>
          <w:rFonts w:hint="eastAsia" w:ascii="宋体" w:hAnsi="宋体"/>
          <w:szCs w:val="30"/>
        </w:rPr>
        <w:t>1.1.2行政区划</w:t>
      </w:r>
      <w:bookmarkEnd w:id="97"/>
      <w:bookmarkEnd w:id="98"/>
      <w:bookmarkEnd w:id="99"/>
      <w:bookmarkEnd w:id="100"/>
    </w:p>
    <w:p>
      <w:pPr>
        <w:spacing w:before="190" w:after="190"/>
        <w:ind w:firstLine="560"/>
        <w:rPr>
          <w:rFonts w:ascii="宋体" w:hAnsi="宋体"/>
        </w:rPr>
      </w:pPr>
      <w:r>
        <w:rPr>
          <w:rFonts w:hint="eastAsia" w:ascii="宋体" w:hAnsi="宋体"/>
        </w:rPr>
        <w:t>盐池县现辖4个镇，4个乡，分别是：花马池镇、大水坑镇、高沙窝镇、惠安堡镇、王乐井乡、冯记沟乡、麻黄山乡、青山乡。</w:t>
      </w:r>
    </w:p>
    <w:p>
      <w:pPr>
        <w:pStyle w:val="4"/>
        <w:spacing w:before="0" w:beforeLines="0" w:after="0" w:afterLines="0" w:line="240" w:lineRule="auto"/>
        <w:rPr>
          <w:rFonts w:ascii="宋体" w:hAnsi="宋体"/>
          <w:szCs w:val="30"/>
        </w:rPr>
      </w:pPr>
      <w:bookmarkStart w:id="101" w:name="_Toc59386269"/>
      <w:bookmarkStart w:id="102" w:name="_Toc5147"/>
      <w:bookmarkStart w:id="103" w:name="_Toc3518"/>
      <w:bookmarkStart w:id="104" w:name="_Toc28593"/>
      <w:r>
        <w:rPr>
          <w:rFonts w:hint="eastAsia" w:ascii="宋体" w:hAnsi="宋体"/>
          <w:szCs w:val="30"/>
        </w:rPr>
        <w:t>1.1.3自然条件</w:t>
      </w:r>
      <w:bookmarkEnd w:id="101"/>
      <w:bookmarkEnd w:id="102"/>
      <w:bookmarkEnd w:id="103"/>
      <w:bookmarkEnd w:id="104"/>
    </w:p>
    <w:p>
      <w:pPr>
        <w:spacing w:before="190" w:after="190"/>
        <w:ind w:firstLine="560"/>
        <w:rPr>
          <w:rFonts w:ascii="宋体" w:hAnsi="宋体"/>
        </w:rPr>
      </w:pPr>
      <w:r>
        <w:rPr>
          <w:rFonts w:hint="eastAsia" w:ascii="宋体" w:hAnsi="宋体"/>
        </w:rPr>
        <w:t>（1）</w:t>
      </w:r>
      <w:r>
        <w:rPr>
          <w:rFonts w:ascii="宋体" w:hAnsi="宋体"/>
        </w:rPr>
        <w:t>地形地质</w:t>
      </w:r>
    </w:p>
    <w:p>
      <w:pPr>
        <w:spacing w:before="190" w:after="190"/>
        <w:ind w:firstLine="560"/>
        <w:rPr>
          <w:rFonts w:ascii="宋体" w:hAnsi="宋体"/>
        </w:rPr>
      </w:pPr>
      <w:r>
        <w:rPr>
          <w:rFonts w:hint="eastAsia" w:ascii="宋体" w:hAnsi="宋体"/>
        </w:rPr>
        <w:t>盐池县地处鄂尔多斯台地西缘，在祁（连山）——吕（</w:t>
      </w:r>
      <w:r>
        <w:rPr>
          <w:rFonts w:ascii="宋体" w:hAnsi="宋体"/>
        </w:rPr>
        <w:t>梁山）——贺（兰山）山字型构造的脊柱部分，是布伦庙——镇原白垩系大向斜与贺兰山——青龙山的褶皱带两个互带。盐池县地势南高北低，北接毛乌素沙漠，属鄂尔多斯台地，南靠黄土高原，属黄土丘陵沟壑第五付区。地理位置上属典型的过渡地带，即自南向北地形是从黄土高原向鄂尔多斯台地过渡。黄土丘陵区主要分布在麻黄山乡的全部及惠安堡、大水坑镇的部分地区，总面积1400平方公里，占全县总面积的20.63%。这一区域冲蚀沟壑分布广，纵贯山梁，地面呈支离破碎状，水土流失情况严重。鄂尔多斯缓坡丘陵区包括花马池镇、高沙窝镇、青山、王乐井、冯记沟的全部，以及惠安堡和大水坑镇的部分，总面积为5588.6平方公里，占全县总面积的79.37%。</w:t>
      </w:r>
    </w:p>
    <w:p>
      <w:pPr>
        <w:spacing w:before="190" w:after="190"/>
        <w:ind w:firstLine="560"/>
        <w:rPr>
          <w:rFonts w:ascii="宋体" w:hAnsi="宋体"/>
        </w:rPr>
      </w:pPr>
      <w:r>
        <w:rPr>
          <w:rFonts w:hint="eastAsia" w:ascii="宋体" w:hAnsi="宋体"/>
        </w:rPr>
        <w:t>（2）</w:t>
      </w:r>
      <w:r>
        <w:rPr>
          <w:rFonts w:ascii="宋体" w:hAnsi="宋体"/>
        </w:rPr>
        <w:t>水文条件</w:t>
      </w:r>
    </w:p>
    <w:p>
      <w:pPr>
        <w:spacing w:before="190" w:after="190"/>
        <w:ind w:firstLine="560"/>
        <w:rPr>
          <w:rFonts w:ascii="宋体" w:hAnsi="宋体"/>
        </w:rPr>
      </w:pPr>
      <w:r>
        <w:rPr>
          <w:rFonts w:ascii="宋体" w:hAnsi="宋体"/>
        </w:rPr>
        <w:t>盐池境内无大河流，南部地面径流有山水河、苦水河、东川、打伙店沟等季节性河流，分属环江流域、苦水河流域和内陆流域。中北部为内陆冲沟水系，南部和西南部为黄河水系的支沟。县境内历史上有不少湖泊，绝大多数已干涸。目前境内还有硝池子、八字洼硝湖等湖泊，大多数湖泊产硝，同时也面临着面积逐步减少的问题。</w:t>
      </w:r>
    </w:p>
    <w:p>
      <w:pPr>
        <w:spacing w:before="190" w:after="190"/>
        <w:ind w:firstLine="560"/>
        <w:rPr>
          <w:rFonts w:ascii="宋体" w:hAnsi="宋体"/>
        </w:rPr>
      </w:pPr>
      <w:r>
        <w:rPr>
          <w:rFonts w:ascii="宋体" w:hAnsi="宋体"/>
        </w:rPr>
        <w:t>盐池的地下水主要有毛乌素沙地第四系地下水、毛乌素沙地基岩地下水以及承压自流水和南部山区地下水。其中毛乌素沙地第四系地下水的含水层的岩性主要是冲积—洪积沙，含砾石沙，少数为风积沙和淤积沙。厚度在梁、石地区仅1—2米，山谷洼地最大厚度可达38米，日涌水量100—450立方米，水质较差。水源补给主要是降雨。毛乌素沙地基岩地下水，下白垩系志丹群构成毛乌素沙地基岩，为一套陆相碎屑沉积物，含水层厚度60－70米，日涌水量100—600立方米。总体呈现南部山区地下水资源十分贫乏，从南向北埋藏渐浅，水量逐渐增多，水质渐好的特点。</w:t>
      </w:r>
    </w:p>
    <w:p>
      <w:pPr>
        <w:spacing w:before="190" w:after="190"/>
        <w:ind w:firstLine="560"/>
      </w:pPr>
      <w:r>
        <w:rPr>
          <w:rFonts w:hint="eastAsia"/>
        </w:rPr>
        <w:t>（3）</w:t>
      </w:r>
      <w:r>
        <w:t>气候气象</w:t>
      </w:r>
    </w:p>
    <w:p>
      <w:pPr>
        <w:spacing w:before="190" w:after="190"/>
        <w:ind w:firstLine="560"/>
        <w:rPr>
          <w:rFonts w:ascii="宋体" w:hAnsi="宋体"/>
        </w:rPr>
      </w:pPr>
      <w:r>
        <w:rPr>
          <w:rFonts w:ascii="宋体" w:hAnsi="宋体"/>
        </w:rPr>
        <w:t>盐池属典型中温带大陆性气候，光能丰富、热量偏少。气温特点是冬冷夏热，年差较大。最冷月是1月份，平均气温-8.7℃；最热月是7月份，平均气温22.4℃，1—7月份平均气温呈上升趋势，8—12月份平均气温呈下降趋势。年均降水量不足300毫米，但蒸发量却是降水量的6—7倍。年均风速为2.8米/秒，冬春风沙天气较多。</w:t>
      </w:r>
    </w:p>
    <w:p>
      <w:pPr>
        <w:pStyle w:val="4"/>
        <w:spacing w:before="0" w:beforeLines="0" w:after="0" w:afterLines="0" w:line="240" w:lineRule="auto"/>
        <w:rPr>
          <w:rFonts w:ascii="宋体" w:hAnsi="宋体"/>
          <w:szCs w:val="30"/>
        </w:rPr>
      </w:pPr>
      <w:bookmarkStart w:id="105" w:name="_Toc59386270"/>
      <w:bookmarkStart w:id="106" w:name="_Toc7546"/>
      <w:bookmarkStart w:id="107" w:name="_Toc21063"/>
      <w:bookmarkStart w:id="108" w:name="_Toc3732"/>
      <w:r>
        <w:rPr>
          <w:rFonts w:hint="eastAsia" w:ascii="宋体" w:hAnsi="宋体"/>
          <w:szCs w:val="30"/>
        </w:rPr>
        <w:t>1.1.4社会条件</w:t>
      </w:r>
      <w:bookmarkEnd w:id="105"/>
      <w:bookmarkEnd w:id="106"/>
      <w:bookmarkEnd w:id="107"/>
      <w:bookmarkEnd w:id="108"/>
    </w:p>
    <w:p>
      <w:pPr>
        <w:spacing w:before="190" w:after="190"/>
        <w:ind w:firstLine="560"/>
        <w:rPr>
          <w:rFonts w:ascii="宋体" w:hAnsi="宋体"/>
        </w:rPr>
      </w:pPr>
      <w:r>
        <w:rPr>
          <w:rFonts w:hint="eastAsia" w:ascii="宋体" w:hAnsi="宋体"/>
        </w:rPr>
        <w:t>2019年全县生产总值增长9%;完成固定资产投资72亿元；县级一般公共预算收入8.7亿元，增长5%；城镇和农村居民人均可支配收入分别达到28729元和11859元，增长8%和11%，社会消费品零售总额增长7%。</w:t>
      </w:r>
    </w:p>
    <w:p>
      <w:pPr>
        <w:pStyle w:val="3"/>
        <w:spacing w:before="190" w:after="190"/>
        <w:rPr>
          <w:rFonts w:ascii="宋体" w:hAnsi="宋体"/>
          <w:szCs w:val="32"/>
        </w:rPr>
      </w:pPr>
      <w:bookmarkStart w:id="109" w:name="_Toc5416"/>
      <w:bookmarkStart w:id="110" w:name="_Toc27684"/>
      <w:bookmarkStart w:id="111" w:name="_Toc4467"/>
      <w:r>
        <w:rPr>
          <w:rFonts w:hint="eastAsia" w:ascii="宋体" w:hAnsi="宋体"/>
          <w:szCs w:val="32"/>
        </w:rPr>
        <w:t>1.2城市消防现状</w:t>
      </w:r>
      <w:bookmarkEnd w:id="109"/>
      <w:bookmarkEnd w:id="110"/>
      <w:bookmarkEnd w:id="111"/>
    </w:p>
    <w:p>
      <w:pPr>
        <w:pStyle w:val="4"/>
        <w:spacing w:before="0" w:beforeLines="0" w:after="0" w:afterLines="0" w:line="240" w:lineRule="auto"/>
        <w:rPr>
          <w:rFonts w:ascii="宋体" w:hAnsi="宋体"/>
          <w:szCs w:val="30"/>
        </w:rPr>
      </w:pPr>
      <w:bookmarkStart w:id="112" w:name="_Toc14481"/>
      <w:bookmarkStart w:id="113" w:name="_Toc59386272"/>
      <w:bookmarkStart w:id="114" w:name="_Toc11563"/>
      <w:bookmarkStart w:id="115" w:name="_Toc30704"/>
      <w:r>
        <w:rPr>
          <w:rFonts w:hint="eastAsia" w:ascii="宋体" w:hAnsi="宋体"/>
          <w:szCs w:val="30"/>
        </w:rPr>
        <w:t>1.2.1消防站现状</w:t>
      </w:r>
      <w:bookmarkEnd w:id="112"/>
      <w:bookmarkEnd w:id="113"/>
      <w:bookmarkEnd w:id="114"/>
      <w:bookmarkEnd w:id="115"/>
    </w:p>
    <w:p>
      <w:pPr>
        <w:spacing w:before="190" w:after="190"/>
        <w:ind w:firstLine="562"/>
        <w:jc w:val="left"/>
        <w:rPr>
          <w:rFonts w:ascii="宋体" w:hAnsi="宋体"/>
          <w:b/>
        </w:rPr>
      </w:pPr>
      <w:r>
        <w:rPr>
          <w:rFonts w:hint="eastAsia" w:ascii="宋体" w:hAnsi="宋体"/>
          <w:b/>
        </w:rPr>
        <w:t>（1）花马池消防救援站</w:t>
      </w:r>
    </w:p>
    <w:p>
      <w:pPr>
        <w:spacing w:before="190" w:after="190"/>
        <w:ind w:firstLine="560"/>
        <w:jc w:val="left"/>
        <w:rPr>
          <w:rFonts w:ascii="宋体" w:hAnsi="宋体"/>
        </w:rPr>
      </w:pPr>
      <w:r>
        <w:rPr>
          <w:rFonts w:hint="eastAsia" w:ascii="宋体" w:hAnsi="宋体"/>
        </w:rPr>
        <w:t>盐池县消防大队成立于1997年（前身为1983年成立的盐池县消防科）。2006年12月，盐池消防大队成立，结束了盐池县无消防救援力量的历史。2020年1月，盐池县消防大队正式挂牌更名为盐池县消防救援大队，下设一个中队，盐池县消防中队挂牌更名为盐池县消防救援大队花马池消防救援站。</w:t>
      </w:r>
    </w:p>
    <w:p>
      <w:pPr>
        <w:spacing w:before="190" w:after="190"/>
        <w:ind w:firstLine="0" w:firstLineChars="0"/>
        <w:jc w:val="center"/>
        <w:rPr>
          <w:rFonts w:hint="eastAsia" w:ascii="仿宋" w:hAnsi="仿宋" w:eastAsia="仿宋"/>
          <w:sz w:val="24"/>
        </w:rPr>
      </w:pPr>
      <w:r>
        <w:drawing>
          <wp:inline distT="0" distB="0" distL="114300" distR="114300">
            <wp:extent cx="2531745" cy="1871980"/>
            <wp:effectExtent l="0" t="0" r="1905" b="13970"/>
            <wp:docPr id="21" name="图片 1" descr="IMG_212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 descr="IMG_2120.JPG"/>
                    <pic:cNvPicPr>
                      <a:picLocks noChangeAspect="true"/>
                    </pic:cNvPicPr>
                  </pic:nvPicPr>
                  <pic:blipFill>
                    <a:blip r:embed="rId16"/>
                    <a:srcRect t="7092"/>
                    <a:stretch>
                      <a:fillRect/>
                    </a:stretch>
                  </pic:blipFill>
                  <pic:spPr>
                    <a:xfrm>
                      <a:off x="0" y="0"/>
                      <a:ext cx="2531745" cy="1871980"/>
                    </a:xfrm>
                    <a:prstGeom prst="rect">
                      <a:avLst/>
                    </a:prstGeom>
                    <a:noFill/>
                    <a:ln>
                      <a:noFill/>
                    </a:ln>
                  </pic:spPr>
                </pic:pic>
              </a:graphicData>
            </a:graphic>
          </wp:inline>
        </w:drawing>
      </w:r>
      <w:r>
        <w:rPr>
          <w:rFonts w:hint="eastAsia" w:ascii="仿宋" w:hAnsi="仿宋" w:eastAsia="仿宋"/>
          <w:sz w:val="24"/>
        </w:rPr>
        <w:t xml:space="preserve"> </w:t>
      </w:r>
      <w:r>
        <w:rPr>
          <w:rFonts w:ascii="宋体" w:hAnsi="宋体"/>
        </w:rPr>
        <w:drawing>
          <wp:inline distT="0" distB="0" distL="114300" distR="114300">
            <wp:extent cx="2531745" cy="1871980"/>
            <wp:effectExtent l="0" t="0" r="1905" b="13970"/>
            <wp:docPr id="2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true"/>
                    </pic:cNvPicPr>
                  </pic:nvPicPr>
                  <pic:blipFill>
                    <a:blip r:embed="rId17"/>
                    <a:stretch>
                      <a:fillRect/>
                    </a:stretch>
                  </pic:blipFill>
                  <pic:spPr>
                    <a:xfrm>
                      <a:off x="0" y="0"/>
                      <a:ext cx="2531745" cy="1871980"/>
                    </a:xfrm>
                    <a:prstGeom prst="rect">
                      <a:avLst/>
                    </a:prstGeom>
                    <a:noFill/>
                    <a:ln>
                      <a:noFill/>
                    </a:ln>
                  </pic:spPr>
                </pic:pic>
              </a:graphicData>
            </a:graphic>
          </wp:inline>
        </w:drawing>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盐池县消防救援大队花马池消防救援站基本情况表</w:t>
      </w:r>
    </w:p>
    <w:tbl>
      <w:tblPr>
        <w:tblStyle w:val="10"/>
        <w:tblW w:w="4828"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Layout w:type="autofit"/>
        <w:tblCellMar>
          <w:top w:w="0" w:type="dxa"/>
          <w:left w:w="108" w:type="dxa"/>
          <w:bottom w:w="0" w:type="dxa"/>
          <w:right w:w="108" w:type="dxa"/>
        </w:tblCellMar>
      </w:tblPr>
      <w:tblGrid>
        <w:gridCol w:w="735"/>
        <w:gridCol w:w="4310"/>
        <w:gridCol w:w="3190"/>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blHeader/>
          <w:jc w:val="center"/>
        </w:trPr>
        <w:tc>
          <w:tcPr>
            <w:tcW w:w="3063" w:type="pct"/>
            <w:gridSpan w:val="2"/>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消防</w:t>
            </w:r>
            <w:r>
              <w:rPr>
                <w:rFonts w:hint="eastAsia" w:ascii="仿宋" w:hAnsi="仿宋" w:eastAsia="仿宋"/>
                <w:b/>
                <w:sz w:val="24"/>
              </w:rPr>
              <w:t>队</w:t>
            </w:r>
            <w:r>
              <w:rPr>
                <w:rFonts w:ascii="仿宋" w:hAnsi="仿宋" w:eastAsia="仿宋"/>
                <w:b/>
                <w:sz w:val="24"/>
              </w:rPr>
              <w:t>名称</w:t>
            </w:r>
          </w:p>
        </w:tc>
        <w:tc>
          <w:tcPr>
            <w:tcW w:w="193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hint="eastAsia" w:ascii="仿宋" w:hAnsi="仿宋" w:eastAsia="仿宋"/>
                <w:b/>
                <w:sz w:val="24"/>
              </w:rPr>
              <w:t>花马池消防救援站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3063"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位置</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花马池西街</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3063"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类别</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二级普通消防站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3063"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辖区面积（</w:t>
            </w:r>
            <w:r>
              <w:rPr>
                <w:rFonts w:hint="eastAsia" w:ascii="仿宋" w:hAnsi="仿宋" w:eastAsia="仿宋"/>
                <w:sz w:val="24"/>
              </w:rPr>
              <w:t>平方公里</w:t>
            </w:r>
            <w:r>
              <w:rPr>
                <w:rFonts w:ascii="仿宋" w:hAnsi="仿宋" w:eastAsia="仿宋"/>
                <w:sz w:val="24"/>
              </w:rPr>
              <w:t>）</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8522.20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3063"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占地面积（</w:t>
            </w:r>
            <w:r>
              <w:rPr>
                <w:rFonts w:hint="eastAsia" w:ascii="仿宋" w:hAnsi="仿宋" w:eastAsia="仿宋"/>
                <w:sz w:val="24"/>
              </w:rPr>
              <w:t>平方米</w:t>
            </w:r>
            <w:r>
              <w:rPr>
                <w:rFonts w:ascii="仿宋" w:hAnsi="仿宋" w:eastAsia="仿宋"/>
                <w:sz w:val="24"/>
              </w:rPr>
              <w:t>）</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6642.30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3063"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建筑面积（</w:t>
            </w:r>
            <w:r>
              <w:rPr>
                <w:rFonts w:hint="eastAsia" w:ascii="仿宋" w:hAnsi="仿宋" w:eastAsia="仿宋"/>
                <w:sz w:val="24"/>
              </w:rPr>
              <w:t>平方米</w:t>
            </w:r>
            <w:r>
              <w:rPr>
                <w:rFonts w:ascii="仿宋" w:hAnsi="仿宋" w:eastAsia="仿宋"/>
                <w:sz w:val="24"/>
              </w:rPr>
              <w:t>）</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2750.48</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446" w:type="pct"/>
            <w:vMerge w:val="restar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人员</w:t>
            </w:r>
          </w:p>
        </w:tc>
        <w:tc>
          <w:tcPr>
            <w:tcW w:w="261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编制（人）</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32</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446"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261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实际（人）</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446" w:type="pct"/>
            <w:vMerge w:val="restar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消</w:t>
            </w:r>
          </w:p>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防</w:t>
            </w:r>
          </w:p>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车</w:t>
            </w:r>
          </w:p>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辆</w:t>
            </w:r>
          </w:p>
        </w:tc>
        <w:tc>
          <w:tcPr>
            <w:tcW w:w="261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消防</w:t>
            </w:r>
            <w:r>
              <w:rPr>
                <w:rFonts w:ascii="仿宋" w:hAnsi="仿宋" w:eastAsia="仿宋"/>
                <w:sz w:val="24"/>
              </w:rPr>
              <w:t>车数量</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446"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261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登高平台车（3</w:t>
            </w:r>
            <w:r>
              <w:rPr>
                <w:rFonts w:ascii="仿宋" w:hAnsi="仿宋" w:eastAsia="仿宋"/>
                <w:sz w:val="24"/>
              </w:rPr>
              <w:t>2米</w:t>
            </w:r>
            <w:r>
              <w:rPr>
                <w:rFonts w:hint="eastAsia" w:ascii="仿宋" w:hAnsi="仿宋" w:eastAsia="仿宋"/>
                <w:sz w:val="24"/>
              </w:rPr>
              <w:t>）</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446"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261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水罐消防车</w:t>
            </w:r>
            <w:r>
              <w:rPr>
                <w:rFonts w:hint="eastAsia" w:ascii="仿宋" w:hAnsi="仿宋" w:eastAsia="仿宋"/>
                <w:sz w:val="24"/>
              </w:rPr>
              <w:t>（8吨+</w:t>
            </w:r>
            <w:r>
              <w:rPr>
                <w:rFonts w:ascii="仿宋" w:hAnsi="仿宋" w:eastAsia="仿宋"/>
                <w:sz w:val="24"/>
              </w:rPr>
              <w:t>12吨</w:t>
            </w:r>
            <w:r>
              <w:rPr>
                <w:rFonts w:hint="eastAsia" w:ascii="仿宋" w:hAnsi="仿宋" w:eastAsia="仿宋"/>
                <w:sz w:val="24"/>
              </w:rPr>
              <w:t>）</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446"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261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抢险救援车</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446"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261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举高喷射消防车（2</w:t>
            </w:r>
            <w:r>
              <w:rPr>
                <w:rFonts w:ascii="仿宋" w:hAnsi="仿宋" w:eastAsia="仿宋"/>
                <w:sz w:val="24"/>
              </w:rPr>
              <w:t>5米</w:t>
            </w:r>
            <w:r>
              <w:rPr>
                <w:rFonts w:hint="eastAsia" w:ascii="仿宋" w:hAnsi="仿宋" w:eastAsia="仿宋"/>
                <w:sz w:val="24"/>
              </w:rPr>
              <w:t>、8吨+2吨泡沫）</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446"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261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泡沫水罐车（</w:t>
            </w:r>
            <w:r>
              <w:rPr>
                <w:rFonts w:ascii="仿宋" w:hAnsi="仿宋" w:eastAsia="仿宋"/>
                <w:sz w:val="24"/>
              </w:rPr>
              <w:t>6</w:t>
            </w:r>
            <w:r>
              <w:rPr>
                <w:rFonts w:hint="eastAsia" w:ascii="仿宋" w:hAnsi="仿宋" w:eastAsia="仿宋"/>
                <w:sz w:val="24"/>
              </w:rPr>
              <w:t>吨+2吨泡沫）</w:t>
            </w:r>
          </w:p>
        </w:tc>
        <w:tc>
          <w:tcPr>
            <w:tcW w:w="193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44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备注</w:t>
            </w:r>
          </w:p>
        </w:tc>
        <w:tc>
          <w:tcPr>
            <w:tcW w:w="4554"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bl>
    <w:p>
      <w:pPr>
        <w:spacing w:before="190" w:after="190"/>
        <w:ind w:firstLine="562"/>
        <w:rPr>
          <w:rFonts w:ascii="宋体" w:hAnsi="宋体"/>
          <w:b/>
        </w:rPr>
      </w:pPr>
      <w:r>
        <w:rPr>
          <w:rFonts w:hint="eastAsia" w:ascii="宋体" w:hAnsi="宋体"/>
          <w:b/>
        </w:rPr>
        <w:t>（2）政府专职消防队</w:t>
      </w:r>
    </w:p>
    <w:p>
      <w:pPr>
        <w:spacing w:before="190" w:after="190"/>
        <w:ind w:firstLine="560"/>
        <w:rPr>
          <w:rFonts w:ascii="宋体" w:hAnsi="宋体"/>
        </w:rPr>
      </w:pPr>
      <w:r>
        <w:rPr>
          <w:rFonts w:hint="eastAsia" w:ascii="宋体" w:hAnsi="宋体"/>
        </w:rPr>
        <w:t>盐池县现有三支政府专职消防队，分别为盐池县工业园区消防一站、盐池县工业园区消防二站、东顺路政府专职消防队。</w:t>
      </w:r>
    </w:p>
    <w:p>
      <w:pPr>
        <w:spacing w:before="190" w:after="190"/>
        <w:ind w:firstLine="560"/>
        <w:rPr>
          <w:rFonts w:ascii="宋体" w:hAnsi="宋体"/>
        </w:rPr>
      </w:pPr>
      <w:r>
        <w:rPr>
          <w:rFonts w:hint="eastAsia" w:ascii="宋体" w:hAnsi="宋体"/>
        </w:rPr>
        <w:t>盐池县工业园区消防一站（东顺路政府专职消防救援站）。位于县城工业园区，距离金裕海化工直线距离1公里，2020年10月成立，实现大中队一体化，现有消防队员8人，其中现役消防员2人，配备3台消防车辆，分别为5吨水罐车、23吨水罐车、23吨泡沫消防车（21吨水+2吨泡沫）。</w:t>
      </w:r>
    </w:p>
    <w:p>
      <w:pPr>
        <w:spacing w:before="190" w:after="190"/>
        <w:ind w:firstLine="560"/>
        <w:rPr>
          <w:rFonts w:ascii="宋体" w:hAnsi="宋体"/>
        </w:rPr>
      </w:pPr>
      <w:r>
        <w:rPr>
          <w:rFonts w:hint="eastAsia" w:ascii="宋体" w:hAnsi="宋体"/>
        </w:rPr>
        <w:t>盐池县工业园区消防二站（高沙窝政府专职消防救援站）。位于高沙窝工业园区，盐池县政府于2017年投资建设，2020年10月14日，盐池县政府正式移交县消防救援大队，并更名盐池县高沙窝政府专职消防救援站；现有消防队员</w:t>
      </w:r>
      <w:r>
        <w:rPr>
          <w:rFonts w:ascii="宋体" w:hAnsi="宋体"/>
        </w:rPr>
        <w:t>12</w:t>
      </w:r>
      <w:r>
        <w:rPr>
          <w:rFonts w:hint="eastAsia" w:ascii="宋体" w:hAnsi="宋体"/>
        </w:rPr>
        <w:t>人，其中现役消防员3人，配备</w:t>
      </w:r>
      <w:r>
        <w:rPr>
          <w:rFonts w:ascii="宋体" w:hAnsi="宋体"/>
        </w:rPr>
        <w:t>5</w:t>
      </w:r>
      <w:r>
        <w:rPr>
          <w:rFonts w:hint="eastAsia" w:ascii="宋体" w:hAnsi="宋体"/>
        </w:rPr>
        <w:t>台消防车辆，分别为23吨水罐车、8吨水罐车、23吨泡沫车（20 吨水+3吨泡沫）、抢险救援车、压缩空气泡沫水罐车（5吨水+2.4吨泡沫），各类装备器材736件套。</w:t>
      </w:r>
    </w:p>
    <w:p>
      <w:pPr>
        <w:spacing w:before="190" w:after="190"/>
        <w:ind w:firstLine="562"/>
        <w:rPr>
          <w:rFonts w:ascii="宋体" w:hAnsi="宋体"/>
          <w:b/>
        </w:rPr>
      </w:pPr>
      <w:r>
        <w:rPr>
          <w:rFonts w:hint="eastAsia" w:ascii="宋体" w:hAnsi="宋体"/>
          <w:b/>
        </w:rPr>
        <w:t>（3）企业消防队</w:t>
      </w:r>
    </w:p>
    <w:p>
      <w:pPr>
        <w:spacing w:before="190" w:after="190"/>
        <w:ind w:firstLine="560"/>
        <w:rPr>
          <w:rFonts w:ascii="宋体" w:hAnsi="宋体"/>
        </w:rPr>
      </w:pPr>
      <w:r>
        <w:rPr>
          <w:rFonts w:hint="eastAsia" w:ascii="宋体" w:hAnsi="宋体"/>
        </w:rPr>
        <w:t>盐池县现有企业消防队5支，分别为采油三厂大水坑消防中队、采油三厂惠安堡消防中队、采油五厂麻黄山消防中队、宁夏宁鲁石化企业消防队、宁夏金裕海化工有限公司消防队，各消防队人员和车辆配置如下</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 xml:space="preserve">  盐池县企业消防队基本情况表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643"/>
        <w:gridCol w:w="3227"/>
        <w:gridCol w:w="1375"/>
        <w:gridCol w:w="1530"/>
        <w:gridCol w:w="1753"/>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7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序号</w:t>
            </w:r>
          </w:p>
        </w:tc>
        <w:tc>
          <w:tcPr>
            <w:tcW w:w="189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队伍名称</w:t>
            </w:r>
          </w:p>
        </w:tc>
        <w:tc>
          <w:tcPr>
            <w:tcW w:w="806"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人员（人）</w:t>
            </w:r>
          </w:p>
        </w:tc>
        <w:tc>
          <w:tcPr>
            <w:tcW w:w="89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消防车（辆）</w:t>
            </w:r>
          </w:p>
        </w:tc>
        <w:tc>
          <w:tcPr>
            <w:tcW w:w="1028"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hint="eastAsia" w:ascii="仿宋" w:hAnsi="仿宋" w:eastAsia="仿宋"/>
                <w:b/>
                <w:sz w:val="24"/>
              </w:rPr>
              <w:t>库存泡沫（吨）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w:t>
            </w:r>
          </w:p>
        </w:tc>
        <w:tc>
          <w:tcPr>
            <w:tcW w:w="189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采油三厂大水坑消防中队</w:t>
            </w:r>
          </w:p>
        </w:tc>
        <w:tc>
          <w:tcPr>
            <w:tcW w:w="80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8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102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4.2</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w:t>
            </w:r>
          </w:p>
        </w:tc>
        <w:tc>
          <w:tcPr>
            <w:tcW w:w="189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采油三厂惠安堡消防中队</w:t>
            </w:r>
          </w:p>
        </w:tc>
        <w:tc>
          <w:tcPr>
            <w:tcW w:w="80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w:t>
            </w:r>
          </w:p>
        </w:tc>
        <w:tc>
          <w:tcPr>
            <w:tcW w:w="8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102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w:t>
            </w:r>
          </w:p>
        </w:tc>
        <w:tc>
          <w:tcPr>
            <w:tcW w:w="189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采油五厂麻黄山消防中队</w:t>
            </w:r>
          </w:p>
        </w:tc>
        <w:tc>
          <w:tcPr>
            <w:tcW w:w="80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8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w:t>
            </w:r>
          </w:p>
        </w:tc>
        <w:tc>
          <w:tcPr>
            <w:tcW w:w="102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4</w:t>
            </w:r>
          </w:p>
        </w:tc>
        <w:tc>
          <w:tcPr>
            <w:tcW w:w="189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宁夏宁鲁石化企业消防队</w:t>
            </w:r>
          </w:p>
        </w:tc>
        <w:tc>
          <w:tcPr>
            <w:tcW w:w="80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34</w:t>
            </w:r>
          </w:p>
        </w:tc>
        <w:tc>
          <w:tcPr>
            <w:tcW w:w="8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102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13</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189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宁夏金裕海化工有限公司消防队</w:t>
            </w:r>
          </w:p>
        </w:tc>
        <w:tc>
          <w:tcPr>
            <w:tcW w:w="80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14</w:t>
            </w:r>
          </w:p>
        </w:tc>
        <w:tc>
          <w:tcPr>
            <w:tcW w:w="89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102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w:t>
            </w:r>
          </w:p>
        </w:tc>
      </w:tr>
    </w:tbl>
    <w:p>
      <w:pPr>
        <w:spacing w:before="190" w:after="190"/>
        <w:ind w:firstLine="562"/>
        <w:rPr>
          <w:b/>
        </w:rPr>
      </w:pPr>
      <w:r>
        <w:rPr>
          <w:rFonts w:hint="eastAsia"/>
          <w:b/>
        </w:rPr>
        <w:t>（4）乡镇志愿消防队</w:t>
      </w:r>
    </w:p>
    <w:p>
      <w:pPr>
        <w:spacing w:before="190" w:after="190"/>
        <w:ind w:firstLine="560"/>
      </w:pPr>
      <w:r>
        <w:rPr>
          <w:rFonts w:hint="eastAsia"/>
        </w:rPr>
        <w:t>盐</w:t>
      </w:r>
      <w:r>
        <w:rPr>
          <w:rFonts w:hint="eastAsia" w:ascii="宋体" w:hAnsi="宋体"/>
        </w:rPr>
        <w:t>池县乡镇志愿消防队共4支，分别为大水坑镇乡镇志愿消防队、冯记沟乡镇志愿消防队、惠安堡镇乡镇志愿消防队、高沙窝镇乡镇志愿消防队。分别位于大水坑、冯记沟、惠安堡、高沙窝四个乡镇派出所内，每个乡镇志愿消防队均配备1辆3吨水罐车、兼职队员3名。</w:t>
      </w:r>
    </w:p>
    <w:p>
      <w:pPr>
        <w:pStyle w:val="4"/>
        <w:spacing w:before="0" w:beforeLines="0" w:after="0" w:afterLines="0" w:line="240" w:lineRule="auto"/>
        <w:rPr>
          <w:rFonts w:ascii="宋体" w:hAnsi="宋体"/>
          <w:szCs w:val="30"/>
        </w:rPr>
      </w:pPr>
      <w:bookmarkStart w:id="116" w:name="_Toc21486"/>
      <w:bookmarkStart w:id="117" w:name="_Toc3614"/>
      <w:bookmarkStart w:id="118" w:name="_Toc30892"/>
      <w:bookmarkStart w:id="119" w:name="_Toc59386273"/>
      <w:r>
        <w:rPr>
          <w:rFonts w:hint="eastAsia" w:ascii="宋体" w:hAnsi="宋体"/>
          <w:szCs w:val="30"/>
        </w:rPr>
        <w:t>1.2.2火灾情况</w:t>
      </w:r>
      <w:bookmarkEnd w:id="116"/>
      <w:bookmarkEnd w:id="117"/>
      <w:bookmarkEnd w:id="118"/>
      <w:bookmarkEnd w:id="119"/>
    </w:p>
    <w:p>
      <w:pPr>
        <w:spacing w:before="190" w:after="190"/>
        <w:ind w:firstLine="560"/>
        <w:rPr>
          <w:rFonts w:ascii="宋体" w:hAnsi="宋体"/>
        </w:rPr>
      </w:pPr>
      <w:r>
        <w:t>2</w:t>
      </w:r>
      <w:r>
        <w:rPr>
          <w:rFonts w:ascii="宋体" w:hAnsi="宋体"/>
        </w:rPr>
        <w:t>010年1月1日至2020年9月11日，盐池县消防救援大队花马池站，有记录的接警出动共2203 起，出动车辆 3107 辆次，出动警力 20998 人次，抢救被困人员 297 人，疏散被困人员 1034 人，抢救财产价值 24712.20 万元</w:t>
      </w:r>
      <w:r>
        <w:rPr>
          <w:rFonts w:hint="eastAsia" w:ascii="宋体" w:hAnsi="宋体"/>
        </w:rPr>
        <w:t>。</w:t>
      </w:r>
    </w:p>
    <w:p>
      <w:pPr>
        <w:spacing w:before="190" w:after="190"/>
        <w:ind w:firstLine="560"/>
        <w:rPr>
          <w:rFonts w:ascii="宋体" w:hAnsi="宋体"/>
        </w:rPr>
      </w:pPr>
      <w:r>
        <w:rPr>
          <w:rFonts w:hint="eastAsia" w:ascii="宋体" w:hAnsi="宋体"/>
        </w:rPr>
        <w:t>发生火灾的原因主要有：生活用火不慎(包括烧荒、野外生火不慎、敬神祭祖等)、电气线路故障、燃放烟花爆竹、乱扔烟头火柴以及焊割、烘烤、机械设备类故障等。</w:t>
      </w:r>
    </w:p>
    <w:p>
      <w:pPr>
        <w:spacing w:before="190" w:after="190"/>
        <w:ind w:firstLine="560"/>
        <w:rPr>
          <w:rFonts w:ascii="宋体" w:hAnsi="宋体"/>
        </w:rPr>
      </w:pPr>
      <w:r>
        <w:rPr>
          <w:rFonts w:hint="eastAsia" w:ascii="宋体" w:hAnsi="宋体"/>
        </w:rPr>
        <w:t>从发生火灾的原因来看，居民的消防意识淡薄，缺乏用火、防火常识和灭火技能，对灾害的自防自救知识以及消防法制观念不足；相关单位的管理人员消防安全意识淡漠，火灾防范措施不到位，货物混乱堆放，未按电气安装、使用规定进行操作，导致火灾频发。</w:t>
      </w:r>
    </w:p>
    <w:p>
      <w:pPr>
        <w:spacing w:before="190" w:after="190"/>
        <w:ind w:firstLine="0" w:firstLineChars="0"/>
      </w:pPr>
      <w:r>
        <w:drawing>
          <wp:inline distT="0" distB="0" distL="114300" distR="114300">
            <wp:extent cx="2589530" cy="1871980"/>
            <wp:effectExtent l="0" t="0" r="1270" b="13970"/>
            <wp:docPr id="23" name="图片 3" descr="G:\规划项目\2020项目\消防规划\盐池消防规划\二次资料收集\消防宣传\依靠.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3" descr="G:\规划项目\2020项目\消防规划\盐池消防规划\二次资料收集\消防宣传\依靠.JPG"/>
                    <pic:cNvPicPr>
                      <a:picLocks noChangeAspect="true"/>
                    </pic:cNvPicPr>
                  </pic:nvPicPr>
                  <pic:blipFill>
                    <a:blip r:embed="rId18"/>
                    <a:stretch>
                      <a:fillRect/>
                    </a:stretch>
                  </pic:blipFill>
                  <pic:spPr>
                    <a:xfrm>
                      <a:off x="0" y="0"/>
                      <a:ext cx="2589530" cy="1871980"/>
                    </a:xfrm>
                    <a:prstGeom prst="rect">
                      <a:avLst/>
                    </a:prstGeom>
                    <a:noFill/>
                    <a:ln>
                      <a:noFill/>
                    </a:ln>
                  </pic:spPr>
                </pic:pic>
              </a:graphicData>
            </a:graphic>
          </wp:inline>
        </w:drawing>
      </w:r>
      <w:r>
        <w:rPr>
          <w:rFonts w:hint="eastAsia"/>
        </w:rPr>
        <w:t xml:space="preserve"> </w:t>
      </w:r>
      <w:r>
        <w:drawing>
          <wp:inline distT="0" distB="0" distL="114300" distR="114300">
            <wp:extent cx="2496185" cy="1871980"/>
            <wp:effectExtent l="0" t="0" r="18415" b="13970"/>
            <wp:docPr id="24" name="图片 4" descr="G:\规划项目\2020项目\消防规划\盐池消防规划\二次资料收集\消防宣传\dea85c575c1053bd77fff45a8a688c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4" descr="G:\规划项目\2020项目\消防规划\盐池消防规划\二次资料收集\消防宣传\dea85c575c1053bd77fff45a8a688c3.jpg"/>
                    <pic:cNvPicPr>
                      <a:picLocks noChangeAspect="true"/>
                    </pic:cNvPicPr>
                  </pic:nvPicPr>
                  <pic:blipFill>
                    <a:blip r:embed="rId19"/>
                    <a:stretch>
                      <a:fillRect/>
                    </a:stretch>
                  </pic:blipFill>
                  <pic:spPr>
                    <a:xfrm>
                      <a:off x="0" y="0"/>
                      <a:ext cx="2496185" cy="1871980"/>
                    </a:xfrm>
                    <a:prstGeom prst="rect">
                      <a:avLst/>
                    </a:prstGeom>
                    <a:noFill/>
                    <a:ln>
                      <a:noFill/>
                    </a:ln>
                  </pic:spPr>
                </pic:pic>
              </a:graphicData>
            </a:graphic>
          </wp:inline>
        </w:drawing>
      </w:r>
    </w:p>
    <w:p>
      <w:pPr>
        <w:pStyle w:val="4"/>
        <w:spacing w:before="0" w:beforeLines="0" w:after="0" w:afterLines="0" w:line="240" w:lineRule="auto"/>
        <w:rPr>
          <w:rFonts w:ascii="宋体" w:hAnsi="宋体"/>
          <w:szCs w:val="30"/>
        </w:rPr>
      </w:pPr>
      <w:bookmarkStart w:id="120" w:name="_Toc21466"/>
      <w:bookmarkStart w:id="121" w:name="_Toc27094"/>
      <w:bookmarkStart w:id="122" w:name="_Toc27003"/>
      <w:bookmarkStart w:id="123" w:name="_Toc59386274"/>
      <w:r>
        <w:rPr>
          <w:rFonts w:hint="eastAsia" w:ascii="宋体" w:hAnsi="宋体"/>
          <w:szCs w:val="30"/>
        </w:rPr>
        <w:t>1.2.3存在问题</w:t>
      </w:r>
      <w:bookmarkEnd w:id="120"/>
      <w:bookmarkEnd w:id="121"/>
      <w:bookmarkEnd w:id="122"/>
      <w:bookmarkEnd w:id="123"/>
    </w:p>
    <w:p>
      <w:pPr>
        <w:spacing w:before="190" w:after="190"/>
        <w:ind w:firstLine="560"/>
        <w:rPr>
          <w:rFonts w:ascii="宋体" w:hAnsi="宋体"/>
        </w:rPr>
      </w:pPr>
      <w:r>
        <w:rPr>
          <w:rFonts w:hint="eastAsia" w:ascii="宋体" w:hAnsi="宋体"/>
        </w:rPr>
        <w:t>1、目前盐池县城仅有一座消防站（花马池消防站），担负着现状城市建成区13.2平方公里（不含城市东侧工业园区）责任区的火灾扑救和抢险救援任务，远远超过《消防站建设标准》规定的责任区不宜大于7平方公里的规定，而且现状消防站位于县城的西部偏北，难以满足接到出动指令后5分钟内到达辖区边缘的要求。</w:t>
      </w:r>
    </w:p>
    <w:p>
      <w:pPr>
        <w:spacing w:before="190" w:after="190"/>
        <w:ind w:firstLine="560"/>
        <w:rPr>
          <w:rFonts w:ascii="宋体" w:hAnsi="宋体"/>
        </w:rPr>
      </w:pPr>
      <w:r>
        <w:rPr>
          <w:rFonts w:hint="eastAsia" w:ascii="宋体" w:hAnsi="宋体"/>
        </w:rPr>
        <w:t>2、花马池消防站为二级普通消防站，装备器材不完善，随着城市化工企业等易燃易爆单位逐渐增加，消防站现有1辆泡沫车无法满足扑救企业类火灾的需求，缺少一级普通消防站应该配备的特种消防车辆，且欠缺训练场地，无法开展必要的专业技能训练。</w:t>
      </w:r>
    </w:p>
    <w:p>
      <w:pPr>
        <w:spacing w:before="190" w:after="190"/>
        <w:ind w:firstLine="560"/>
        <w:rPr>
          <w:rFonts w:ascii="宋体" w:hAnsi="宋体"/>
        </w:rPr>
      </w:pPr>
      <w:r>
        <w:rPr>
          <w:rFonts w:hint="eastAsia" w:ascii="宋体" w:hAnsi="宋体"/>
        </w:rPr>
        <w:t>3、企业消防队、政府专职消防队、乡镇志愿消防队装备及人员建设重视程度不够，消防车辆、装备器材种类和数量较少，部分装备老化；消防队人员配备不足、素质参差不齐，缺乏必要的训练设施，灭火救援业务训练、队伍管理急待加强，部分生产规模大、火灾危险性大的消防安全重点单位应设而未设企业专职消防队，不能满足企业内部较大规模的火灾扑救需要。</w:t>
      </w:r>
    </w:p>
    <w:p>
      <w:pPr>
        <w:pStyle w:val="3"/>
        <w:spacing w:before="190" w:after="190"/>
        <w:rPr>
          <w:rFonts w:ascii="宋体" w:hAnsi="宋体"/>
          <w:szCs w:val="32"/>
        </w:rPr>
      </w:pPr>
      <w:bookmarkStart w:id="124" w:name="_Toc19034"/>
      <w:bookmarkStart w:id="125" w:name="_Toc13133"/>
      <w:bookmarkStart w:id="126" w:name="_Toc8765"/>
      <w:r>
        <w:rPr>
          <w:rFonts w:hint="eastAsia" w:ascii="宋体" w:hAnsi="宋体"/>
          <w:szCs w:val="32"/>
        </w:rPr>
        <w:t>1.3消防安全布局现状</w:t>
      </w:r>
      <w:bookmarkEnd w:id="124"/>
      <w:bookmarkEnd w:id="125"/>
      <w:bookmarkEnd w:id="126"/>
    </w:p>
    <w:p>
      <w:pPr>
        <w:pStyle w:val="4"/>
        <w:spacing w:before="0" w:beforeLines="0" w:after="0" w:afterLines="0" w:line="240" w:lineRule="auto"/>
        <w:rPr>
          <w:rFonts w:ascii="宋体" w:hAnsi="宋体"/>
          <w:szCs w:val="30"/>
        </w:rPr>
      </w:pPr>
      <w:bookmarkStart w:id="127" w:name="_Toc8821"/>
      <w:bookmarkStart w:id="128" w:name="_Toc59386276"/>
      <w:bookmarkStart w:id="129" w:name="_Toc32389"/>
      <w:bookmarkStart w:id="130" w:name="_Toc16402"/>
      <w:r>
        <w:rPr>
          <w:rFonts w:hint="eastAsia" w:ascii="宋体" w:hAnsi="宋体"/>
          <w:szCs w:val="30"/>
        </w:rPr>
        <w:t>1.3.1消防安全重点单位</w:t>
      </w:r>
      <w:bookmarkEnd w:id="127"/>
      <w:bookmarkEnd w:id="128"/>
      <w:bookmarkEnd w:id="129"/>
      <w:bookmarkEnd w:id="130"/>
    </w:p>
    <w:p>
      <w:pPr>
        <w:spacing w:before="190" w:after="190"/>
        <w:ind w:firstLine="560"/>
      </w:pPr>
      <w:r>
        <w:rPr>
          <w:rFonts w:hint="eastAsia"/>
        </w:rPr>
        <w:t>盐池县现有消防重点单位77家。</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盐池县消防重点单位基本表</w:t>
      </w:r>
    </w:p>
    <w:tbl>
      <w:tblPr>
        <w:tblStyle w:val="10"/>
        <w:tblW w:w="4998"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2047"/>
        <w:gridCol w:w="860"/>
        <w:gridCol w:w="4487"/>
        <w:gridCol w:w="1131"/>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200"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名称</w:t>
            </w:r>
          </w:p>
        </w:tc>
        <w:tc>
          <w:tcPr>
            <w:tcW w:w="504"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数量</w:t>
            </w:r>
          </w:p>
        </w:tc>
        <w:tc>
          <w:tcPr>
            <w:tcW w:w="2631"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名称</w:t>
            </w:r>
          </w:p>
        </w:tc>
        <w:tc>
          <w:tcPr>
            <w:tcW w:w="663"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数量</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20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行政机构单位</w:t>
            </w:r>
          </w:p>
        </w:tc>
        <w:tc>
          <w:tcPr>
            <w:tcW w:w="50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26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学校</w:t>
            </w:r>
          </w:p>
        </w:tc>
        <w:tc>
          <w:tcPr>
            <w:tcW w:w="663"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20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养老院</w:t>
            </w:r>
          </w:p>
        </w:tc>
        <w:tc>
          <w:tcPr>
            <w:tcW w:w="50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w:t>
            </w:r>
          </w:p>
        </w:tc>
        <w:tc>
          <w:tcPr>
            <w:tcW w:w="26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商场（市场）</w:t>
            </w:r>
          </w:p>
        </w:tc>
        <w:tc>
          <w:tcPr>
            <w:tcW w:w="663"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20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宾馆（饭店）</w:t>
            </w:r>
          </w:p>
        </w:tc>
        <w:tc>
          <w:tcPr>
            <w:tcW w:w="50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26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公共图书馆、展览馆、博物馆、档案馆</w:t>
            </w:r>
          </w:p>
        </w:tc>
        <w:tc>
          <w:tcPr>
            <w:tcW w:w="663"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20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公共娱乐场所</w:t>
            </w:r>
          </w:p>
        </w:tc>
        <w:tc>
          <w:tcPr>
            <w:tcW w:w="50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12</w:t>
            </w:r>
          </w:p>
        </w:tc>
        <w:tc>
          <w:tcPr>
            <w:tcW w:w="26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易燃易爆</w:t>
            </w:r>
            <w:r>
              <w:rPr>
                <w:rFonts w:hint="eastAsia" w:ascii="仿宋" w:hAnsi="仿宋" w:eastAsia="仿宋"/>
                <w:sz w:val="24"/>
              </w:rPr>
              <w:t>危险</w:t>
            </w:r>
            <w:r>
              <w:rPr>
                <w:rFonts w:ascii="仿宋" w:hAnsi="仿宋" w:eastAsia="仿宋"/>
                <w:sz w:val="24"/>
              </w:rPr>
              <w:t>品</w:t>
            </w:r>
            <w:r>
              <w:rPr>
                <w:rFonts w:hint="eastAsia" w:ascii="仿宋" w:hAnsi="仿宋" w:eastAsia="仿宋"/>
                <w:sz w:val="24"/>
              </w:rPr>
              <w:t>生产、充装、储存、</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供应、销售</w:t>
            </w:r>
            <w:r>
              <w:rPr>
                <w:rFonts w:ascii="仿宋" w:hAnsi="仿宋" w:eastAsia="仿宋"/>
                <w:sz w:val="24"/>
              </w:rPr>
              <w:t>单位</w:t>
            </w:r>
          </w:p>
        </w:tc>
        <w:tc>
          <w:tcPr>
            <w:tcW w:w="663"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26</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20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体育场所</w:t>
            </w:r>
          </w:p>
        </w:tc>
        <w:tc>
          <w:tcPr>
            <w:tcW w:w="50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26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劳动密集型生产、加工企业</w:t>
            </w:r>
          </w:p>
        </w:tc>
        <w:tc>
          <w:tcPr>
            <w:tcW w:w="663"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20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旅游活动场所</w:t>
            </w:r>
          </w:p>
        </w:tc>
        <w:tc>
          <w:tcPr>
            <w:tcW w:w="50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26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发电</w:t>
            </w:r>
            <w:r>
              <w:rPr>
                <w:rFonts w:hint="eastAsia" w:ascii="仿宋" w:hAnsi="仿宋" w:eastAsia="仿宋"/>
                <w:sz w:val="24"/>
              </w:rPr>
              <w:t>厂</w:t>
            </w:r>
          </w:p>
        </w:tc>
        <w:tc>
          <w:tcPr>
            <w:tcW w:w="663"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20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医院</w:t>
            </w:r>
          </w:p>
        </w:tc>
        <w:tc>
          <w:tcPr>
            <w:tcW w:w="50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26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其他</w:t>
            </w:r>
          </w:p>
        </w:tc>
        <w:tc>
          <w:tcPr>
            <w:tcW w:w="663"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20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合计</w:t>
            </w:r>
          </w:p>
        </w:tc>
        <w:tc>
          <w:tcPr>
            <w:tcW w:w="50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r>
              <w:rPr>
                <w:rFonts w:ascii="仿宋" w:hAnsi="仿宋" w:eastAsia="仿宋"/>
                <w:sz w:val="24"/>
              </w:rPr>
              <w:t>8</w:t>
            </w:r>
          </w:p>
        </w:tc>
        <w:tc>
          <w:tcPr>
            <w:tcW w:w="26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663"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49</w:t>
            </w:r>
          </w:p>
        </w:tc>
      </w:tr>
    </w:tbl>
    <w:p>
      <w:pPr>
        <w:pStyle w:val="4"/>
        <w:spacing w:before="0" w:beforeLines="0" w:after="0" w:afterLines="0" w:line="240" w:lineRule="auto"/>
        <w:rPr>
          <w:rFonts w:ascii="宋体" w:hAnsi="宋体"/>
          <w:szCs w:val="30"/>
        </w:rPr>
      </w:pPr>
      <w:bookmarkStart w:id="131" w:name="_Toc27267"/>
      <w:bookmarkStart w:id="132" w:name="_Toc12618"/>
      <w:bookmarkStart w:id="133" w:name="_Toc59386277"/>
      <w:bookmarkStart w:id="134" w:name="_Toc28446"/>
      <w:r>
        <w:rPr>
          <w:rFonts w:hint="eastAsia" w:ascii="宋体" w:hAnsi="宋体"/>
          <w:szCs w:val="30"/>
        </w:rPr>
        <w:t>1.3.2易燃易爆危险物品场所</w:t>
      </w:r>
      <w:bookmarkEnd w:id="131"/>
      <w:bookmarkEnd w:id="132"/>
      <w:bookmarkEnd w:id="133"/>
      <w:bookmarkEnd w:id="134"/>
    </w:p>
    <w:p>
      <w:pPr>
        <w:spacing w:before="190" w:after="190"/>
        <w:ind w:firstLine="560"/>
        <w:rPr>
          <w:rFonts w:ascii="宋体" w:hAnsi="宋体"/>
        </w:rPr>
      </w:pPr>
      <w:r>
        <w:rPr>
          <w:rFonts w:hint="eastAsia" w:ascii="宋体" w:hAnsi="宋体"/>
        </w:rPr>
        <w:t>全县现有生产、存储、经营易燃易爆场所71家，其中加油、加气站48家，生产、储存、销售企业23家，大部分位于县城、工业园区及各乡镇；其中：县城及工业园区分布有25家、高沙窝镇11家、惠安堡镇11家、大水坑镇8家、冯记沟乡3家、青山乡2家、麻黄山乡2家、王乐井乡1家，其余分布在公路沿线。</w:t>
      </w:r>
    </w:p>
    <w:p>
      <w:pPr>
        <w:spacing w:before="190" w:after="190"/>
        <w:ind w:firstLine="0" w:firstLineChars="0"/>
        <w:rPr>
          <w:rFonts w:hint="eastAsia" w:ascii="宋体" w:hAnsi="宋体"/>
        </w:rPr>
      </w:pPr>
      <w:r>
        <w:drawing>
          <wp:inline distT="0" distB="0" distL="114300" distR="114300">
            <wp:extent cx="2592070" cy="1871980"/>
            <wp:effectExtent l="0" t="0" r="17780" b="13970"/>
            <wp:docPr id="25" name="图片 5" descr="宁鲁石化.jpg"/>
            <wp:cNvGraphicFramePr/>
            <a:graphic xmlns:a="http://schemas.openxmlformats.org/drawingml/2006/main">
              <a:graphicData uri="http://schemas.openxmlformats.org/drawingml/2006/picture">
                <pic:pic xmlns:pic="http://schemas.openxmlformats.org/drawingml/2006/picture">
                  <pic:nvPicPr>
                    <pic:cNvPr id="25" name="图片 5" descr="宁鲁石化.jpg"/>
                    <pic:cNvPicPr/>
                  </pic:nvPicPr>
                  <pic:blipFill>
                    <a:blip r:embed="rId20"/>
                    <a:stretch>
                      <a:fillRect/>
                    </a:stretch>
                  </pic:blipFill>
                  <pic:spPr>
                    <a:xfrm>
                      <a:off x="0" y="0"/>
                      <a:ext cx="2592070" cy="1871980"/>
                    </a:xfrm>
                    <a:prstGeom prst="rect">
                      <a:avLst/>
                    </a:prstGeom>
                    <a:noFill/>
                    <a:ln>
                      <a:noFill/>
                    </a:ln>
                  </pic:spPr>
                </pic:pic>
              </a:graphicData>
            </a:graphic>
          </wp:inline>
        </w:drawing>
      </w:r>
      <w:r>
        <w:t xml:space="preserve"> </w:t>
      </w:r>
      <w:r>
        <w:drawing>
          <wp:inline distT="0" distB="0" distL="114300" distR="114300">
            <wp:extent cx="2592070" cy="1871980"/>
            <wp:effectExtent l="0" t="0" r="17780" b="13970"/>
            <wp:docPr id="26" name="图片 6"/>
            <wp:cNvGraphicFramePr/>
            <a:graphic xmlns:a="http://schemas.openxmlformats.org/drawingml/2006/main">
              <a:graphicData uri="http://schemas.openxmlformats.org/drawingml/2006/picture">
                <pic:pic xmlns:pic="http://schemas.openxmlformats.org/drawingml/2006/picture">
                  <pic:nvPicPr>
                    <pic:cNvPr id="26" name="图片 6"/>
                    <pic:cNvPicPr/>
                  </pic:nvPicPr>
                  <pic:blipFill>
                    <a:blip r:embed="rId21"/>
                    <a:stretch>
                      <a:fillRect/>
                    </a:stretch>
                  </pic:blipFill>
                  <pic:spPr>
                    <a:xfrm>
                      <a:off x="0" y="0"/>
                      <a:ext cx="2592070" cy="1871980"/>
                    </a:xfrm>
                    <a:prstGeom prst="rect">
                      <a:avLst/>
                    </a:prstGeom>
                    <a:noFill/>
                    <a:ln>
                      <a:noFill/>
                    </a:ln>
                  </pic:spPr>
                </pic:pic>
              </a:graphicData>
            </a:graphic>
          </wp:inline>
        </w:drawing>
      </w:r>
    </w:p>
    <w:p>
      <w:pPr>
        <w:spacing w:before="0" w:beforeLines="0" w:after="0" w:afterLines="0"/>
        <w:ind w:firstLine="0" w:firstLineChars="0"/>
        <w:jc w:val="center"/>
        <w:rPr>
          <w:rFonts w:ascii="仿宋" w:hAnsi="仿宋" w:eastAsia="仿宋"/>
          <w:b/>
          <w:bCs/>
          <w:sz w:val="24"/>
        </w:rPr>
      </w:pPr>
      <w:r>
        <w:rPr>
          <w:rFonts w:hint="eastAsia" w:ascii="仿宋" w:hAnsi="仿宋" w:eastAsia="仿宋"/>
          <w:sz w:val="24"/>
        </w:rPr>
        <w:t xml:space="preserve">  </w:t>
      </w:r>
      <w:r>
        <w:rPr>
          <w:rFonts w:hint="eastAsia" w:ascii="仿宋" w:hAnsi="仿宋" w:eastAsia="仿宋"/>
          <w:b/>
          <w:bCs/>
          <w:sz w:val="24"/>
        </w:rPr>
        <w:t>易燃易爆危险物品场所基本情况表</w:t>
      </w:r>
    </w:p>
    <w:tbl>
      <w:tblPr>
        <w:tblStyle w:val="10"/>
        <w:tblW w:w="5000"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681"/>
        <w:gridCol w:w="2483"/>
        <w:gridCol w:w="2006"/>
        <w:gridCol w:w="2481"/>
        <w:gridCol w:w="877"/>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trPr>
        <w:tc>
          <w:tcPr>
            <w:tcW w:w="399" w:type="pct"/>
            <w:shd w:val="clear" w:color="auto" w:fill="A8D08D"/>
            <w:noWrap w:val="0"/>
            <w:vAlign w:val="center"/>
          </w:tcPr>
          <w:p>
            <w:pPr>
              <w:spacing w:before="0" w:beforeLines="0" w:after="0" w:afterLines="0" w:line="240" w:lineRule="auto"/>
              <w:ind w:firstLine="0" w:firstLineChars="0"/>
              <w:jc w:val="center"/>
              <w:rPr>
                <w:rFonts w:ascii="仿宋" w:hAnsi="仿宋" w:eastAsia="仿宋"/>
                <w:b/>
                <w:kern w:val="20"/>
                <w:sz w:val="24"/>
              </w:rPr>
            </w:pPr>
            <w:r>
              <w:rPr>
                <w:rFonts w:ascii="仿宋" w:hAnsi="仿宋" w:eastAsia="仿宋"/>
                <w:b/>
                <w:kern w:val="20"/>
                <w:sz w:val="24"/>
              </w:rPr>
              <w:t>序号</w:t>
            </w:r>
          </w:p>
        </w:tc>
        <w:tc>
          <w:tcPr>
            <w:tcW w:w="1455" w:type="pct"/>
            <w:shd w:val="clear" w:color="auto" w:fill="A8D08D"/>
            <w:noWrap w:val="0"/>
            <w:vAlign w:val="center"/>
          </w:tcPr>
          <w:p>
            <w:pPr>
              <w:spacing w:before="0" w:beforeLines="0" w:after="0" w:afterLines="0" w:line="240" w:lineRule="auto"/>
              <w:ind w:firstLine="0" w:firstLineChars="0"/>
              <w:jc w:val="center"/>
              <w:rPr>
                <w:rFonts w:ascii="仿宋" w:hAnsi="仿宋" w:eastAsia="仿宋"/>
                <w:b/>
                <w:kern w:val="20"/>
                <w:sz w:val="24"/>
              </w:rPr>
            </w:pPr>
            <w:r>
              <w:rPr>
                <w:rFonts w:ascii="仿宋" w:hAnsi="仿宋" w:eastAsia="仿宋"/>
                <w:b/>
                <w:kern w:val="20"/>
                <w:sz w:val="24"/>
              </w:rPr>
              <w:t>名称</w:t>
            </w:r>
          </w:p>
        </w:tc>
        <w:tc>
          <w:tcPr>
            <w:tcW w:w="1176" w:type="pct"/>
            <w:shd w:val="clear" w:color="auto" w:fill="A8D08D"/>
            <w:noWrap w:val="0"/>
            <w:vAlign w:val="center"/>
          </w:tcPr>
          <w:p>
            <w:pPr>
              <w:spacing w:before="0" w:beforeLines="0" w:after="0" w:afterLines="0" w:line="240" w:lineRule="auto"/>
              <w:ind w:firstLine="0" w:firstLineChars="0"/>
              <w:jc w:val="center"/>
              <w:rPr>
                <w:rFonts w:ascii="仿宋" w:hAnsi="仿宋" w:eastAsia="仿宋"/>
                <w:b/>
                <w:kern w:val="20"/>
                <w:sz w:val="24"/>
              </w:rPr>
            </w:pPr>
            <w:r>
              <w:rPr>
                <w:rFonts w:hint="eastAsia" w:ascii="仿宋" w:hAnsi="仿宋" w:eastAsia="仿宋"/>
                <w:b/>
                <w:kern w:val="20"/>
                <w:sz w:val="24"/>
              </w:rPr>
              <w:t>地址</w:t>
            </w:r>
          </w:p>
        </w:tc>
        <w:tc>
          <w:tcPr>
            <w:tcW w:w="1454" w:type="pct"/>
            <w:shd w:val="clear" w:color="auto" w:fill="A8D08D"/>
            <w:noWrap w:val="0"/>
            <w:vAlign w:val="center"/>
          </w:tcPr>
          <w:p>
            <w:pPr>
              <w:spacing w:before="0" w:beforeLines="0" w:after="0" w:afterLines="0" w:line="240" w:lineRule="auto"/>
              <w:ind w:firstLine="0" w:firstLineChars="0"/>
              <w:jc w:val="center"/>
              <w:rPr>
                <w:rFonts w:ascii="仿宋" w:hAnsi="仿宋" w:eastAsia="仿宋"/>
                <w:b/>
                <w:kern w:val="20"/>
                <w:sz w:val="24"/>
              </w:rPr>
            </w:pPr>
            <w:r>
              <w:rPr>
                <w:rFonts w:hint="eastAsia" w:ascii="仿宋" w:hAnsi="仿宋" w:eastAsia="仿宋"/>
                <w:b/>
                <w:kern w:val="20"/>
                <w:sz w:val="24"/>
              </w:rPr>
              <w:t>储存的主要物品或工艺</w:t>
            </w:r>
          </w:p>
        </w:tc>
        <w:tc>
          <w:tcPr>
            <w:tcW w:w="514" w:type="pct"/>
            <w:shd w:val="clear" w:color="auto" w:fill="A8D08D"/>
            <w:noWrap w:val="0"/>
            <w:vAlign w:val="center"/>
          </w:tcPr>
          <w:p>
            <w:pPr>
              <w:spacing w:before="0" w:beforeLines="0" w:after="0" w:afterLines="0" w:line="240" w:lineRule="auto"/>
              <w:ind w:firstLine="0" w:firstLineChars="0"/>
              <w:jc w:val="center"/>
              <w:rPr>
                <w:rFonts w:ascii="仿宋" w:hAnsi="仿宋" w:eastAsia="仿宋"/>
                <w:b/>
                <w:kern w:val="20"/>
                <w:sz w:val="24"/>
              </w:rPr>
            </w:pPr>
            <w:r>
              <w:rPr>
                <w:rFonts w:hint="eastAsia" w:ascii="仿宋" w:hAnsi="仿宋" w:eastAsia="仿宋"/>
                <w:b/>
                <w:kern w:val="20"/>
                <w:sz w:val="24"/>
              </w:rPr>
              <w:t>性质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ascii="仿宋" w:hAnsi="仿宋" w:eastAsia="仿宋"/>
                <w:kern w:val="20"/>
                <w:sz w:val="24"/>
              </w:rPr>
              <w:t>1</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hint="eastAsia" w:ascii="仿宋" w:hAnsi="仿宋" w:eastAsia="仿宋"/>
                <w:kern w:val="20"/>
                <w:sz w:val="24"/>
              </w:rPr>
              <w:t>采油三厂红井子作业区牛毛井集中处理站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hint="eastAsia" w:ascii="仿宋" w:hAnsi="仿宋" w:eastAsia="仿宋"/>
                <w:kern w:val="20"/>
                <w:sz w:val="24"/>
              </w:rPr>
              <w:t>盐池县大水坑镇</w:t>
            </w:r>
          </w:p>
          <w:p>
            <w:pPr>
              <w:spacing w:before="0" w:beforeLines="0" w:after="0" w:afterLines="0" w:line="240" w:lineRule="auto"/>
              <w:ind w:firstLine="0" w:firstLineChars="0"/>
              <w:jc w:val="center"/>
              <w:rPr>
                <w:rFonts w:ascii="仿宋" w:hAnsi="仿宋" w:eastAsia="仿宋"/>
                <w:kern w:val="20"/>
                <w:sz w:val="24"/>
              </w:rPr>
            </w:pPr>
            <w:r>
              <w:rPr>
                <w:rFonts w:hint="eastAsia" w:ascii="仿宋" w:hAnsi="仿宋" w:eastAsia="仿宋"/>
                <w:kern w:val="20"/>
                <w:sz w:val="24"/>
              </w:rPr>
              <w:t>红井子</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hint="eastAsia" w:ascii="仿宋" w:hAnsi="仿宋" w:eastAsia="仿宋"/>
                <w:kern w:val="20"/>
                <w:sz w:val="24"/>
              </w:rPr>
              <w:t>石油开采</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hint="eastAsia" w:ascii="仿宋" w:hAnsi="仿宋" w:eastAsia="仿宋"/>
                <w:kern w:val="20"/>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ascii="仿宋" w:hAnsi="仿宋" w:eastAsia="仿宋"/>
                <w:kern w:val="20"/>
                <w:sz w:val="24"/>
              </w:rPr>
              <w:t>2</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hint="eastAsia" w:ascii="仿宋" w:hAnsi="仿宋" w:eastAsia="仿宋"/>
                <w:kern w:val="20"/>
                <w:sz w:val="24"/>
              </w:rPr>
              <w:t>采油五厂麻黄山姬七联合站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hint="eastAsia" w:ascii="仿宋" w:hAnsi="仿宋" w:eastAsia="仿宋"/>
                <w:kern w:val="20"/>
                <w:sz w:val="24"/>
              </w:rPr>
              <w:t>盐池县麻黄山乡</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hint="eastAsia" w:ascii="仿宋" w:hAnsi="仿宋" w:eastAsia="仿宋"/>
                <w:kern w:val="20"/>
                <w:sz w:val="24"/>
              </w:rPr>
              <w:t>石油开采</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kern w:val="20"/>
                <w:sz w:val="24"/>
              </w:rPr>
            </w:pPr>
            <w:r>
              <w:rPr>
                <w:rFonts w:hint="eastAsia" w:ascii="仿宋" w:hAnsi="仿宋" w:eastAsia="仿宋"/>
                <w:kern w:val="20"/>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中国石化华北分公司盐池勘探开发部</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盐池县大水坑镇</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石油开采</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4</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宁夏石油商业储备库</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盐池县惠安堡镇</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石油，129000立方米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中国石油管道公司长庆石油气惠安堡输油泵站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盐池县惠安堡镇</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石油输送管路调压</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中国石油西气东输长宁输气公司盐池站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盐池县城北郊</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天然气输送管路调压</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7</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西气东输盐池站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盐池县大水抗镇</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天然气输送管路调压</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宁夏宁鲁石化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有限责任公司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东顺工业园区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石油、汽油、柴油、液化气、乙醚、烯烃，120000立方米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9</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宁夏金裕海</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化工有限公司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东顺工业园区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优质液化气、MTE、稳定轻烃</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宁夏凯恩欧赛三星</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兰天石油开发有限公司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盐池县惠安堡镇</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麦草掌村</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石油开采</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11</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宁夏盐池紫荆花</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药业股份有限责任公司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东顺工业园区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甲苯、乙醇、三氯甲烷、石油醚，共计15吨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12</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振华液化气</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销售有限公司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东顺工业园区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液化气、300立方米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液化气</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13</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宁夏新捷能源有限公司</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古王LNG加气站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盐池县307国道</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天然气、18立方米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储备站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14</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宁夏民爆器材专营公司</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盐池分公司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盐池县冯记沟乡</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炸药、雷管等民爆器材，</w:t>
            </w:r>
            <w:r>
              <w:rPr>
                <w:rFonts w:ascii="仿宋" w:hAnsi="仿宋" w:eastAsia="仿宋"/>
                <w:sz w:val="24"/>
              </w:rPr>
              <w:t>30</w:t>
            </w:r>
            <w:r>
              <w:rPr>
                <w:rFonts w:hint="eastAsia" w:ascii="仿宋" w:hAnsi="仿宋" w:eastAsia="仿宋"/>
                <w:sz w:val="24"/>
              </w:rPr>
              <w:t>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盐池县志宏工贸</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盐池县惠安堡马儿坡村</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污油泥加工，15吨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16</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宁夏冀源化学有限公司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甲醇钠，30吨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17</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盐池县荣兴加气站</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（有限公司）第一分公司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盐池县盐柳路东侧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天然气、2000立方米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18</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盐池县荣兴加气站</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（有限公司）第三分公司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盐池县民族西街</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北侧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天然气、2000立方米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19</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加油站（南）</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银青高速盐池服务区（南）</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柴油65吨、汽油75吨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20</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加油站（北）</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银青高速盐池服务区（北）</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柴油65吨、汽油75吨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21</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银青高速蔡家梁服务区加油站（南）</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银青高速蔡家梁服务区（南）</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柴油65吨、汽油75吨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22</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银青高速蔡家梁服务区加油站（北）</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银青高速蔡家梁服务区（北）</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柴油65吨、汽油75吨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23</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宁夏盐池生茂燃气</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服务有限公司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盐池盐大路与南二环路交汇处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储气井、8立方米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24</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青山加油加气合建站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盐池县青山乡盐惠路</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储气井、8立方米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25</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盐池县泉茂加气站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盐池县高沙窝镇</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LNG22吨、CNG2500立方米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26</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宁夏深燃众源天然气</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盐池县东顺工业园区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LNG1720吨、乙烯10吨、异戊烷10吨、丙烷3吨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27</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盐池兴达CNG/LNG加气站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盐池县大水坑镇北环路</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CNG1500立方米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28</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宁夏神瑞工贸</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有限责任公司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盐池县东顺工业园区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混烃235吨、丙烷115吨、丁烷75吨、稳定轻烃125吨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29</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宁夏新辉龙燃气服务</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有限公司L-CNG加气站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盐池县惠安堡镇</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LNG 20吨、CNG10000立方米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30</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宁夏星邦豹丰涂料</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科技有限公司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200号溶剂油30吨、苯甲酸2吨、季戊四醇8吨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31</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宁夏天利丰能源利用</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液化天然气2520吨、丙烷4.3吨、异戊烷7.8吨、乙烯7.35吨、重烃11.5吨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其他</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32</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宁夏亨昱通化工有限公司油田化学助剂生产项目</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甲醇10吨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33</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佳能创科有限公司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凝析油1200吨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34</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盐池县姚美加气站（有限公司）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盐池县大水坑镇</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LNG60立方米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35</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长明（高沙窝）</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LNG/CNG加气站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盐池县高沙窝镇307国道南侧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LNG60立方米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36</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盐中高速马儿庄服务区</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盐中高速MZK56+550处</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南北侧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柴油50吨、汽油30吨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37</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马儿庄服务区（南北区）LNG加气站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盐中高速MZK56+550处</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南北侧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LNG60立方米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38</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盐池天顺LNG/L-CNG加气站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盐池县民族西街以北、五原路以西</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LNG60立方米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39</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宁夏润广石化有限公司</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盐池县东顺工业园区</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石脑油、凝析油</w:t>
            </w:r>
            <w:r>
              <w:rPr>
                <w:rFonts w:ascii="仿宋" w:hAnsi="仿宋" w:eastAsia="仿宋"/>
                <w:sz w:val="24"/>
              </w:rPr>
              <w:t>500</w:t>
            </w:r>
            <w:r>
              <w:rPr>
                <w:rFonts w:hint="eastAsia" w:ascii="仿宋" w:hAnsi="仿宋" w:eastAsia="仿宋"/>
                <w:sz w:val="24"/>
              </w:rPr>
              <w:t>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石化</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企业</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40</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中石油盐池萌城加油站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盐池县惠安堡镇萌城村北街</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41</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中石油盐池长城加油站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盐池县花马池镇二堡村（高速公路路口）</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汽油40吨、柴油80吨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42</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中石油盐池李渠子加油站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盐池县盐兴公路17KM+600M处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汽油40吨、柴油80吨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43</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中石油盐池惠安堡加油站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盐池县惠安堡镇南街</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44</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中石油盐池蔡家梁营西加油站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盐池县高沙窝镇蔡记梁自然村</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45</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中石油盐池畅通加油站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盐池县冯记沟乡马儿庄村</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46</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中石油盐池深井加油站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盐池县花马池镇深井村</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47</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中石油盐池大红路加油站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盐池县大水坑镇东街（大红路）</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48</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中石油司盐池西门加油站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盐池县城民族西街与盐林路交汇处西南侧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汽油60吨、柴油40吨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49</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中石油盐池盐兴加油站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盐池县城盐兴公路与西二环交汇处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汽油60吨、柴油40吨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中石油盐池古王加油站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盐池县宁陕交界处307国道南侧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51</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中石油盐池红城子加油站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盐池县307国道北侧牛毛井处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汽油40吨、柴油80吨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52</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中石油盐池东门加油站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盐池县城北关东路</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汽油60吨、柴油60吨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53</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中石油盐池大水坑加油站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盐池县大水坑镇北街</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54</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中石油盐池高沙窝加油站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盐池县高沙窝镇</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55</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中石油盐池青山加油站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盐池县青山乡盐惠路与冯青路交汇处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56</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中石油盐池兴惠加油站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盐池县惠安堡镇盐兴路西侧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汽油40吨、柴油60吨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57</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中石化萌城南河加油站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盐池县惠安堡镇萌城南河村</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汽油60吨、柴油60吨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58</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中石化大水坑加油站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盐池县大水坑镇南环与大麻路交叉口向南300米</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汽油60吨、柴油90吨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59</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中石化南环加油站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盐池县南环路与东环路交汇处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汽油30吨、柴油60吨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60</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中石化东星加油站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盐池307国道1182公里处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汽油60吨、柴油60吨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61</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中石化常惠加油站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盐兴公路惠安堡转盘以西200米处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汽油30吨、柴油60吨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62</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中石化盐池冯记沟加油站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盐池县冯记沟乡</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汽油60吨、柴油60吨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63</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中石化盐池嘉丰加油站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盐池县高沙窝镇宝塔工业园区307国道南侧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汽油30吨、柴油90吨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64</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中石化王乐井加油站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盐池县王乐井乡盐兴路21桩号</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汽油30吨、柴油60吨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65</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中石化盐池南门站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盐池县城广惠西街61号</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汽油80吨、柴油40吨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66</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中石化盐池东门加油站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盐池县城东门青年创业园向东500米处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汽油30吨、柴油30吨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67</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中石化盐池西环加油站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盐池县城北环路西侧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汽油30吨、柴油60吨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68</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中石化盐池西门加油站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盐池县302省道32.7公里处（长城村深井自然村）</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汽油60吨、柴油90吨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69</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中石化惠安堡通达加油站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盐池县惠安堡镇北街211国道东侧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汽油60吨、柴油60吨</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70</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中石化盐池长新加气站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盐池县城盐兴公路北侧（32.7公里处）</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L-CNG液化天然气60立方米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9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71</w:t>
            </w:r>
          </w:p>
        </w:tc>
        <w:tc>
          <w:tcPr>
            <w:tcW w:w="145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中石化盐池华丰加气站</w:t>
            </w:r>
          </w:p>
        </w:tc>
        <w:tc>
          <w:tcPr>
            <w:tcW w:w="11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盐池县高沙窝镇宝塔工业园区307国道南侧</w:t>
            </w:r>
          </w:p>
        </w:tc>
        <w:tc>
          <w:tcPr>
            <w:tcW w:w="145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L-CNG液化天然气60立方米</w:t>
            </w:r>
          </w:p>
        </w:tc>
        <w:tc>
          <w:tcPr>
            <w:tcW w:w="51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r>
    </w:tbl>
    <w:p>
      <w:pPr>
        <w:spacing w:before="190" w:after="190"/>
        <w:ind w:firstLine="560"/>
        <w:rPr>
          <w:rFonts w:ascii="宋体" w:hAnsi="宋体"/>
        </w:rPr>
      </w:pPr>
      <w:r>
        <w:rPr>
          <w:rFonts w:hint="eastAsia" w:ascii="宋体" w:hAnsi="宋体"/>
        </w:rPr>
        <w:t>主要存在的消防安全问题：</w:t>
      </w:r>
    </w:p>
    <w:p>
      <w:pPr>
        <w:spacing w:before="190" w:after="190"/>
        <w:ind w:firstLine="560"/>
        <w:rPr>
          <w:rFonts w:ascii="宋体" w:hAnsi="宋体"/>
        </w:rPr>
      </w:pPr>
      <w:r>
        <w:rPr>
          <w:rFonts w:hint="eastAsia" w:ascii="宋体" w:hAnsi="宋体"/>
        </w:rPr>
        <w:t>近几年盐池县工业园区发展较快，已初具规模，但园区的消防基础设施建设滞后。工业园区虽已新建政府专职消防队，宁鲁石化、宁夏金裕海化工有限公司也已建设企业消防队，但政府专职消防队、企业消防队车辆装备及人员素质并不能满足石油化工类火灾扑救需要，且市政消防供水可靠性较差，因此消防安全得不到保证。</w:t>
      </w:r>
    </w:p>
    <w:p>
      <w:pPr>
        <w:spacing w:before="190" w:after="190"/>
        <w:ind w:firstLine="560"/>
        <w:rPr>
          <w:rFonts w:ascii="宋体" w:hAnsi="宋体"/>
        </w:rPr>
      </w:pPr>
      <w:r>
        <w:rPr>
          <w:rFonts w:hint="eastAsia" w:ascii="宋体" w:hAnsi="宋体"/>
        </w:rPr>
        <w:t>工业园区内部分企业总体布局不能满足消防规范，部分建筑物的耐火等级低于《建筑设计防火规范》的相关规定。</w:t>
      </w:r>
    </w:p>
    <w:p>
      <w:pPr>
        <w:spacing w:before="190" w:after="190"/>
        <w:ind w:firstLine="560"/>
        <w:rPr>
          <w:rFonts w:ascii="宋体" w:hAnsi="宋体"/>
        </w:rPr>
      </w:pPr>
      <w:r>
        <w:rPr>
          <w:rFonts w:hint="eastAsia" w:ascii="宋体" w:hAnsi="宋体"/>
        </w:rPr>
        <w:t>城市加油、加气站布局不合理，位于县城的盐林路与民族街交叉口附近集中布置了3个加油、加气站，加油、加气站之间的间距小于国家规定的最小间距，存在着较大的消防安全隐患。</w:t>
      </w:r>
    </w:p>
    <w:p>
      <w:pPr>
        <w:spacing w:before="190" w:after="190"/>
        <w:ind w:firstLine="0" w:firstLineChars="0"/>
        <w:jc w:val="center"/>
        <w:rPr>
          <w:rFonts w:ascii="宋体" w:hAnsi="宋体"/>
        </w:rPr>
      </w:pPr>
      <w:r>
        <w:rPr>
          <w:rFonts w:ascii="宋体" w:hAnsi="宋体"/>
        </w:rPr>
        <w:drawing>
          <wp:inline distT="0" distB="0" distL="114300" distR="114300">
            <wp:extent cx="5520690" cy="3030220"/>
            <wp:effectExtent l="0" t="0" r="3810" b="17780"/>
            <wp:docPr id="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true"/>
                    </pic:cNvPicPr>
                  </pic:nvPicPr>
                  <pic:blipFill>
                    <a:blip r:embed="rId22"/>
                    <a:stretch>
                      <a:fillRect/>
                    </a:stretch>
                  </pic:blipFill>
                  <pic:spPr>
                    <a:xfrm>
                      <a:off x="0" y="0"/>
                      <a:ext cx="5520690" cy="3030220"/>
                    </a:xfrm>
                    <a:prstGeom prst="rect">
                      <a:avLst/>
                    </a:prstGeom>
                    <a:noFill/>
                    <a:ln>
                      <a:noFill/>
                    </a:ln>
                  </pic:spPr>
                </pic:pic>
              </a:graphicData>
            </a:graphic>
          </wp:inline>
        </w:drawing>
      </w:r>
    </w:p>
    <w:p>
      <w:pPr>
        <w:spacing w:before="190" w:after="190"/>
        <w:ind w:firstLine="0" w:firstLineChars="0"/>
      </w:pPr>
      <w:r>
        <w:rPr>
          <w:rFonts w:hint="eastAsia"/>
        </w:rPr>
        <w:t xml:space="preserve">   </w:t>
      </w:r>
    </w:p>
    <w:p>
      <w:pPr>
        <w:spacing w:before="190" w:after="190"/>
        <w:ind w:firstLine="0" w:firstLineChars="0"/>
        <w:jc w:val="center"/>
      </w:pPr>
      <w:r>
        <w:drawing>
          <wp:inline distT="0" distB="0" distL="114300" distR="114300">
            <wp:extent cx="5384800" cy="3939540"/>
            <wp:effectExtent l="0" t="0" r="6350" b="3810"/>
            <wp:docPr id="3" name="图片 8" descr="03-城市易燃易爆场所现状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8" descr="03-城市易燃易爆场所现状图"/>
                    <pic:cNvPicPr>
                      <a:picLocks noChangeAspect="true"/>
                    </pic:cNvPicPr>
                  </pic:nvPicPr>
                  <pic:blipFill>
                    <a:blip r:embed="rId23"/>
                    <a:srcRect l="3261"/>
                    <a:stretch>
                      <a:fillRect/>
                    </a:stretch>
                  </pic:blipFill>
                  <pic:spPr>
                    <a:xfrm>
                      <a:off x="0" y="0"/>
                      <a:ext cx="5384800" cy="3939540"/>
                    </a:xfrm>
                    <a:prstGeom prst="rect">
                      <a:avLst/>
                    </a:prstGeom>
                    <a:noFill/>
                    <a:ln>
                      <a:noFill/>
                    </a:ln>
                  </pic:spPr>
                </pic:pic>
              </a:graphicData>
            </a:graphic>
          </wp:inline>
        </w:drawing>
      </w:r>
    </w:p>
    <w:p>
      <w:pPr>
        <w:pStyle w:val="4"/>
        <w:spacing w:before="0" w:beforeLines="0" w:after="0" w:afterLines="0" w:line="240" w:lineRule="auto"/>
        <w:rPr>
          <w:rFonts w:ascii="宋体" w:hAnsi="宋体"/>
          <w:szCs w:val="30"/>
        </w:rPr>
      </w:pPr>
      <w:bookmarkStart w:id="135" w:name="_Toc59386278"/>
      <w:bookmarkStart w:id="136" w:name="_Toc3180"/>
      <w:bookmarkStart w:id="137" w:name="_Toc1127"/>
      <w:bookmarkStart w:id="138" w:name="_Toc9865"/>
      <w:r>
        <w:rPr>
          <w:rFonts w:hint="eastAsia" w:ascii="宋体" w:hAnsi="宋体"/>
          <w:szCs w:val="30"/>
        </w:rPr>
        <w:t>1.3.3商业设施</w:t>
      </w:r>
      <w:bookmarkEnd w:id="135"/>
      <w:bookmarkEnd w:id="136"/>
      <w:bookmarkEnd w:id="137"/>
      <w:bookmarkEnd w:id="138"/>
    </w:p>
    <w:p>
      <w:pPr>
        <w:spacing w:before="190" w:after="190"/>
        <w:ind w:firstLine="560"/>
        <w:rPr>
          <w:rFonts w:ascii="宋体" w:hAnsi="宋体"/>
        </w:rPr>
      </w:pPr>
      <w:r>
        <w:rPr>
          <w:rFonts w:hint="eastAsia" w:ascii="宋体" w:hAnsi="宋体"/>
        </w:rPr>
        <w:t>县城现有大型商场（市场）6处，其中地上3处，地下3处，总建筑面积5.24万，大型商场的消防设施绝大多数均按规范要求，建设的较为完善，管理人员消防安全意识较好，各类市场的消防设施近年来也有了很大程度的改善。</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大型商场（市场）基本情况表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665"/>
        <w:gridCol w:w="1787"/>
        <w:gridCol w:w="2835"/>
        <w:gridCol w:w="1417"/>
        <w:gridCol w:w="1824"/>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jc w:val="center"/>
        </w:trPr>
        <w:tc>
          <w:tcPr>
            <w:tcW w:w="390"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序号</w:t>
            </w:r>
          </w:p>
        </w:tc>
        <w:tc>
          <w:tcPr>
            <w:tcW w:w="1048"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ascii="仿宋" w:hAnsi="仿宋" w:eastAsia="仿宋"/>
                <w:b/>
                <w:sz w:val="24"/>
              </w:rPr>
              <w:t>名称</w:t>
            </w:r>
          </w:p>
        </w:tc>
        <w:tc>
          <w:tcPr>
            <w:tcW w:w="166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hint="eastAsia" w:ascii="仿宋" w:hAnsi="仿宋" w:eastAsia="仿宋"/>
                <w:b/>
                <w:sz w:val="24"/>
              </w:rPr>
              <w:t>地址</w:t>
            </w:r>
          </w:p>
        </w:tc>
        <w:tc>
          <w:tcPr>
            <w:tcW w:w="831"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hint="eastAsia" w:ascii="仿宋" w:hAnsi="仿宋" w:eastAsia="仿宋"/>
                <w:b/>
                <w:sz w:val="24"/>
              </w:rPr>
              <w:t>性质</w:t>
            </w:r>
          </w:p>
        </w:tc>
        <w:tc>
          <w:tcPr>
            <w:tcW w:w="1069"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hint="eastAsia" w:ascii="仿宋" w:hAnsi="仿宋" w:eastAsia="仿宋"/>
                <w:b/>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w:t>
            </w:r>
          </w:p>
        </w:tc>
        <w:tc>
          <w:tcPr>
            <w:tcW w:w="104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盐池商城</w:t>
            </w:r>
          </w:p>
        </w:tc>
        <w:tc>
          <w:tcPr>
            <w:tcW w:w="16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盐池县城鼓楼北街</w:t>
            </w:r>
          </w:p>
        </w:tc>
        <w:tc>
          <w:tcPr>
            <w:tcW w:w="8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商场（市场）</w:t>
            </w:r>
          </w:p>
        </w:tc>
        <w:tc>
          <w:tcPr>
            <w:tcW w:w="106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地上三层15000m</w:t>
            </w:r>
            <w:r>
              <w:rPr>
                <w:rFonts w:hint="eastAsia" w:ascii="宋体" w:hAnsi="宋体" w:cs="宋体"/>
                <w:sz w:val="24"/>
              </w:rPr>
              <w:t>²</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w:t>
            </w:r>
          </w:p>
        </w:tc>
        <w:tc>
          <w:tcPr>
            <w:tcW w:w="104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盐池世纪商业广场</w:t>
            </w:r>
          </w:p>
        </w:tc>
        <w:tc>
          <w:tcPr>
            <w:tcW w:w="16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盐池县城盐林路西侧、安居苑北侧</w:t>
            </w:r>
          </w:p>
        </w:tc>
        <w:tc>
          <w:tcPr>
            <w:tcW w:w="8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商场（市场）</w:t>
            </w:r>
          </w:p>
        </w:tc>
        <w:tc>
          <w:tcPr>
            <w:tcW w:w="106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地上六层16937</w:t>
            </w:r>
            <w:r>
              <w:rPr>
                <w:rFonts w:ascii="仿宋" w:hAnsi="仿宋" w:eastAsia="仿宋"/>
                <w:sz w:val="24"/>
              </w:rPr>
              <w:t xml:space="preserve"> m</w:t>
            </w:r>
            <w:r>
              <w:rPr>
                <w:rFonts w:hint="eastAsia" w:ascii="宋体" w:hAnsi="宋体" w:cs="宋体"/>
                <w:sz w:val="24"/>
              </w:rPr>
              <w:t>²</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w:t>
            </w:r>
          </w:p>
        </w:tc>
        <w:tc>
          <w:tcPr>
            <w:tcW w:w="104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盐池县利惠商场</w:t>
            </w:r>
          </w:p>
        </w:tc>
        <w:tc>
          <w:tcPr>
            <w:tcW w:w="16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盐池县城振远广场玺玉园南门</w:t>
            </w:r>
          </w:p>
        </w:tc>
        <w:tc>
          <w:tcPr>
            <w:tcW w:w="8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商场（市场）</w:t>
            </w:r>
          </w:p>
        </w:tc>
        <w:tc>
          <w:tcPr>
            <w:tcW w:w="106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地下一层</w:t>
            </w:r>
            <w:r>
              <w:rPr>
                <w:rFonts w:ascii="仿宋" w:hAnsi="仿宋" w:eastAsia="仿宋"/>
                <w:sz w:val="24"/>
              </w:rPr>
              <w:t>2312 m</w:t>
            </w:r>
            <w:r>
              <w:rPr>
                <w:rFonts w:hint="eastAsia" w:ascii="宋体" w:hAnsi="宋体" w:cs="宋体"/>
                <w:sz w:val="24"/>
              </w:rPr>
              <w:t>²</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4</w:t>
            </w:r>
          </w:p>
        </w:tc>
        <w:tc>
          <w:tcPr>
            <w:tcW w:w="104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盐池县好又多超市</w:t>
            </w:r>
          </w:p>
        </w:tc>
        <w:tc>
          <w:tcPr>
            <w:tcW w:w="16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盐池县城盐州商贸广场</w:t>
            </w:r>
          </w:p>
        </w:tc>
        <w:tc>
          <w:tcPr>
            <w:tcW w:w="8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商场（市场）</w:t>
            </w:r>
          </w:p>
        </w:tc>
        <w:tc>
          <w:tcPr>
            <w:tcW w:w="106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地下一层4894</w:t>
            </w:r>
            <w:r>
              <w:rPr>
                <w:rFonts w:ascii="仿宋" w:hAnsi="仿宋" w:eastAsia="仿宋"/>
                <w:sz w:val="24"/>
              </w:rPr>
              <w:t>m</w:t>
            </w:r>
            <w:r>
              <w:rPr>
                <w:rFonts w:hint="eastAsia" w:ascii="宋体" w:hAnsi="宋体" w:cs="宋体"/>
                <w:sz w:val="24"/>
              </w:rPr>
              <w:t>²</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104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盐池县世纪华联购物中心</w:t>
            </w:r>
          </w:p>
        </w:tc>
        <w:tc>
          <w:tcPr>
            <w:tcW w:w="16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盐池县城影院街5-11-15号</w:t>
            </w:r>
          </w:p>
        </w:tc>
        <w:tc>
          <w:tcPr>
            <w:tcW w:w="8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商场（市场）</w:t>
            </w:r>
          </w:p>
        </w:tc>
        <w:tc>
          <w:tcPr>
            <w:tcW w:w="106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地下一层</w:t>
            </w:r>
            <w:r>
              <w:rPr>
                <w:rFonts w:ascii="仿宋" w:hAnsi="仿宋" w:eastAsia="仿宋"/>
                <w:sz w:val="24"/>
              </w:rPr>
              <w:t>4901 m</w:t>
            </w:r>
            <w:r>
              <w:rPr>
                <w:rFonts w:hint="eastAsia" w:ascii="宋体" w:hAnsi="宋体" w:cs="宋体"/>
                <w:sz w:val="24"/>
              </w:rPr>
              <w:t>²</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w:t>
            </w:r>
          </w:p>
        </w:tc>
        <w:tc>
          <w:tcPr>
            <w:tcW w:w="104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盐池县城盐州商贸广场</w:t>
            </w:r>
          </w:p>
        </w:tc>
        <w:tc>
          <w:tcPr>
            <w:tcW w:w="16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盐池县城盐州商贸广场A区</w:t>
            </w:r>
          </w:p>
        </w:tc>
        <w:tc>
          <w:tcPr>
            <w:tcW w:w="8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商场（市场）</w:t>
            </w:r>
          </w:p>
        </w:tc>
        <w:tc>
          <w:tcPr>
            <w:tcW w:w="106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地上二层</w:t>
            </w:r>
            <w:r>
              <w:rPr>
                <w:rFonts w:ascii="仿宋" w:hAnsi="仿宋" w:eastAsia="仿宋"/>
                <w:sz w:val="24"/>
              </w:rPr>
              <w:t>8382 m</w:t>
            </w:r>
            <w:r>
              <w:rPr>
                <w:rFonts w:hint="eastAsia" w:ascii="宋体" w:hAnsi="宋体" w:cs="宋体"/>
                <w:sz w:val="24"/>
              </w:rPr>
              <w:t>²</w:t>
            </w:r>
          </w:p>
        </w:tc>
      </w:tr>
    </w:tbl>
    <w:p>
      <w:pPr>
        <w:spacing w:before="190" w:after="190"/>
        <w:ind w:firstLine="560"/>
        <w:rPr>
          <w:rFonts w:ascii="宋体" w:hAnsi="宋体"/>
        </w:rPr>
      </w:pPr>
      <w:r>
        <w:rPr>
          <w:rFonts w:hint="eastAsia" w:ascii="宋体" w:hAnsi="宋体"/>
        </w:rPr>
        <w:t>商业设施存在的消防安全隐患如下：</w:t>
      </w:r>
    </w:p>
    <w:p>
      <w:pPr>
        <w:spacing w:before="190" w:after="190"/>
        <w:ind w:firstLine="560"/>
        <w:rPr>
          <w:rFonts w:ascii="宋体" w:hAnsi="宋体"/>
        </w:rPr>
      </w:pPr>
      <w:r>
        <w:rPr>
          <w:rFonts w:hint="eastAsia" w:ascii="宋体" w:hAnsi="宋体"/>
        </w:rPr>
        <w:t>1、管理责任不明晰。商业设施消防管理属于一项繁琐的系统工程，从施工、设计到运营，都需要相关部门承担既定的消防责任，但是部分商业设施商管部门在消防管理中却存在管理责任不明晰的问题，片面注重商业设施的经济运营情况，对消防工作缺乏重视，相应的消防管理制度和标准不完善，为商业设施的安全运营埋下隐患。</w:t>
      </w:r>
    </w:p>
    <w:p>
      <w:pPr>
        <w:spacing w:before="190" w:after="190"/>
        <w:ind w:firstLine="560"/>
        <w:rPr>
          <w:rFonts w:ascii="宋体" w:hAnsi="宋体"/>
        </w:rPr>
      </w:pPr>
      <w:r>
        <w:rPr>
          <w:rFonts w:hint="eastAsia" w:ascii="宋体" w:hAnsi="宋体"/>
        </w:rPr>
        <w:t>2、部分商场（市场）在建设时虽留有消防通道，但在投入使用后，由于经营者消防安全意识淡薄，为片面追求经济利益，随意占用消防通道、布置摊位现象较普遍，一旦发生火灾、消防通道阻塞，给扑救火灾带来很大困难。部分商业建筑和市场，在建设时即不满足消防规范要求，建筑耐火等级低、缺乏室内外消防设施以及自动消防设施、安全疏散通道等方面都不同程度存在一些问题。</w:t>
      </w:r>
    </w:p>
    <w:p>
      <w:pPr>
        <w:spacing w:before="190" w:after="190"/>
        <w:ind w:firstLine="560"/>
        <w:rPr>
          <w:rFonts w:ascii="宋体" w:hAnsi="宋体"/>
        </w:rPr>
      </w:pPr>
      <w:r>
        <w:rPr>
          <w:rFonts w:hint="eastAsia" w:ascii="宋体" w:hAnsi="宋体"/>
        </w:rPr>
        <w:t>3、</w:t>
      </w:r>
      <w:r>
        <w:rPr>
          <w:rFonts w:ascii="宋体" w:hAnsi="宋体"/>
        </w:rPr>
        <w:t>消防设施</w:t>
      </w:r>
      <w:r>
        <w:rPr>
          <w:rFonts w:hint="eastAsia" w:ascii="宋体" w:hAnsi="宋体"/>
        </w:rPr>
        <w:t>日常维护</w:t>
      </w:r>
      <w:r>
        <w:rPr>
          <w:rFonts w:ascii="宋体" w:hAnsi="宋体"/>
        </w:rPr>
        <w:t>不到位</w:t>
      </w:r>
    </w:p>
    <w:p>
      <w:pPr>
        <w:spacing w:before="190" w:after="190"/>
        <w:ind w:firstLine="560"/>
        <w:rPr>
          <w:rFonts w:ascii="宋体" w:hAnsi="宋体"/>
        </w:rPr>
      </w:pPr>
      <w:r>
        <w:rPr>
          <w:rFonts w:ascii="宋体" w:hAnsi="宋体"/>
        </w:rPr>
        <w:t>消防设施是商业</w:t>
      </w:r>
      <w:r>
        <w:rPr>
          <w:rFonts w:hint="eastAsia" w:ascii="宋体" w:hAnsi="宋体"/>
        </w:rPr>
        <w:t>设施</w:t>
      </w:r>
      <w:r>
        <w:rPr>
          <w:rFonts w:ascii="宋体" w:hAnsi="宋体"/>
        </w:rPr>
        <w:t>防火灭火的重要物质支撑</w:t>
      </w:r>
      <w:r>
        <w:rPr>
          <w:rFonts w:hint="eastAsia" w:ascii="宋体" w:hAnsi="宋体"/>
        </w:rPr>
        <w:t>，</w:t>
      </w:r>
      <w:r>
        <w:rPr>
          <w:rFonts w:ascii="宋体" w:hAnsi="宋体"/>
        </w:rPr>
        <w:t>当发生初级火灾后</w:t>
      </w:r>
      <w:r>
        <w:rPr>
          <w:rFonts w:hint="eastAsia" w:ascii="宋体" w:hAnsi="宋体"/>
        </w:rPr>
        <w:t>，</w:t>
      </w:r>
      <w:r>
        <w:rPr>
          <w:rFonts w:ascii="宋体" w:hAnsi="宋体"/>
        </w:rPr>
        <w:t>需要工作人员利用</w:t>
      </w:r>
      <w:r>
        <w:rPr>
          <w:rFonts w:hint="eastAsia" w:ascii="宋体" w:hAnsi="宋体"/>
        </w:rPr>
        <w:t>商业设施</w:t>
      </w:r>
      <w:r>
        <w:rPr>
          <w:rFonts w:ascii="宋体" w:hAnsi="宋体"/>
        </w:rPr>
        <w:t>内的扑灭火灾</w:t>
      </w:r>
      <w:r>
        <w:rPr>
          <w:rFonts w:hint="eastAsia" w:ascii="宋体" w:hAnsi="宋体"/>
        </w:rPr>
        <w:t>，但由于部分</w:t>
      </w:r>
      <w:r>
        <w:rPr>
          <w:rFonts w:ascii="宋体" w:hAnsi="宋体"/>
        </w:rPr>
        <w:t>消防设施保养维护</w:t>
      </w:r>
      <w:r>
        <w:rPr>
          <w:rFonts w:hint="eastAsia" w:ascii="宋体" w:hAnsi="宋体"/>
        </w:rPr>
        <w:t>不善，不能发挥其应有的作用，</w:t>
      </w:r>
      <w:r>
        <w:rPr>
          <w:rFonts w:ascii="宋体" w:hAnsi="宋体"/>
        </w:rPr>
        <w:t>如果发生大型火灾</w:t>
      </w:r>
      <w:r>
        <w:rPr>
          <w:rFonts w:hint="eastAsia" w:ascii="宋体" w:hAnsi="宋体"/>
        </w:rPr>
        <w:t>，</w:t>
      </w:r>
      <w:r>
        <w:rPr>
          <w:rFonts w:ascii="宋体" w:hAnsi="宋体"/>
        </w:rPr>
        <w:t>消防设施难以起到灭火作用</w:t>
      </w:r>
      <w:r>
        <w:rPr>
          <w:rFonts w:hint="eastAsia" w:ascii="宋体" w:hAnsi="宋体"/>
        </w:rPr>
        <w:t>。而且从业人员消防</w:t>
      </w:r>
      <w:r>
        <w:rPr>
          <w:rFonts w:ascii="宋体" w:hAnsi="宋体"/>
        </w:rPr>
        <w:t>安全</w:t>
      </w:r>
      <w:r>
        <w:rPr>
          <w:rFonts w:hint="eastAsia" w:ascii="宋体" w:hAnsi="宋体"/>
        </w:rPr>
        <w:t>意识、</w:t>
      </w:r>
      <w:r>
        <w:rPr>
          <w:rFonts w:ascii="宋体" w:hAnsi="宋体"/>
        </w:rPr>
        <w:t>责任意识</w:t>
      </w:r>
      <w:r>
        <w:rPr>
          <w:rFonts w:hint="eastAsia" w:ascii="宋体" w:hAnsi="宋体"/>
        </w:rPr>
        <w:t>较差，人员流动性大，也都给消防安全带来一定的隐患。</w:t>
      </w:r>
    </w:p>
    <w:p>
      <w:pPr>
        <w:spacing w:before="190" w:after="190"/>
        <w:ind w:firstLine="0" w:firstLineChars="0"/>
        <w:jc w:val="center"/>
        <w:rPr>
          <w:rFonts w:hint="eastAsia" w:ascii="宋体" w:hAnsi="宋体"/>
        </w:rPr>
      </w:pPr>
      <w:r>
        <w:rPr>
          <w:rFonts w:ascii="宋体" w:hAnsi="宋体"/>
        </w:rPr>
        <w:drawing>
          <wp:inline distT="0" distB="0" distL="114300" distR="114300">
            <wp:extent cx="5382895" cy="3938270"/>
            <wp:effectExtent l="0" t="0" r="8255" b="5080"/>
            <wp:docPr id="12" name="图片 9" descr="05-大型商场集贸市场现状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9" descr="05-大型商场集贸市场现状图"/>
                    <pic:cNvPicPr>
                      <a:picLocks noChangeAspect="true"/>
                    </pic:cNvPicPr>
                  </pic:nvPicPr>
                  <pic:blipFill>
                    <a:blip r:embed="rId24"/>
                    <a:srcRect l="3401"/>
                    <a:stretch>
                      <a:fillRect/>
                    </a:stretch>
                  </pic:blipFill>
                  <pic:spPr>
                    <a:xfrm>
                      <a:off x="0" y="0"/>
                      <a:ext cx="5382895" cy="3938270"/>
                    </a:xfrm>
                    <a:prstGeom prst="rect">
                      <a:avLst/>
                    </a:prstGeom>
                    <a:noFill/>
                    <a:ln>
                      <a:noFill/>
                    </a:ln>
                  </pic:spPr>
                </pic:pic>
              </a:graphicData>
            </a:graphic>
          </wp:inline>
        </w:drawing>
      </w:r>
    </w:p>
    <w:p>
      <w:pPr>
        <w:pStyle w:val="4"/>
        <w:spacing w:before="0" w:beforeLines="0" w:after="0" w:afterLines="0" w:line="240" w:lineRule="auto"/>
        <w:rPr>
          <w:rFonts w:ascii="宋体" w:hAnsi="宋体"/>
          <w:szCs w:val="30"/>
        </w:rPr>
      </w:pPr>
      <w:bookmarkStart w:id="139" w:name="_Toc9259"/>
      <w:bookmarkStart w:id="140" w:name="_Toc30633"/>
      <w:bookmarkStart w:id="141" w:name="_Toc468"/>
      <w:bookmarkStart w:id="142" w:name="_Toc59386279"/>
      <w:r>
        <w:rPr>
          <w:rFonts w:hint="eastAsia" w:ascii="宋体" w:hAnsi="宋体"/>
          <w:szCs w:val="30"/>
        </w:rPr>
        <w:t>1.3</w:t>
      </w:r>
      <w:r>
        <w:rPr>
          <w:rFonts w:ascii="宋体" w:hAnsi="宋体"/>
          <w:szCs w:val="30"/>
        </w:rPr>
        <w:t>.4</w:t>
      </w:r>
      <w:r>
        <w:rPr>
          <w:rFonts w:hint="eastAsia" w:ascii="宋体" w:hAnsi="宋体"/>
          <w:szCs w:val="30"/>
        </w:rPr>
        <w:t>高层建筑</w:t>
      </w:r>
      <w:bookmarkEnd w:id="139"/>
      <w:bookmarkEnd w:id="140"/>
      <w:bookmarkEnd w:id="141"/>
      <w:bookmarkEnd w:id="142"/>
    </w:p>
    <w:p>
      <w:pPr>
        <w:spacing w:before="190" w:after="190"/>
        <w:ind w:firstLine="560"/>
        <w:rPr>
          <w:rFonts w:ascii="宋体" w:hAnsi="宋体"/>
        </w:rPr>
      </w:pPr>
      <w:r>
        <w:rPr>
          <w:rFonts w:hint="eastAsia" w:ascii="宋体" w:hAnsi="宋体"/>
        </w:rPr>
        <w:t>目前，县城共有高层建筑75栋。按照类型分：公共建筑6栋、居住建筑69栋，主要分布在县城花马池街、文化街、北环路、振远广场、盐林路、广惠西街、青年创业园、平安大道等。现状</w:t>
      </w:r>
      <w:r>
        <w:rPr>
          <w:rFonts w:ascii="宋体" w:hAnsi="宋体"/>
        </w:rPr>
        <w:t>高层建筑</w:t>
      </w:r>
      <w:r>
        <w:rPr>
          <w:rFonts w:hint="eastAsia" w:ascii="宋体" w:hAnsi="宋体"/>
        </w:rPr>
        <w:t>均</w:t>
      </w:r>
      <w:r>
        <w:rPr>
          <w:rFonts w:ascii="宋体" w:hAnsi="宋体"/>
        </w:rPr>
        <w:t>经过消防部门的审批，按照国家规范的要求设计封闭楼梯间、防烟楼梯间等，并设置消防电梯、室内外消火栓系统、防排烟系统、火灾自动报警系统和自动灭火系统等消防设施，基本具备自防自救的能力。</w:t>
      </w:r>
    </w:p>
    <w:p>
      <w:pPr>
        <w:spacing w:before="190" w:after="190"/>
        <w:ind w:firstLine="560"/>
        <w:rPr>
          <w:rFonts w:ascii="宋体" w:hAnsi="宋体"/>
        </w:rPr>
      </w:pPr>
      <w:r>
        <w:rPr>
          <w:rFonts w:hint="eastAsia" w:ascii="宋体" w:hAnsi="宋体"/>
        </w:rPr>
        <w:t>1、高层建筑火灾特点</w:t>
      </w:r>
    </w:p>
    <w:p>
      <w:pPr>
        <w:spacing w:before="190" w:after="190"/>
        <w:ind w:firstLine="560"/>
        <w:rPr>
          <w:rFonts w:ascii="宋体" w:hAnsi="宋体"/>
        </w:rPr>
      </w:pPr>
      <w:r>
        <w:rPr>
          <w:rFonts w:hint="eastAsia" w:ascii="宋体" w:hAnsi="宋体"/>
        </w:rPr>
        <w:t>1）火势蔓延快。高层建筑的楼梯间、电梯井、管道井、风道、电缆井等空间特别大，如果受到气流的影响，小火就会演变成为大火。例如一座高100m的高层建筑内，在无遮挡的情况下，在30秒内烟气就能达到顶层。建筑物越高，形成风速越大。风速越大，火势的蔓延速度越快。</w:t>
      </w:r>
    </w:p>
    <w:p>
      <w:pPr>
        <w:spacing w:before="190" w:after="190"/>
        <w:ind w:firstLine="560"/>
        <w:rPr>
          <w:rFonts w:ascii="宋体" w:hAnsi="宋体"/>
        </w:rPr>
      </w:pPr>
      <w:r>
        <w:rPr>
          <w:rFonts w:hint="eastAsia" w:ascii="宋体" w:hAnsi="宋体"/>
        </w:rPr>
        <w:t>2）疏散困难。高层建筑因为居住人员比较集中，造成楼道比较拥挤，消防队员的消防车和消防云梯高度有限；因此，当火灾发生时，电梯关闭，人员疏散均集中在疏散通道内，容易出现拥挤踩踏情况；并且火灾发生时火势和烟气迅速向上蔓延，而发生火灾时人们涌向楼梯间，使烟气窜入，增加了疏散难度。</w:t>
      </w:r>
    </w:p>
    <w:p>
      <w:pPr>
        <w:spacing w:before="190" w:after="190"/>
        <w:ind w:firstLine="560"/>
        <w:rPr>
          <w:rFonts w:ascii="宋体" w:hAnsi="宋体"/>
        </w:rPr>
      </w:pPr>
      <w:r>
        <w:rPr>
          <w:rFonts w:hint="eastAsia"/>
        </w:rPr>
        <w:t>3</w:t>
      </w:r>
      <w:r>
        <w:rPr>
          <w:rFonts w:hint="eastAsia" w:ascii="宋体" w:hAnsi="宋体"/>
        </w:rPr>
        <w:t>）扑救难度大。当高层建筑火灾发生在一定高度内，消防队员可以利用消防水枪、消防云梯对火灾现场进行施救，但超过登高平台车救援极限，消防队员通过楼梯到达火灾现场，就可能耽误了火灾抢救的最佳时间。</w:t>
      </w:r>
    </w:p>
    <w:p>
      <w:pPr>
        <w:spacing w:before="190" w:after="190"/>
        <w:ind w:firstLine="560"/>
        <w:rPr>
          <w:rFonts w:ascii="宋体" w:hAnsi="宋体"/>
        </w:rPr>
      </w:pPr>
      <w:r>
        <w:rPr>
          <w:rFonts w:hint="eastAsia" w:ascii="宋体" w:hAnsi="宋体"/>
        </w:rPr>
        <w:t>4）发生火灾概率较大。高层建筑内部电气线路较为复杂、设施设备繁多、用电量较大，随着电器线路老化，容易发生火灾，且高层建筑易燃物较多，引燃后不易扑救。</w:t>
      </w:r>
    </w:p>
    <w:p>
      <w:pPr>
        <w:spacing w:before="190" w:after="190"/>
        <w:ind w:firstLine="560"/>
        <w:rPr>
          <w:rFonts w:ascii="宋体" w:hAnsi="宋体"/>
        </w:rPr>
      </w:pPr>
      <w:r>
        <w:rPr>
          <w:rFonts w:hint="eastAsia" w:ascii="宋体" w:hAnsi="宋体"/>
        </w:rPr>
        <w:t>2、</w:t>
      </w:r>
      <w:r>
        <w:rPr>
          <w:rFonts w:ascii="宋体" w:hAnsi="宋体"/>
        </w:rPr>
        <w:t>高层建筑消防安全存在的问题如下：</w:t>
      </w:r>
    </w:p>
    <w:p>
      <w:pPr>
        <w:spacing w:before="190" w:after="190"/>
        <w:ind w:firstLine="560"/>
        <w:rPr>
          <w:rFonts w:ascii="宋体" w:hAnsi="宋体"/>
        </w:rPr>
      </w:pPr>
      <w:r>
        <w:rPr>
          <w:rFonts w:hint="eastAsia" w:ascii="宋体" w:hAnsi="宋体"/>
        </w:rPr>
        <w:t>1）火险隐患多、疏散不畅通，人员逃生难度大。高层建筑室外停车占用消防通道的现象比较普遍，部分高层建筑室外环形消防车道不够通畅，严重影响灭火救援。</w:t>
      </w:r>
    </w:p>
    <w:p>
      <w:pPr>
        <w:spacing w:before="190" w:after="190"/>
        <w:ind w:firstLine="560"/>
        <w:rPr>
          <w:rFonts w:ascii="宋体" w:hAnsi="宋体"/>
        </w:rPr>
      </w:pPr>
      <w:r>
        <w:rPr>
          <w:rFonts w:hint="eastAsia" w:ascii="宋体" w:hAnsi="宋体"/>
        </w:rPr>
        <w:t>2）高层建筑自动消防设施管理不能适应消防安全的需要。部分高层建筑由于使用单位管理手段落后，安全意识不强，自动消防设施的完好率不高，一旦自动消防设施不能发挥作用，火灾扑救将十分困难。</w:t>
      </w:r>
    </w:p>
    <w:p>
      <w:pPr>
        <w:spacing w:before="190" w:after="190"/>
        <w:ind w:firstLine="560"/>
        <w:rPr>
          <w:rFonts w:ascii="宋体" w:hAnsi="宋体"/>
        </w:rPr>
      </w:pPr>
      <w:r>
        <w:rPr>
          <w:rFonts w:hint="eastAsia" w:ascii="宋体" w:hAnsi="宋体"/>
        </w:rPr>
        <w:t>3）安全疏散通道不畅。部分高层建筑疏散楼梯间防火门不常闭、楼道内堆放杂物等问题普遍，发生火灾后，用于逃生的通道充满有毒烟雾，严重威胁人身安全。</w:t>
      </w:r>
    </w:p>
    <w:p>
      <w:pPr>
        <w:spacing w:before="190" w:after="190"/>
        <w:ind w:firstLine="560"/>
        <w:rPr>
          <w:rFonts w:ascii="宋体" w:hAnsi="宋体"/>
        </w:rPr>
      </w:pPr>
      <w:r>
        <w:rPr>
          <w:rFonts w:hint="eastAsia" w:ascii="宋体" w:hAnsi="宋体"/>
        </w:rPr>
        <w:t>4）灭火救援难度大。目前，50米以上特别是超过100米的楼层发生火灾，除利用建筑内部消防设施外，从外部救援手段有限。有的灭火作业面被汽车、隔离桩等占用，或者受架空电线、广告牌等影响，举高消防车无法停靠作业，无法有效开展救援行动。</w:t>
      </w:r>
    </w:p>
    <w:p>
      <w:pPr>
        <w:spacing w:before="190" w:after="190"/>
        <w:ind w:firstLine="560"/>
        <w:rPr>
          <w:rFonts w:ascii="宋体" w:hAnsi="宋体"/>
        </w:rPr>
      </w:pPr>
      <w:r>
        <w:rPr>
          <w:rFonts w:hint="eastAsia" w:ascii="宋体" w:hAnsi="宋体"/>
        </w:rPr>
        <w:t>5）认识不到位，责任不落实，发生火灾风险高。消防安全责任落实不到位，大部分高层建筑物业服务企业主体责任不明确，缺少消防安全管理组织和人员，在消防设施方面投入不够，日常防火巡查检查、维护保养不到位，存在火灾隐患。</w:t>
      </w:r>
    </w:p>
    <w:p>
      <w:pPr>
        <w:spacing w:before="190" w:after="0" w:afterLines="0"/>
        <w:ind w:firstLine="0" w:firstLineChars="0"/>
        <w:jc w:val="center"/>
        <w:rPr>
          <w:rFonts w:hint="eastAsia" w:ascii="宋体" w:hAnsi="宋体"/>
        </w:rPr>
      </w:pPr>
      <w:r>
        <w:rPr>
          <w:rFonts w:ascii="宋体" w:hAnsi="宋体"/>
        </w:rPr>
        <w:drawing>
          <wp:inline distT="0" distB="0" distL="114300" distR="114300">
            <wp:extent cx="5330190" cy="3938270"/>
            <wp:effectExtent l="0" t="0" r="3810" b="5080"/>
            <wp:docPr id="4" name="图片 10" descr="04-城市高层建筑现状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0" descr="04-城市高层建筑现状分布图"/>
                    <pic:cNvPicPr>
                      <a:picLocks noChangeAspect="true"/>
                    </pic:cNvPicPr>
                  </pic:nvPicPr>
                  <pic:blipFill>
                    <a:blip r:embed="rId25"/>
                    <a:srcRect l="3261"/>
                    <a:stretch>
                      <a:fillRect/>
                    </a:stretch>
                  </pic:blipFill>
                  <pic:spPr>
                    <a:xfrm>
                      <a:off x="0" y="0"/>
                      <a:ext cx="5330190" cy="3938270"/>
                    </a:xfrm>
                    <a:prstGeom prst="rect">
                      <a:avLst/>
                    </a:prstGeom>
                    <a:noFill/>
                    <a:ln>
                      <a:noFill/>
                    </a:ln>
                  </pic:spPr>
                </pic:pic>
              </a:graphicData>
            </a:graphic>
          </wp:inline>
        </w:drawing>
      </w:r>
    </w:p>
    <w:p>
      <w:pPr>
        <w:pStyle w:val="4"/>
        <w:spacing w:before="0" w:beforeLines="0" w:after="0" w:afterLines="0" w:line="240" w:lineRule="auto"/>
        <w:rPr>
          <w:rFonts w:ascii="宋体" w:hAnsi="宋体"/>
          <w:szCs w:val="30"/>
        </w:rPr>
      </w:pPr>
      <w:bookmarkStart w:id="143" w:name="_Toc9507"/>
      <w:bookmarkStart w:id="144" w:name="_Toc59386280"/>
      <w:bookmarkStart w:id="145" w:name="_Toc5024"/>
      <w:bookmarkStart w:id="146" w:name="_Toc29106"/>
      <w:r>
        <w:rPr>
          <w:rFonts w:hint="eastAsia" w:ascii="宋体" w:hAnsi="宋体"/>
          <w:szCs w:val="30"/>
        </w:rPr>
        <w:t>1.3.</w:t>
      </w:r>
      <w:r>
        <w:rPr>
          <w:rFonts w:ascii="宋体" w:hAnsi="宋体"/>
          <w:szCs w:val="30"/>
        </w:rPr>
        <w:t>5</w:t>
      </w:r>
      <w:r>
        <w:rPr>
          <w:rFonts w:hint="eastAsia" w:ascii="宋体" w:hAnsi="宋体"/>
          <w:szCs w:val="30"/>
        </w:rPr>
        <w:t>地下建筑</w:t>
      </w:r>
      <w:bookmarkEnd w:id="143"/>
      <w:bookmarkEnd w:id="144"/>
      <w:bookmarkEnd w:id="145"/>
      <w:bookmarkEnd w:id="146"/>
    </w:p>
    <w:p>
      <w:pPr>
        <w:spacing w:before="190" w:after="190"/>
        <w:ind w:firstLine="560"/>
        <w:rPr>
          <w:rFonts w:ascii="宋体" w:hAnsi="宋体"/>
        </w:rPr>
      </w:pPr>
      <w:r>
        <w:rPr>
          <w:rFonts w:hint="eastAsia" w:ascii="宋体" w:hAnsi="宋体"/>
        </w:rPr>
        <w:t>县城现有地下建筑12处，总建筑面积5.28万平方米，其中10处为地下停车库，2处为商场，主要分布在花马池西街、盐林南路、西北环路、南环路北侧、振兴路、振远广场玺玉园南门，地下建筑由于处在封闭状态，只有内部空间，绝大多数没有与外部空气直接连通的外窗，内部连通的孔洞少，面积也较小，所以相对比地上建筑的火灾造成的后果更严重。</w:t>
      </w:r>
    </w:p>
    <w:p>
      <w:pPr>
        <w:spacing w:before="190" w:after="190"/>
        <w:ind w:firstLine="560"/>
        <w:rPr>
          <w:rFonts w:ascii="宋体" w:hAnsi="宋体"/>
        </w:rPr>
      </w:pPr>
      <w:r>
        <w:rPr>
          <w:rFonts w:hint="eastAsia" w:ascii="宋体" w:hAnsi="宋体"/>
        </w:rPr>
        <w:t>地下建筑消防安全存在的问题如下：</w:t>
      </w:r>
    </w:p>
    <w:p>
      <w:pPr>
        <w:spacing w:before="190" w:after="190"/>
        <w:ind w:firstLine="560"/>
        <w:rPr>
          <w:rFonts w:ascii="宋体" w:hAnsi="宋体"/>
        </w:rPr>
      </w:pPr>
      <w:r>
        <w:rPr>
          <w:rFonts w:hint="eastAsia" w:ascii="宋体" w:hAnsi="宋体"/>
        </w:rPr>
        <w:t>1、内部格局复杂，出入通道少，安全疏散困难</w:t>
      </w:r>
    </w:p>
    <w:p>
      <w:pPr>
        <w:spacing w:before="190" w:after="190"/>
        <w:ind w:firstLine="560"/>
        <w:rPr>
          <w:rFonts w:ascii="宋体" w:hAnsi="宋体"/>
        </w:rPr>
      </w:pPr>
      <w:r>
        <w:rPr>
          <w:rFonts w:hint="eastAsia" w:ascii="宋体" w:hAnsi="宋体"/>
        </w:rPr>
        <w:t>地下商场、停车场内部结构复杂，出入通道少，发生火灾时，人员疏散存在较大困难。</w:t>
      </w:r>
    </w:p>
    <w:p>
      <w:pPr>
        <w:spacing w:before="190" w:after="190"/>
        <w:ind w:firstLine="560"/>
        <w:rPr>
          <w:rFonts w:ascii="宋体" w:hAnsi="宋体"/>
        </w:rPr>
      </w:pPr>
      <w:r>
        <w:rPr>
          <w:rFonts w:hint="eastAsia" w:ascii="宋体" w:hAnsi="宋体"/>
        </w:rPr>
        <w:t>2、火场内部温度高，不完全燃烧产物和有毒气体含量高，易引起复燃</w:t>
      </w:r>
    </w:p>
    <w:p>
      <w:pPr>
        <w:spacing w:before="190" w:after="190"/>
        <w:ind w:firstLine="560"/>
        <w:rPr>
          <w:rFonts w:ascii="宋体" w:hAnsi="宋体"/>
        </w:rPr>
      </w:pPr>
      <w:r>
        <w:rPr>
          <w:rFonts w:hint="eastAsia" w:ascii="宋体" w:hAnsi="宋体"/>
        </w:rPr>
        <w:t>地下建筑密封性好，没有门、窗直接与外部相通，火灾时大量物质的燃烧速度与燃烧的充分性受到影响，造成燃烧速度慢、阴燃时间长、产生大量浓烟和有毒气体，随着蓄热温度升高，产生高热烟气流，当某一阴燃物与外界空气形成对流时，火势又会迅速复燃，给现场救援人员造成极大的危险。</w:t>
      </w:r>
    </w:p>
    <w:p>
      <w:pPr>
        <w:spacing w:before="190" w:after="190"/>
        <w:ind w:firstLine="560"/>
        <w:rPr>
          <w:rFonts w:ascii="宋体" w:hAnsi="宋体"/>
        </w:rPr>
      </w:pPr>
      <w:r>
        <w:rPr>
          <w:rFonts w:hint="eastAsia" w:ascii="宋体" w:hAnsi="宋体"/>
        </w:rPr>
        <w:t>3、内部纵深大，层数多，灭火战斗困难</w:t>
      </w:r>
    </w:p>
    <w:p>
      <w:pPr>
        <w:spacing w:before="190" w:after="190"/>
        <w:ind w:firstLine="560"/>
        <w:rPr>
          <w:rFonts w:ascii="宋体" w:hAnsi="宋体"/>
        </w:rPr>
      </w:pPr>
      <w:r>
        <w:rPr>
          <w:rFonts w:hint="eastAsia" w:ascii="宋体" w:hAnsi="宋体"/>
        </w:rPr>
        <w:t>大型地下商场、汽车库，其建筑都有较大的长度，两个安全出入口中间距离一般都有大于50米，发生火灾时，受高温、浓烟和光照度影响，消防人员接近火点难度大，特别是对地下二层的火灾扑救，因其复杂程度大于一层，其灭火难度更大。其次，消防站配备的装备器材，不能完全满足地下建筑火灾的扑救需求。</w:t>
      </w:r>
    </w:p>
    <w:p>
      <w:pPr>
        <w:spacing w:before="190" w:after="190"/>
        <w:ind w:firstLine="560"/>
        <w:rPr>
          <w:rFonts w:ascii="宋体" w:hAnsi="宋体"/>
        </w:rPr>
      </w:pPr>
      <w:r>
        <w:rPr>
          <w:rFonts w:hint="eastAsia" w:ascii="宋体" w:hAnsi="宋体"/>
        </w:rPr>
        <w:t>4、地下建筑消防控制中心易受烟气和火势威胁，固定消防设施易损。</w:t>
      </w:r>
    </w:p>
    <w:p>
      <w:pPr>
        <w:spacing w:before="190" w:after="190"/>
        <w:ind w:firstLine="560"/>
        <w:rPr>
          <w:rFonts w:ascii="宋体" w:hAnsi="宋体"/>
        </w:rPr>
      </w:pPr>
      <w:r>
        <w:rPr>
          <w:rFonts w:hint="eastAsia" w:ascii="宋体" w:hAnsi="宋体"/>
        </w:rPr>
        <w:t>一般大型地下商场中设置的消防控制中心，多数与营业区域相连通，而且只有个别通道，一旦被烟火封锁，很容易使指挥与控制工作中断，失去应有的作用。初起火势一旦控制不住，短时间内凶猛的火势和长时间的高温，极易使内部固定消防设施受到损坏，如防火卷帘变形、消火栓水带烧毁、喷淋系统失灵等，因此加大了地下建筑灭火难度。</w:t>
      </w:r>
    </w:p>
    <w:p>
      <w:pPr>
        <w:pStyle w:val="4"/>
        <w:spacing w:before="0" w:beforeLines="0" w:after="0" w:afterLines="0" w:line="240" w:lineRule="auto"/>
        <w:rPr>
          <w:rFonts w:ascii="宋体" w:hAnsi="宋体"/>
          <w:szCs w:val="30"/>
        </w:rPr>
      </w:pPr>
      <w:bookmarkStart w:id="147" w:name="_Toc26835"/>
      <w:bookmarkStart w:id="148" w:name="_Toc59386281"/>
      <w:bookmarkStart w:id="149" w:name="_Toc24469"/>
      <w:bookmarkStart w:id="150" w:name="_Toc13539"/>
      <w:r>
        <w:rPr>
          <w:rFonts w:hint="eastAsia" w:ascii="宋体" w:hAnsi="宋体"/>
          <w:szCs w:val="30"/>
        </w:rPr>
        <w:t>1.3.</w:t>
      </w:r>
      <w:r>
        <w:rPr>
          <w:rFonts w:ascii="宋体" w:hAnsi="宋体"/>
          <w:szCs w:val="30"/>
        </w:rPr>
        <w:t>6</w:t>
      </w:r>
      <w:r>
        <w:rPr>
          <w:rFonts w:hint="eastAsia" w:ascii="宋体" w:hAnsi="宋体"/>
          <w:szCs w:val="30"/>
        </w:rPr>
        <w:t>公共娱乐场所</w:t>
      </w:r>
      <w:bookmarkEnd w:id="147"/>
      <w:bookmarkEnd w:id="148"/>
      <w:bookmarkEnd w:id="149"/>
      <w:bookmarkEnd w:id="150"/>
    </w:p>
    <w:p>
      <w:pPr>
        <w:spacing w:before="190" w:after="190"/>
        <w:ind w:firstLine="560"/>
        <w:rPr>
          <w:rFonts w:ascii="宋体" w:hAnsi="宋体"/>
        </w:rPr>
      </w:pPr>
      <w:r>
        <w:rPr>
          <w:rFonts w:hint="eastAsia" w:ascii="宋体" w:hAnsi="宋体"/>
        </w:rPr>
        <w:t>全县现有公共娱乐场所共56家，其中40家集中在县城，16家分布在大水坑镇、惠安堡镇、高沙窝镇；公共娱乐场所主要为</w:t>
      </w:r>
      <w:r>
        <w:rPr>
          <w:rFonts w:ascii="宋体" w:hAnsi="宋体"/>
        </w:rPr>
        <w:t>KTV</w:t>
      </w:r>
      <w:r>
        <w:rPr>
          <w:rFonts w:hint="eastAsia" w:ascii="宋体" w:hAnsi="宋体"/>
        </w:rPr>
        <w:t>会所、酒吧、网咖等。</w:t>
      </w:r>
    </w:p>
    <w:p>
      <w:pPr>
        <w:spacing w:before="190" w:after="190"/>
        <w:ind w:firstLine="560"/>
        <w:rPr>
          <w:rFonts w:ascii="宋体" w:hAnsi="宋体"/>
        </w:rPr>
      </w:pPr>
      <w:r>
        <w:rPr>
          <w:rFonts w:hint="eastAsia" w:ascii="宋体" w:hAnsi="宋体"/>
        </w:rPr>
        <w:t>1、公共娱乐场所的特点：</w:t>
      </w:r>
    </w:p>
    <w:p>
      <w:pPr>
        <w:spacing w:before="190" w:after="190"/>
        <w:ind w:firstLine="560"/>
        <w:rPr>
          <w:rFonts w:ascii="宋体" w:hAnsi="宋体"/>
        </w:rPr>
      </w:pPr>
      <w:r>
        <w:rPr>
          <w:rFonts w:hint="eastAsia" w:ascii="宋体" w:hAnsi="宋体"/>
        </w:rPr>
        <w:t>1）建筑形式多样。娱乐场所很少有独立的建筑，经营者一般都是租用建筑物的一个局部进行装修和改造，有的是在商场、办公楼的某个楼层，有的在废弃的仓库或厂房内，有的甚至是在居民住宅楼内。这些建筑内部的消防设计通常不能满足公共娱乐场所消防设计要求。</w:t>
      </w:r>
    </w:p>
    <w:p>
      <w:pPr>
        <w:spacing w:before="190" w:after="190"/>
        <w:ind w:firstLine="560"/>
        <w:rPr>
          <w:rFonts w:ascii="宋体" w:hAnsi="宋体"/>
        </w:rPr>
      </w:pPr>
      <w:r>
        <w:rPr>
          <w:rFonts w:hint="eastAsia" w:ascii="宋体" w:hAnsi="宋体"/>
        </w:rPr>
        <w:t>2）内部结构复杂。娱乐场所本身有行业及使用的要求，内部通道错综复杂。一些KTV包房、卡拉OK厅在进行装修的时候为了充分利用建筑内部空间，或者为了隐蔽一些角落，往往在走道两侧或拐角布置房间，令人如身处迷宫。</w:t>
      </w:r>
    </w:p>
    <w:p>
      <w:pPr>
        <w:spacing w:before="190" w:after="190"/>
        <w:ind w:firstLine="560"/>
        <w:rPr>
          <w:rFonts w:ascii="宋体" w:hAnsi="宋体"/>
        </w:rPr>
      </w:pPr>
      <w:r>
        <w:rPr>
          <w:rFonts w:hint="eastAsia" w:ascii="宋体" w:hAnsi="宋体"/>
        </w:rPr>
        <w:t>3）可燃、易燃物品多，火灾荷载大。大部分KTV会所、酒吧等场所装修采用大量木材、塑料、纤维织品等可燃材料，直接导致火灾荷载大幅度增加。</w:t>
      </w:r>
    </w:p>
    <w:p>
      <w:pPr>
        <w:spacing w:before="190" w:after="190"/>
        <w:ind w:firstLine="560"/>
        <w:rPr>
          <w:rFonts w:ascii="宋体" w:hAnsi="宋体"/>
        </w:rPr>
      </w:pPr>
      <w:r>
        <w:rPr>
          <w:rFonts w:hint="eastAsia" w:ascii="宋体" w:hAnsi="宋体"/>
        </w:rPr>
        <w:t>4）用电设备多、着火源多。公共娱乐场所一般采用多种照明和各类音响设备，且数量多、功率大。由于用电设备、电气线路多，若安装、使用不当，很容易引发火灾。</w:t>
      </w:r>
    </w:p>
    <w:p>
      <w:pPr>
        <w:spacing w:before="190" w:after="190"/>
        <w:ind w:firstLine="560"/>
        <w:rPr>
          <w:rFonts w:ascii="宋体" w:hAnsi="宋体"/>
        </w:rPr>
      </w:pPr>
      <w:r>
        <w:rPr>
          <w:rFonts w:hint="eastAsia" w:ascii="宋体" w:hAnsi="宋体"/>
        </w:rPr>
        <w:t>2、公共娱乐场所以下消防安全较为突出：</w:t>
      </w:r>
    </w:p>
    <w:p>
      <w:pPr>
        <w:spacing w:before="190" w:after="190"/>
        <w:ind w:firstLine="560"/>
        <w:rPr>
          <w:rFonts w:ascii="宋体" w:hAnsi="宋体"/>
        </w:rPr>
      </w:pPr>
      <w:r>
        <w:rPr>
          <w:rFonts w:hint="eastAsia" w:ascii="宋体" w:hAnsi="宋体"/>
        </w:rPr>
        <w:t>1）</w:t>
      </w:r>
      <w:r>
        <w:rPr>
          <w:rFonts w:ascii="宋体" w:hAnsi="宋体"/>
        </w:rPr>
        <w:t>消防安全管理制度</w:t>
      </w:r>
      <w:r>
        <w:rPr>
          <w:rFonts w:hint="eastAsia" w:ascii="宋体" w:hAnsi="宋体"/>
        </w:rPr>
        <w:t>有待加强</w:t>
      </w:r>
      <w:r>
        <w:rPr>
          <w:rFonts w:ascii="宋体" w:hAnsi="宋体"/>
        </w:rPr>
        <w:t>。</w:t>
      </w:r>
      <w:r>
        <w:rPr>
          <w:rFonts w:hint="eastAsia" w:ascii="宋体" w:hAnsi="宋体"/>
        </w:rPr>
        <w:t>部分公共娱乐场所</w:t>
      </w:r>
      <w:r>
        <w:rPr>
          <w:rFonts w:ascii="宋体" w:hAnsi="宋体"/>
        </w:rPr>
        <w:t>虽然建立了</w:t>
      </w:r>
      <w:r>
        <w:rPr>
          <w:rFonts w:hint="eastAsia" w:ascii="宋体" w:hAnsi="宋体"/>
        </w:rPr>
        <w:t>消防安全管理制度，</w:t>
      </w:r>
      <w:r>
        <w:rPr>
          <w:rFonts w:ascii="宋体" w:hAnsi="宋体"/>
        </w:rPr>
        <w:t>但内容不具体、不全面，没有随着消防法律法规的修订和完善及时予以修订，缺乏可操作性。</w:t>
      </w:r>
    </w:p>
    <w:p>
      <w:pPr>
        <w:spacing w:before="190" w:after="190"/>
        <w:ind w:firstLine="560"/>
        <w:rPr>
          <w:rFonts w:ascii="宋体" w:hAnsi="宋体"/>
        </w:rPr>
      </w:pPr>
      <w:r>
        <w:rPr>
          <w:rFonts w:hint="eastAsia" w:ascii="宋体" w:hAnsi="宋体"/>
        </w:rPr>
        <w:t>2）</w:t>
      </w:r>
      <w:r>
        <w:rPr>
          <w:rFonts w:ascii="宋体" w:hAnsi="宋体"/>
        </w:rPr>
        <w:t>某些公共娱乐场所未经消防审核，擅自改变建筑物或场所的使用性质</w:t>
      </w:r>
      <w:r>
        <w:rPr>
          <w:rFonts w:hint="eastAsia" w:ascii="宋体" w:hAnsi="宋体"/>
        </w:rPr>
        <w:t>。</w:t>
      </w:r>
      <w:r>
        <w:rPr>
          <w:rFonts w:ascii="宋体" w:hAnsi="宋体"/>
        </w:rPr>
        <w:t>不经验收擅自投入使用</w:t>
      </w:r>
      <w:r>
        <w:rPr>
          <w:rFonts w:hint="eastAsia" w:ascii="宋体" w:hAnsi="宋体"/>
        </w:rPr>
        <w:t>或</w:t>
      </w:r>
      <w:r>
        <w:rPr>
          <w:rFonts w:ascii="宋体" w:hAnsi="宋体"/>
        </w:rPr>
        <w:t>验收不合格投入使用</w:t>
      </w:r>
      <w:r>
        <w:rPr>
          <w:rFonts w:hint="eastAsia" w:ascii="宋体" w:hAnsi="宋体"/>
        </w:rPr>
        <w:t>等情况时有发生</w:t>
      </w:r>
      <w:r>
        <w:rPr>
          <w:rFonts w:ascii="宋体" w:hAnsi="宋体"/>
        </w:rPr>
        <w:t>，，致使消防设施先天不足，留下大量的火灾隐患，增大了火灾危险性。</w:t>
      </w:r>
    </w:p>
    <w:p>
      <w:pPr>
        <w:pStyle w:val="3"/>
        <w:spacing w:before="190" w:after="190"/>
        <w:rPr>
          <w:rFonts w:ascii="宋体" w:hAnsi="宋体"/>
          <w:szCs w:val="32"/>
        </w:rPr>
      </w:pPr>
      <w:bookmarkStart w:id="151" w:name="_Toc27999"/>
      <w:bookmarkStart w:id="152" w:name="_Toc15283"/>
      <w:bookmarkStart w:id="153" w:name="_Toc1817"/>
      <w:r>
        <w:rPr>
          <w:rFonts w:hint="eastAsia" w:ascii="宋体" w:hAnsi="宋体"/>
          <w:szCs w:val="32"/>
        </w:rPr>
        <w:t>1.4消防通道现状</w:t>
      </w:r>
      <w:bookmarkEnd w:id="151"/>
      <w:bookmarkEnd w:id="152"/>
      <w:bookmarkEnd w:id="153"/>
    </w:p>
    <w:p>
      <w:pPr>
        <w:pStyle w:val="4"/>
        <w:spacing w:before="0" w:beforeLines="0" w:after="0" w:afterLines="0" w:line="240" w:lineRule="auto"/>
        <w:rPr>
          <w:rFonts w:ascii="宋体" w:hAnsi="宋体"/>
          <w:szCs w:val="30"/>
        </w:rPr>
      </w:pPr>
      <w:bookmarkStart w:id="154" w:name="_Toc31349"/>
      <w:bookmarkStart w:id="155" w:name="_Toc59386283"/>
      <w:bookmarkStart w:id="156" w:name="_Toc5400"/>
      <w:bookmarkStart w:id="157" w:name="_Toc171"/>
      <w:r>
        <w:rPr>
          <w:rFonts w:hint="eastAsia" w:ascii="宋体" w:hAnsi="宋体"/>
          <w:szCs w:val="30"/>
        </w:rPr>
        <w:t>1.4.1道路概况</w:t>
      </w:r>
      <w:bookmarkEnd w:id="154"/>
      <w:bookmarkEnd w:id="155"/>
      <w:bookmarkEnd w:id="156"/>
      <w:bookmarkEnd w:id="157"/>
    </w:p>
    <w:p>
      <w:pPr>
        <w:spacing w:before="190" w:after="190"/>
        <w:ind w:firstLine="560"/>
        <w:rPr>
          <w:rFonts w:hint="eastAsia" w:ascii="宋体" w:hAnsi="宋体"/>
        </w:rPr>
      </w:pPr>
      <w:r>
        <w:rPr>
          <w:rFonts w:hint="eastAsia" w:ascii="宋体" w:hAnsi="宋体"/>
        </w:rPr>
        <w:t>县城消防车通道主要依靠城市道路网系统。城市道路网呈方格网布局，城市道路分为3个等级：主干路、次干路、支路，形成“五横九纵”的主干路网骨架，对改善城市交通、确保消防车通道畅通发挥了较好的作用。</w:t>
      </w:r>
    </w:p>
    <w:p>
      <w:pPr>
        <w:pStyle w:val="4"/>
        <w:spacing w:before="0" w:beforeLines="0" w:after="0" w:afterLines="0" w:line="240" w:lineRule="auto"/>
        <w:rPr>
          <w:rFonts w:ascii="宋体" w:hAnsi="宋体"/>
          <w:szCs w:val="30"/>
        </w:rPr>
      </w:pPr>
      <w:bookmarkStart w:id="158" w:name="_Toc14217"/>
      <w:bookmarkStart w:id="159" w:name="_Toc20801"/>
      <w:bookmarkStart w:id="160" w:name="_Toc19658"/>
      <w:bookmarkStart w:id="161" w:name="_Toc59386284"/>
      <w:r>
        <w:rPr>
          <w:rFonts w:hint="eastAsia" w:ascii="宋体" w:hAnsi="宋体"/>
          <w:szCs w:val="30"/>
        </w:rPr>
        <w:t>1.4.2存在问题</w:t>
      </w:r>
      <w:bookmarkEnd w:id="158"/>
      <w:bookmarkEnd w:id="159"/>
      <w:bookmarkEnd w:id="160"/>
      <w:bookmarkEnd w:id="161"/>
    </w:p>
    <w:p>
      <w:pPr>
        <w:spacing w:before="190" w:after="190"/>
        <w:ind w:firstLine="560"/>
        <w:rPr>
          <w:rFonts w:ascii="宋体" w:hAnsi="宋体"/>
        </w:rPr>
      </w:pPr>
      <w:r>
        <w:rPr>
          <w:rFonts w:hint="eastAsia" w:ascii="宋体" w:hAnsi="宋体"/>
        </w:rPr>
        <w:t>1、县城老城区，人口、建筑密度较高，交通拥挤。道路断头路较多，道路大多狭窄，且多为机动车和非机动车混行。</w:t>
      </w:r>
    </w:p>
    <w:p>
      <w:pPr>
        <w:spacing w:before="190" w:after="190"/>
        <w:ind w:firstLine="560"/>
        <w:rPr>
          <w:rFonts w:ascii="宋体" w:hAnsi="宋体"/>
        </w:rPr>
      </w:pPr>
      <w:r>
        <w:rPr>
          <w:rFonts w:hint="eastAsia" w:ascii="宋体" w:hAnsi="宋体"/>
        </w:rPr>
        <w:t>2、现状过境交通与城市交通混行，对城市内部交通影响较大。公共停车场较少，大量机动车辆沿街停放，造成消防通道堵塞，直接影响消防车辆快速抵达火场，延误灭火战机。</w:t>
      </w:r>
    </w:p>
    <w:p>
      <w:pPr>
        <w:spacing w:before="190" w:after="190"/>
        <w:ind w:firstLine="560"/>
        <w:rPr>
          <w:rFonts w:ascii="宋体" w:hAnsi="宋体"/>
        </w:rPr>
      </w:pPr>
      <w:r>
        <w:rPr>
          <w:rFonts w:hint="eastAsia" w:ascii="宋体" w:hAnsi="宋体"/>
        </w:rPr>
        <w:t>3、部分商业设施、居住小区为便于管理在其出入口设置固定障碍物，影响消防车迅速抵达现场。</w:t>
      </w:r>
    </w:p>
    <w:p>
      <w:pPr>
        <w:spacing w:before="190" w:after="190"/>
        <w:ind w:firstLine="560"/>
        <w:rPr>
          <w:rFonts w:ascii="宋体" w:hAnsi="宋体"/>
        </w:rPr>
      </w:pPr>
      <w:r>
        <w:rPr>
          <w:rFonts w:hint="eastAsia" w:ascii="宋体" w:hAnsi="宋体"/>
        </w:rPr>
        <w:t>4、县城内违章占道、行人违章过街、自行车横穿道路、机动车随意调头等现象较为突出。交通意识差，法制观念不强，管理手段落后。</w:t>
      </w:r>
    </w:p>
    <w:p>
      <w:pPr>
        <w:spacing w:before="190" w:after="190"/>
        <w:ind w:firstLine="0" w:firstLineChars="0"/>
        <w:jc w:val="center"/>
        <w:rPr>
          <w:rFonts w:hint="eastAsia" w:ascii="宋体" w:hAnsi="宋体"/>
        </w:rPr>
      </w:pPr>
      <w:r>
        <w:rPr>
          <w:rFonts w:ascii="宋体" w:hAnsi="宋体"/>
        </w:rPr>
        <w:drawing>
          <wp:inline distT="0" distB="0" distL="114300" distR="114300">
            <wp:extent cx="5384165" cy="3938270"/>
            <wp:effectExtent l="0" t="0" r="6985" b="5080"/>
            <wp:docPr id="8" name="图片 11" descr="06-城市道路交通现状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1" descr="06-城市道路交通现状图"/>
                    <pic:cNvPicPr>
                      <a:picLocks noChangeAspect="true"/>
                    </pic:cNvPicPr>
                  </pic:nvPicPr>
                  <pic:blipFill>
                    <a:blip r:embed="rId26"/>
                    <a:srcRect l="3261"/>
                    <a:stretch>
                      <a:fillRect/>
                    </a:stretch>
                  </pic:blipFill>
                  <pic:spPr>
                    <a:xfrm>
                      <a:off x="0" y="0"/>
                      <a:ext cx="5384165" cy="3938270"/>
                    </a:xfrm>
                    <a:prstGeom prst="rect">
                      <a:avLst/>
                    </a:prstGeom>
                    <a:noFill/>
                    <a:ln>
                      <a:noFill/>
                    </a:ln>
                  </pic:spPr>
                </pic:pic>
              </a:graphicData>
            </a:graphic>
          </wp:inline>
        </w:drawing>
      </w:r>
    </w:p>
    <w:p>
      <w:pPr>
        <w:pStyle w:val="3"/>
        <w:spacing w:before="190" w:after="190"/>
        <w:rPr>
          <w:rFonts w:ascii="宋体" w:hAnsi="宋体"/>
          <w:szCs w:val="32"/>
        </w:rPr>
      </w:pPr>
      <w:bookmarkStart w:id="162" w:name="_Toc24989"/>
      <w:bookmarkStart w:id="163" w:name="_Toc18550"/>
      <w:bookmarkStart w:id="164" w:name="_Toc31793"/>
      <w:r>
        <w:rPr>
          <w:rFonts w:hint="eastAsia" w:ascii="宋体" w:hAnsi="宋体"/>
          <w:szCs w:val="32"/>
        </w:rPr>
        <w:t>1.5消防给水现状</w:t>
      </w:r>
      <w:bookmarkEnd w:id="162"/>
      <w:bookmarkEnd w:id="163"/>
      <w:bookmarkEnd w:id="164"/>
    </w:p>
    <w:p>
      <w:pPr>
        <w:pStyle w:val="4"/>
        <w:spacing w:before="0" w:beforeLines="0" w:after="0" w:afterLines="0" w:line="240" w:lineRule="auto"/>
        <w:rPr>
          <w:rFonts w:ascii="宋体" w:hAnsi="宋体"/>
          <w:szCs w:val="30"/>
        </w:rPr>
      </w:pPr>
      <w:bookmarkStart w:id="165" w:name="_Toc17085"/>
      <w:bookmarkStart w:id="166" w:name="_Toc59386286"/>
      <w:bookmarkStart w:id="167" w:name="_Toc3203"/>
      <w:bookmarkStart w:id="168" w:name="_Toc20155"/>
      <w:r>
        <w:rPr>
          <w:rFonts w:hint="eastAsia" w:ascii="宋体" w:hAnsi="宋体"/>
          <w:szCs w:val="30"/>
        </w:rPr>
        <w:t>1.5.1 城市供水及输配水管网系统现状</w:t>
      </w:r>
      <w:bookmarkEnd w:id="165"/>
      <w:bookmarkEnd w:id="166"/>
      <w:bookmarkEnd w:id="167"/>
      <w:bookmarkEnd w:id="168"/>
    </w:p>
    <w:p>
      <w:pPr>
        <w:spacing w:before="190" w:after="190"/>
        <w:ind w:firstLine="560"/>
        <w:rPr>
          <w:rFonts w:ascii="宋体" w:hAnsi="宋体"/>
        </w:rPr>
      </w:pPr>
      <w:r>
        <w:rPr>
          <w:rFonts w:hint="eastAsia" w:ascii="宋体" w:hAnsi="宋体"/>
        </w:rPr>
        <w:t>盐池县城乡供水以刘家沟水库和鸭子荡水库为主水源，骆驼井水源地为应急备用水源。县城集中供水系统始建于1985年，水源为地下水，2010年陕甘宁扬黄续建宁夏专用人饮工程正式通水，城乡供水水源统一替换为黄河水，日供水能力达到3.5万吨。县城管网通过三次改扩建，已形成较为完善的环状管网和一补一用双回路供水系统。目前，盐池县供水系统有水处理厂2座，加压泵站69座，蓄水池108座，输配水管道2300余公里，用水总户数7.4万户，其中县城用户3.5万户，农村用户3.9万户，通过自动化、信息化建设，已实现自动控制、无人值守。</w:t>
      </w:r>
    </w:p>
    <w:p>
      <w:pPr>
        <w:spacing w:before="190" w:after="190"/>
        <w:ind w:firstLine="560"/>
      </w:pPr>
      <w:r>
        <w:rPr>
          <w:rFonts w:hint="eastAsia" w:ascii="宋体" w:hAnsi="宋体"/>
        </w:rPr>
        <w:t>城区现状配水管网已基本普及，配水管道管径为100-500毫米等规格，管材采用球墨铸铁管、灰口铸铁管、PE管、PVC-M管、UPVC管，管网布局采用环状与枝状相结合布置。</w:t>
      </w:r>
    </w:p>
    <w:p>
      <w:pPr>
        <w:pStyle w:val="4"/>
        <w:spacing w:before="0" w:beforeLines="0" w:after="0" w:afterLines="0" w:line="240" w:lineRule="auto"/>
        <w:rPr>
          <w:rFonts w:ascii="宋体" w:hAnsi="宋体"/>
          <w:szCs w:val="30"/>
        </w:rPr>
      </w:pPr>
      <w:bookmarkStart w:id="169" w:name="_Toc4325"/>
      <w:bookmarkStart w:id="170" w:name="_Toc27506"/>
      <w:bookmarkStart w:id="171" w:name="_Toc22784"/>
      <w:bookmarkStart w:id="172" w:name="_Toc59386287"/>
      <w:r>
        <w:rPr>
          <w:rFonts w:hint="eastAsia" w:ascii="宋体" w:hAnsi="宋体"/>
          <w:szCs w:val="30"/>
        </w:rPr>
        <w:t>1.5.2消火栓、消防水鹤现状</w:t>
      </w:r>
      <w:bookmarkEnd w:id="169"/>
      <w:bookmarkEnd w:id="170"/>
      <w:bookmarkEnd w:id="171"/>
      <w:bookmarkEnd w:id="172"/>
    </w:p>
    <w:p>
      <w:pPr>
        <w:spacing w:before="190" w:after="190"/>
        <w:ind w:firstLine="560"/>
        <w:rPr>
          <w:rFonts w:ascii="宋体" w:hAnsi="宋体"/>
        </w:rPr>
      </w:pPr>
      <w:r>
        <w:rPr>
          <w:rFonts w:hint="eastAsia" w:ascii="宋体" w:hAnsi="宋体"/>
        </w:rPr>
        <w:t>县城建成区已建设城市道路80.69公里，应建市政消火栓640个，已建消火栓174个，实建率27%；实有消火栓174个，其中有9个损坏，已建成完好率95%。县城新建区部分道路没有建设消火栓。</w:t>
      </w:r>
    </w:p>
    <w:p>
      <w:pPr>
        <w:spacing w:before="190" w:after="190"/>
        <w:ind w:firstLine="560"/>
        <w:rPr>
          <w:rFonts w:ascii="仿宋" w:hAnsi="仿宋" w:eastAsia="仿宋"/>
          <w:sz w:val="24"/>
        </w:rPr>
      </w:pPr>
      <w:r>
        <w:rPr>
          <w:rFonts w:hint="eastAsia" w:ascii="宋体" w:hAnsi="宋体"/>
        </w:rPr>
        <w:t>县城建成区已建设消防水鹤3个，分别位于振远西街与兴武南路交叉口、东顺路与凝翠街交叉口、盐川大道与凝翠街交叉口向东约1公里处。</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现状消火栓统计表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Layout w:type="autofit"/>
        <w:tblCellMar>
          <w:top w:w="0" w:type="dxa"/>
          <w:left w:w="108" w:type="dxa"/>
          <w:bottom w:w="0" w:type="dxa"/>
          <w:right w:w="108" w:type="dxa"/>
        </w:tblCellMar>
      </w:tblPr>
      <w:tblGrid>
        <w:gridCol w:w="881"/>
        <w:gridCol w:w="833"/>
        <w:gridCol w:w="964"/>
        <w:gridCol w:w="831"/>
        <w:gridCol w:w="898"/>
        <w:gridCol w:w="766"/>
        <w:gridCol w:w="766"/>
        <w:gridCol w:w="831"/>
        <w:gridCol w:w="1092"/>
        <w:gridCol w:w="666"/>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blHeader/>
          <w:jc w:val="center"/>
        </w:trPr>
        <w:tc>
          <w:tcPr>
            <w:tcW w:w="516" w:type="pct"/>
            <w:vMerge w:val="restar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街道</w:t>
            </w:r>
          </w:p>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名称</w:t>
            </w:r>
          </w:p>
        </w:tc>
        <w:tc>
          <w:tcPr>
            <w:tcW w:w="488" w:type="pct"/>
            <w:vMerge w:val="restar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长度</w:t>
            </w:r>
          </w:p>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（m）</w:t>
            </w:r>
          </w:p>
        </w:tc>
        <w:tc>
          <w:tcPr>
            <w:tcW w:w="565" w:type="pct"/>
            <w:vMerge w:val="restar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管径（mm）</w:t>
            </w:r>
          </w:p>
        </w:tc>
        <w:tc>
          <w:tcPr>
            <w:tcW w:w="1013" w:type="pct"/>
            <w:gridSpan w:val="2"/>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应建消火栓（个）</w:t>
            </w:r>
          </w:p>
        </w:tc>
        <w:tc>
          <w:tcPr>
            <w:tcW w:w="1385" w:type="pct"/>
            <w:gridSpan w:val="3"/>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已建消火栓（个）</w:t>
            </w:r>
          </w:p>
        </w:tc>
        <w:tc>
          <w:tcPr>
            <w:tcW w:w="640" w:type="pct"/>
            <w:vMerge w:val="restar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2019年新增（个）</w:t>
            </w:r>
          </w:p>
        </w:tc>
        <w:tc>
          <w:tcPr>
            <w:tcW w:w="390" w:type="pct"/>
            <w:vMerge w:val="restar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缺损原因</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tblHeader/>
          <w:jc w:val="center"/>
        </w:trPr>
        <w:tc>
          <w:tcPr>
            <w:tcW w:w="516"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488"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65"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48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应建数</w:t>
            </w:r>
          </w:p>
        </w:tc>
        <w:tc>
          <w:tcPr>
            <w:tcW w:w="525" w:type="pc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实建率</w:t>
            </w:r>
          </w:p>
        </w:tc>
        <w:tc>
          <w:tcPr>
            <w:tcW w:w="449" w:type="pc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实有数</w:t>
            </w:r>
          </w:p>
        </w:tc>
        <w:tc>
          <w:tcPr>
            <w:tcW w:w="449" w:type="pc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完好数</w:t>
            </w:r>
          </w:p>
        </w:tc>
        <w:tc>
          <w:tcPr>
            <w:tcW w:w="48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color w:val="000000"/>
                <w:sz w:val="24"/>
              </w:rPr>
            </w:pPr>
            <w:r>
              <w:rPr>
                <w:rFonts w:hint="eastAsia" w:ascii="仿宋" w:hAnsi="仿宋" w:eastAsia="仿宋"/>
                <w:b/>
                <w:color w:val="000000"/>
                <w:sz w:val="24"/>
              </w:rPr>
              <w:t>完好率</w:t>
            </w:r>
          </w:p>
        </w:tc>
        <w:tc>
          <w:tcPr>
            <w:tcW w:w="640"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390"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盐林路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3800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32</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47%</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振远街</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2830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24</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75%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18</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18</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花马</w:t>
            </w:r>
          </w:p>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池街</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555</w:t>
            </w:r>
            <w:r>
              <w:rPr>
                <w:rFonts w:hint="eastAsia" w:ascii="仿宋" w:hAnsi="仿宋" w:eastAsia="仿宋"/>
                <w:sz w:val="24"/>
              </w:rPr>
              <w:t>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46</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56.5%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26</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25</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96%</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1个</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掩埋</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盐州路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359</w:t>
            </w:r>
            <w:r>
              <w:rPr>
                <w:rFonts w:hint="eastAsia" w:ascii="仿宋" w:hAnsi="仿宋" w:eastAsia="仿宋"/>
                <w:sz w:val="24"/>
              </w:rPr>
              <w:t>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30</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13%</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盐池县</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市场</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600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60%</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安居巷</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140</w:t>
            </w:r>
            <w:r>
              <w:rPr>
                <w:rFonts w:hint="eastAsia" w:ascii="仿宋" w:hAnsi="仿宋" w:eastAsia="仿宋"/>
                <w:sz w:val="24"/>
              </w:rPr>
              <w:t>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12</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42%</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振兴路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w:t>
            </w:r>
            <w:r>
              <w:rPr>
                <w:rFonts w:hint="eastAsia" w:ascii="仿宋" w:hAnsi="仿宋" w:eastAsia="仿宋"/>
                <w:sz w:val="24"/>
              </w:rPr>
              <w:t>70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33%</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文化街</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3506</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29</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21%</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体育巷</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1073</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9</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永清路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2266</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19</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11%</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广惠街</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6418</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53</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24.5%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13</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77%</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3个</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锈死</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民族街</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5664</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47</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11%</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煦衍路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1627</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14</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28%</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75%</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1个</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锈死</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长城路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1678</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14</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14%</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利民巷</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433</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凝翠街</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5529</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46</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37%</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17</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13</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76%</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4个</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圈占</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解放街</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383</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200%</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G307</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国道</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37.5%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富盐路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903</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42%</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平安</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大道</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3998</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0.05%</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东顺路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2692</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22</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36%</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工业</w:t>
            </w:r>
          </w:p>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园区</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3000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500</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25</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68%</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17</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17</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100%</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兴武</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南路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161</w:t>
            </w:r>
            <w:r>
              <w:rPr>
                <w:rFonts w:hint="eastAsia" w:ascii="仿宋" w:hAnsi="仿宋" w:eastAsia="仿宋"/>
                <w:sz w:val="24"/>
              </w:rPr>
              <w:t>3</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13</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政和</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南路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1641</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14</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政谐</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南路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1648</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14</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后卫</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南路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1936</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16</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北环路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3740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仿宋" w:hAnsi="仿宋" w:eastAsia="仿宋"/>
                <w:sz w:val="24"/>
              </w:rPr>
              <w:t>31</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五原</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南路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679</w:t>
            </w:r>
            <w:r>
              <w:rPr>
                <w:rFonts w:hint="eastAsia" w:ascii="仿宋" w:hAnsi="仿宋" w:eastAsia="仿宋"/>
                <w:sz w:val="24"/>
              </w:rPr>
              <w:t>5</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仿宋" w:hAnsi="仿宋" w:eastAsia="仿宋"/>
                <w:sz w:val="24"/>
              </w:rPr>
              <w:t>56</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福州</w:t>
            </w:r>
          </w:p>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北路</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3607</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仿宋" w:hAnsi="仿宋" w:eastAsia="仿宋"/>
                <w:sz w:val="24"/>
              </w:rPr>
              <w:t>30</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cs="MS Mincho"/>
                <w:sz w:val="24"/>
              </w:rPr>
            </w:pPr>
            <w:r>
              <w:rPr>
                <w:rFonts w:hint="eastAsia" w:ascii="MS Mincho" w:hAnsi="MS Mincho" w:eastAsia="MS Mincho" w:cs="MS Mincho"/>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51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bCs/>
                <w:sz w:val="24"/>
              </w:rPr>
              <w:t>合计</w:t>
            </w:r>
          </w:p>
        </w:tc>
        <w:tc>
          <w:tcPr>
            <w:tcW w:w="48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80690</w:t>
            </w:r>
          </w:p>
        </w:tc>
        <w:tc>
          <w:tcPr>
            <w:tcW w:w="56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MS Mincho" w:hAnsi="MS Mincho" w:eastAsia="MS Mincho" w:cs="MS Mincho"/>
                <w:sz w:val="24"/>
              </w:rPr>
              <w:t>⁄</w:t>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640</w:t>
            </w:r>
          </w:p>
        </w:tc>
        <w:tc>
          <w:tcPr>
            <w:tcW w:w="52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27%</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174</w:t>
            </w:r>
          </w:p>
        </w:tc>
        <w:tc>
          <w:tcPr>
            <w:tcW w:w="44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=SUM(ABOVE) \* MERGEFORMAT </w:instrText>
            </w:r>
            <w:r>
              <w:rPr>
                <w:rFonts w:ascii="仿宋" w:hAnsi="仿宋" w:eastAsia="仿宋"/>
                <w:sz w:val="24"/>
              </w:rPr>
              <w:fldChar w:fldCharType="separate"/>
            </w:r>
            <w:r>
              <w:rPr>
                <w:rFonts w:ascii="仿宋" w:hAnsi="仿宋" w:eastAsia="仿宋"/>
                <w:sz w:val="24"/>
              </w:rPr>
              <w:t>172</w:t>
            </w:r>
            <w:r>
              <w:rPr>
                <w:rFonts w:ascii="仿宋" w:hAnsi="仿宋" w:eastAsia="仿宋"/>
                <w:sz w:val="24"/>
              </w:rPr>
              <w:fldChar w:fldCharType="end"/>
            </w:r>
          </w:p>
        </w:tc>
        <w:tc>
          <w:tcPr>
            <w:tcW w:w="48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95%</w:t>
            </w:r>
          </w:p>
        </w:tc>
        <w:tc>
          <w:tcPr>
            <w:tcW w:w="64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39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9</w:t>
            </w:r>
          </w:p>
        </w:tc>
      </w:tr>
    </w:tbl>
    <w:p>
      <w:pPr>
        <w:spacing w:before="190" w:after="190"/>
        <w:ind w:firstLine="0" w:firstLineChars="0"/>
        <w:jc w:val="center"/>
        <w:rPr>
          <w:b/>
          <w:szCs w:val="28"/>
        </w:rPr>
      </w:pPr>
      <w:r>
        <w:rPr>
          <w:rFonts w:hint="eastAsia"/>
          <w:b/>
          <w:szCs w:val="28"/>
        </w:rPr>
        <w:drawing>
          <wp:inline distT="0" distB="0" distL="114300" distR="114300">
            <wp:extent cx="5384165" cy="3938270"/>
            <wp:effectExtent l="0" t="0" r="6985" b="5080"/>
            <wp:docPr id="13" name="图片 12" descr="08-城市消火栓现状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2" descr="08-城市消火栓现状分布图"/>
                    <pic:cNvPicPr>
                      <a:picLocks noChangeAspect="true"/>
                    </pic:cNvPicPr>
                  </pic:nvPicPr>
                  <pic:blipFill>
                    <a:blip r:embed="rId27"/>
                    <a:srcRect l="3261"/>
                    <a:stretch>
                      <a:fillRect/>
                    </a:stretch>
                  </pic:blipFill>
                  <pic:spPr>
                    <a:xfrm>
                      <a:off x="0" y="0"/>
                      <a:ext cx="5384165" cy="3938270"/>
                    </a:xfrm>
                    <a:prstGeom prst="rect">
                      <a:avLst/>
                    </a:prstGeom>
                    <a:noFill/>
                    <a:ln>
                      <a:noFill/>
                    </a:ln>
                  </pic:spPr>
                </pic:pic>
              </a:graphicData>
            </a:graphic>
          </wp:inline>
        </w:drawing>
      </w:r>
    </w:p>
    <w:p>
      <w:pPr>
        <w:pStyle w:val="4"/>
        <w:spacing w:before="0" w:beforeLines="0" w:after="0" w:afterLines="0" w:line="240" w:lineRule="auto"/>
        <w:rPr>
          <w:rFonts w:ascii="宋体" w:hAnsi="宋体"/>
          <w:szCs w:val="30"/>
        </w:rPr>
      </w:pPr>
      <w:bookmarkStart w:id="173" w:name="_Toc27943"/>
      <w:bookmarkStart w:id="174" w:name="_Toc28914"/>
      <w:bookmarkStart w:id="175" w:name="_Toc8756"/>
      <w:bookmarkStart w:id="176" w:name="_Toc59386288"/>
      <w:r>
        <w:rPr>
          <w:rFonts w:hint="eastAsia" w:ascii="宋体" w:hAnsi="宋体"/>
          <w:szCs w:val="30"/>
        </w:rPr>
        <w:t>1.5.3地表水源现状</w:t>
      </w:r>
      <w:bookmarkEnd w:id="173"/>
      <w:bookmarkEnd w:id="174"/>
      <w:bookmarkEnd w:id="175"/>
      <w:bookmarkEnd w:id="176"/>
    </w:p>
    <w:p>
      <w:pPr>
        <w:spacing w:before="190" w:after="190"/>
        <w:ind w:firstLine="560"/>
        <w:rPr>
          <w:rFonts w:ascii="宋体" w:hAnsi="宋体"/>
        </w:rPr>
      </w:pPr>
      <w:r>
        <w:rPr>
          <w:rFonts w:hint="eastAsia"/>
        </w:rPr>
        <w:t>县</w:t>
      </w:r>
      <w:r>
        <w:rPr>
          <w:rFonts w:hint="eastAsia" w:ascii="宋体" w:hAnsi="宋体"/>
        </w:rPr>
        <w:t>城周边地表水源较缺乏，可利用的消防备用地表水源有2处，分别为人工湖和哈巴湖。</w:t>
      </w:r>
    </w:p>
    <w:p>
      <w:pPr>
        <w:pStyle w:val="4"/>
        <w:spacing w:before="0" w:beforeLines="0" w:after="0" w:afterLines="0" w:line="240" w:lineRule="auto"/>
      </w:pPr>
      <w:bookmarkStart w:id="177" w:name="_Toc1426"/>
      <w:bookmarkStart w:id="178" w:name="_Toc21474"/>
      <w:bookmarkStart w:id="179" w:name="_Toc27942"/>
      <w:bookmarkStart w:id="180" w:name="_Toc59386289"/>
      <w:r>
        <w:rPr>
          <w:rFonts w:ascii="宋体" w:hAnsi="宋体"/>
        </w:rPr>
        <w:t>1.</w:t>
      </w:r>
      <w:r>
        <w:rPr>
          <w:rFonts w:hint="eastAsia" w:ascii="宋体" w:hAnsi="宋体"/>
        </w:rPr>
        <w:t>5</w:t>
      </w:r>
      <w:r>
        <w:rPr>
          <w:rFonts w:ascii="宋体" w:hAnsi="宋体"/>
        </w:rPr>
        <w:t>.</w:t>
      </w:r>
      <w:r>
        <w:rPr>
          <w:rFonts w:hint="eastAsia" w:ascii="宋体" w:hAnsi="宋体"/>
        </w:rPr>
        <w:t>4消防供水存在问题</w:t>
      </w:r>
      <w:bookmarkEnd w:id="177"/>
      <w:bookmarkEnd w:id="178"/>
      <w:bookmarkEnd w:id="179"/>
      <w:bookmarkEnd w:id="180"/>
    </w:p>
    <w:p>
      <w:pPr>
        <w:spacing w:before="190" w:after="190"/>
        <w:ind w:firstLine="560"/>
        <w:rPr>
          <w:rFonts w:ascii="宋体" w:hAnsi="宋体"/>
        </w:rPr>
      </w:pPr>
      <w:r>
        <w:rPr>
          <w:rFonts w:hint="eastAsia" w:ascii="宋体" w:hAnsi="宋体"/>
        </w:rPr>
        <w:t>1、县城供水管网开始建设年代较久远，部分管道已超过设计使用寿命，部分配水管网管径偏小、管网老化，城市供水保证率低。</w:t>
      </w:r>
    </w:p>
    <w:p>
      <w:pPr>
        <w:spacing w:before="190" w:after="190"/>
        <w:ind w:firstLine="560"/>
        <w:rPr>
          <w:rFonts w:ascii="宋体" w:hAnsi="宋体"/>
        </w:rPr>
      </w:pPr>
      <w:r>
        <w:rPr>
          <w:rFonts w:hint="eastAsia" w:ascii="宋体" w:hAnsi="宋体"/>
        </w:rPr>
        <w:t>2、部分街巷及城市边缘地带给水压力较低，达不到有关标准要求，消火栓出口压力偏低，无法满足消防给水要求。随着城市建设的不断发展，用水量的激增，矛盾更加突出。</w:t>
      </w:r>
    </w:p>
    <w:p>
      <w:pPr>
        <w:spacing w:before="190" w:after="190"/>
        <w:ind w:firstLine="560"/>
        <w:rPr>
          <w:rFonts w:ascii="宋体" w:hAnsi="宋体"/>
        </w:rPr>
      </w:pPr>
      <w:r>
        <w:rPr>
          <w:rFonts w:hint="eastAsia" w:ascii="宋体" w:hAnsi="宋体"/>
        </w:rPr>
        <w:t>3、按规范要求应设消火栓数量缺口大。随着城市建设速度加快，城市新区道路建设与消火栓配置不同步，新区大部分道路已经建成，而消火栓还不能正常使用，工业园区道路应建而未建市政消火栓。</w:t>
      </w:r>
    </w:p>
    <w:p>
      <w:pPr>
        <w:pStyle w:val="3"/>
        <w:spacing w:before="190" w:after="190"/>
        <w:rPr>
          <w:rFonts w:ascii="宋体" w:hAnsi="宋体"/>
          <w:szCs w:val="32"/>
        </w:rPr>
      </w:pPr>
      <w:bookmarkStart w:id="181" w:name="_Toc444"/>
      <w:bookmarkStart w:id="182" w:name="_Toc13747"/>
      <w:bookmarkStart w:id="183" w:name="_Toc30656"/>
      <w:r>
        <w:rPr>
          <w:rFonts w:hint="eastAsia" w:ascii="宋体" w:hAnsi="宋体"/>
          <w:szCs w:val="32"/>
        </w:rPr>
        <w:t>1.6消防通信现状</w:t>
      </w:r>
      <w:bookmarkEnd w:id="181"/>
      <w:bookmarkEnd w:id="182"/>
      <w:bookmarkEnd w:id="183"/>
    </w:p>
    <w:p>
      <w:pPr>
        <w:pStyle w:val="4"/>
        <w:spacing w:before="0" w:beforeLines="0" w:after="0" w:afterLines="0" w:line="240" w:lineRule="auto"/>
        <w:rPr>
          <w:rFonts w:ascii="宋体" w:hAnsi="宋体"/>
          <w:szCs w:val="30"/>
        </w:rPr>
      </w:pPr>
      <w:bookmarkStart w:id="184" w:name="_Toc59386291"/>
      <w:bookmarkStart w:id="185" w:name="_Toc4365"/>
      <w:bookmarkStart w:id="186" w:name="_Toc10848"/>
      <w:bookmarkStart w:id="187" w:name="_Toc5216"/>
      <w:r>
        <w:rPr>
          <w:rFonts w:hint="eastAsia" w:ascii="宋体" w:hAnsi="宋体"/>
          <w:szCs w:val="30"/>
        </w:rPr>
        <w:t>1.6.1现状概况</w:t>
      </w:r>
      <w:bookmarkEnd w:id="184"/>
      <w:bookmarkEnd w:id="185"/>
      <w:bookmarkEnd w:id="186"/>
      <w:bookmarkEnd w:id="187"/>
    </w:p>
    <w:p>
      <w:pPr>
        <w:spacing w:before="190" w:after="190"/>
        <w:ind w:firstLine="560"/>
        <w:rPr>
          <w:rFonts w:ascii="宋体" w:hAnsi="宋体"/>
        </w:rPr>
      </w:pPr>
      <w:r>
        <w:rPr>
          <w:rFonts w:hint="eastAsia" w:ascii="宋体" w:hAnsi="宋体"/>
        </w:rPr>
        <w:t>现状盐池县火警信息由吴忠支队转达调度。中队现有350M电台20部，公网电台1部、公安集群电台1部（电台故障）、4G单兵图传2套、布控球1台、无人机2架、海事卫星电话1部（010-89977250）、天通卫星电话1部（17400960466）。</w:t>
      </w:r>
    </w:p>
    <w:p>
      <w:pPr>
        <w:pStyle w:val="4"/>
        <w:spacing w:before="0" w:beforeLines="0" w:after="0" w:afterLines="0" w:line="240" w:lineRule="auto"/>
        <w:rPr>
          <w:rFonts w:ascii="宋体" w:hAnsi="宋体"/>
          <w:szCs w:val="30"/>
        </w:rPr>
      </w:pPr>
      <w:bookmarkStart w:id="188" w:name="_Toc1196"/>
      <w:bookmarkStart w:id="189" w:name="_Toc59386292"/>
      <w:bookmarkStart w:id="190" w:name="_Toc26449"/>
      <w:bookmarkStart w:id="191" w:name="_Toc3196"/>
      <w:r>
        <w:rPr>
          <w:rFonts w:hint="eastAsia" w:ascii="宋体" w:hAnsi="宋体"/>
          <w:szCs w:val="30"/>
        </w:rPr>
        <w:t>1.6.2存在问题</w:t>
      </w:r>
      <w:bookmarkEnd w:id="188"/>
      <w:bookmarkEnd w:id="189"/>
      <w:bookmarkEnd w:id="190"/>
      <w:bookmarkEnd w:id="191"/>
    </w:p>
    <w:p>
      <w:pPr>
        <w:spacing w:before="190" w:after="190"/>
        <w:ind w:firstLine="560"/>
        <w:rPr>
          <w:rFonts w:ascii="宋体" w:hAnsi="宋体"/>
        </w:rPr>
      </w:pPr>
      <w:r>
        <w:rPr>
          <w:rFonts w:hint="eastAsia" w:ascii="宋体" w:hAnsi="宋体"/>
        </w:rPr>
        <w:t>1、盐池县消防救援大队没有119火灾报警服务台或设置119、110、112“三台合一”报警服务台，由吴忠支队转达火警信息并分配调度作战任务，易贻误战机。</w:t>
      </w:r>
    </w:p>
    <w:p>
      <w:pPr>
        <w:spacing w:before="190" w:after="190"/>
        <w:ind w:firstLine="560"/>
        <w:rPr>
          <w:rFonts w:ascii="宋体" w:hAnsi="宋体"/>
        </w:rPr>
      </w:pPr>
      <w:r>
        <w:rPr>
          <w:rFonts w:hint="eastAsia" w:ascii="宋体" w:hAnsi="宋体"/>
        </w:rPr>
        <w:t>2、县城消防中队的调度、指挥没有建立专用无线通信网。</w:t>
      </w:r>
    </w:p>
    <w:p>
      <w:pPr>
        <w:spacing w:before="190" w:after="190"/>
        <w:ind w:firstLine="560"/>
        <w:rPr>
          <w:rFonts w:ascii="宋体" w:hAnsi="宋体"/>
        </w:rPr>
      </w:pPr>
      <w:r>
        <w:rPr>
          <w:rFonts w:hint="eastAsia" w:ascii="宋体" w:hAnsi="宋体"/>
        </w:rPr>
        <w:t>3、没有建立消防信息综合管理系统，包括消防图象监控系统、高空瞭望系统，与道路交通图像监控、城市通信等系统没有实现联网、资源共享，无法及时准确进行火灾预警和实时监控。</w:t>
      </w:r>
    </w:p>
    <w:p>
      <w:pPr>
        <w:pStyle w:val="3"/>
        <w:spacing w:before="190" w:after="190"/>
        <w:rPr>
          <w:rFonts w:ascii="宋体" w:hAnsi="宋体"/>
          <w:szCs w:val="32"/>
        </w:rPr>
      </w:pPr>
      <w:bookmarkStart w:id="192" w:name="_Toc28567"/>
      <w:bookmarkStart w:id="193" w:name="_Toc8945"/>
      <w:bookmarkStart w:id="194" w:name="_Toc16303"/>
      <w:r>
        <w:rPr>
          <w:rFonts w:hint="eastAsia" w:ascii="宋体" w:hAnsi="宋体"/>
          <w:szCs w:val="32"/>
        </w:rPr>
        <w:t>1.7城市燃气现状</w:t>
      </w:r>
      <w:bookmarkEnd w:id="192"/>
      <w:bookmarkEnd w:id="193"/>
      <w:bookmarkEnd w:id="194"/>
    </w:p>
    <w:p>
      <w:pPr>
        <w:pStyle w:val="4"/>
        <w:spacing w:before="0" w:beforeLines="0" w:after="0" w:afterLines="0" w:line="240" w:lineRule="auto"/>
        <w:rPr>
          <w:rFonts w:ascii="宋体" w:hAnsi="宋体"/>
          <w:szCs w:val="30"/>
        </w:rPr>
      </w:pPr>
      <w:bookmarkStart w:id="195" w:name="_Toc59386294"/>
      <w:bookmarkStart w:id="196" w:name="_Toc11878"/>
      <w:bookmarkStart w:id="197" w:name="_Toc30104"/>
      <w:bookmarkStart w:id="198" w:name="_Toc3014"/>
      <w:r>
        <w:rPr>
          <w:rFonts w:hint="eastAsia" w:ascii="宋体" w:hAnsi="宋体"/>
          <w:szCs w:val="30"/>
        </w:rPr>
        <w:t>1.7.1现状概况</w:t>
      </w:r>
      <w:bookmarkEnd w:id="195"/>
      <w:bookmarkEnd w:id="196"/>
      <w:bookmarkEnd w:id="197"/>
      <w:bookmarkEnd w:id="198"/>
    </w:p>
    <w:p>
      <w:pPr>
        <w:spacing w:before="190" w:after="190"/>
        <w:ind w:firstLine="560"/>
        <w:rPr>
          <w:rFonts w:ascii="宋体" w:hAnsi="宋体"/>
        </w:rPr>
      </w:pPr>
      <w:r>
        <w:rPr>
          <w:rFonts w:hint="eastAsia" w:ascii="宋体" w:hAnsi="宋体"/>
        </w:rPr>
        <w:t>目前城市居民燃气供应主要为天然气和液化石油气两种，经营单位为盐池县荣丰天然气公司和盐池县振华液化气销售公司。天然气气源来自县城北部的长宁天然气盐池分输站，城市天然气管道为中压、低压管网。</w:t>
      </w:r>
    </w:p>
    <w:p>
      <w:pPr>
        <w:pStyle w:val="4"/>
        <w:spacing w:before="0" w:beforeLines="0" w:after="0" w:afterLines="0" w:line="240" w:lineRule="auto"/>
        <w:rPr>
          <w:rFonts w:ascii="宋体" w:hAnsi="宋体"/>
          <w:szCs w:val="30"/>
        </w:rPr>
      </w:pPr>
      <w:bookmarkStart w:id="199" w:name="_Toc6724"/>
      <w:bookmarkStart w:id="200" w:name="_Toc13278"/>
      <w:bookmarkStart w:id="201" w:name="_Toc5742"/>
      <w:bookmarkStart w:id="202" w:name="_Toc59386295"/>
      <w:r>
        <w:rPr>
          <w:rFonts w:hint="eastAsia" w:ascii="宋体" w:hAnsi="宋体"/>
          <w:szCs w:val="30"/>
        </w:rPr>
        <w:t>1.7.2存在问题</w:t>
      </w:r>
      <w:bookmarkEnd w:id="199"/>
      <w:bookmarkEnd w:id="200"/>
      <w:bookmarkEnd w:id="201"/>
      <w:bookmarkEnd w:id="202"/>
    </w:p>
    <w:p>
      <w:pPr>
        <w:spacing w:before="190" w:after="190"/>
        <w:ind w:firstLine="560"/>
        <w:rPr>
          <w:rFonts w:ascii="宋体" w:hAnsi="宋体"/>
        </w:rPr>
      </w:pPr>
      <w:r>
        <w:rPr>
          <w:rFonts w:hint="eastAsia" w:ascii="宋体" w:hAnsi="宋体"/>
        </w:rPr>
        <w:t>1、随着城市建设发展，由于各类地下管线纵横交错，城市道路的改造和新建过程中，因施工时序不同步，加之施工不规范，不同程度造成天然气管道损伤，影响天然气管道的消防安全。</w:t>
      </w:r>
    </w:p>
    <w:p>
      <w:pPr>
        <w:spacing w:before="190" w:after="190"/>
        <w:ind w:firstLine="560"/>
        <w:rPr>
          <w:rFonts w:ascii="宋体" w:hAnsi="宋体"/>
        </w:rPr>
      </w:pPr>
      <w:r>
        <w:rPr>
          <w:rFonts w:hint="eastAsia" w:ascii="宋体" w:hAnsi="宋体"/>
        </w:rPr>
        <w:t>2、部分用户在使用天然气的过程中，存在不按规范要求操作使用天然气设施，造成一定的消防安全隐患。</w:t>
      </w:r>
    </w:p>
    <w:p>
      <w:pPr>
        <w:pStyle w:val="2"/>
        <w:numPr>
          <w:ilvl w:val="0"/>
          <w:numId w:val="3"/>
        </w:numPr>
        <w:spacing w:before="190" w:after="190"/>
        <w:ind w:firstLine="0"/>
        <w:jc w:val="center"/>
        <w:rPr>
          <w:rFonts w:ascii="宋体" w:hAnsi="宋体"/>
          <w:b/>
        </w:rPr>
        <w:sectPr>
          <w:footerReference r:id="rId11" w:type="default"/>
          <w:pgSz w:w="11906" w:h="16838"/>
          <w:pgMar w:top="1440" w:right="1797" w:bottom="1440" w:left="1797" w:header="851" w:footer="992" w:gutter="0"/>
          <w:pgNumType w:start="1"/>
          <w:cols w:space="720" w:num="1"/>
          <w:docGrid w:type="lines" w:linePitch="381" w:charSpace="0"/>
        </w:sectPr>
      </w:pPr>
    </w:p>
    <w:p>
      <w:pPr>
        <w:pStyle w:val="2"/>
        <w:numPr>
          <w:ilvl w:val="0"/>
          <w:numId w:val="3"/>
        </w:numPr>
        <w:spacing w:before="190" w:after="190"/>
        <w:ind w:firstLine="0"/>
        <w:jc w:val="center"/>
        <w:rPr>
          <w:rFonts w:ascii="宋体" w:hAnsi="宋体"/>
          <w:b/>
        </w:rPr>
      </w:pPr>
      <w:bookmarkStart w:id="203" w:name="_Toc10831"/>
      <w:bookmarkStart w:id="204" w:name="_Toc11239"/>
      <w:bookmarkStart w:id="205" w:name="_Toc24693"/>
      <w:r>
        <w:rPr>
          <w:rFonts w:hint="eastAsia" w:ascii="宋体" w:hAnsi="宋体"/>
          <w:b/>
        </w:rPr>
        <w:t>规划总则</w:t>
      </w:r>
      <w:bookmarkEnd w:id="203"/>
      <w:bookmarkEnd w:id="204"/>
      <w:bookmarkEnd w:id="205"/>
    </w:p>
    <w:p>
      <w:pPr>
        <w:pStyle w:val="3"/>
        <w:spacing w:before="190" w:after="190"/>
        <w:rPr>
          <w:rFonts w:ascii="宋体" w:hAnsi="宋体"/>
          <w:szCs w:val="32"/>
        </w:rPr>
      </w:pPr>
      <w:bookmarkStart w:id="206" w:name="_Toc11800"/>
      <w:bookmarkStart w:id="207" w:name="_Toc23647"/>
      <w:bookmarkStart w:id="208" w:name="_Toc23353"/>
      <w:r>
        <w:rPr>
          <w:rFonts w:hint="eastAsia" w:ascii="宋体" w:hAnsi="宋体"/>
          <w:szCs w:val="32"/>
        </w:rPr>
        <w:t>2.1规划依据</w:t>
      </w:r>
      <w:bookmarkEnd w:id="206"/>
      <w:bookmarkEnd w:id="207"/>
      <w:bookmarkEnd w:id="208"/>
    </w:p>
    <w:p>
      <w:pPr>
        <w:spacing w:before="190" w:after="190"/>
        <w:ind w:firstLine="560"/>
        <w:rPr>
          <w:rFonts w:ascii="宋体" w:hAnsi="宋体"/>
        </w:rPr>
      </w:pPr>
      <w:r>
        <w:rPr>
          <w:rFonts w:hint="eastAsia" w:ascii="宋体" w:hAnsi="宋体"/>
        </w:rPr>
        <w:t>（1）法律法规</w:t>
      </w:r>
    </w:p>
    <w:p>
      <w:pPr>
        <w:spacing w:before="190" w:after="190"/>
        <w:ind w:firstLine="560"/>
        <w:rPr>
          <w:rFonts w:ascii="宋体" w:hAnsi="宋体"/>
        </w:rPr>
      </w:pPr>
      <w:r>
        <w:rPr>
          <w:rFonts w:hint="eastAsia" w:ascii="宋体" w:hAnsi="宋体"/>
        </w:rPr>
        <w:t>《中华人民共和国城乡规划法》（2019年修正）；</w:t>
      </w:r>
    </w:p>
    <w:p>
      <w:pPr>
        <w:spacing w:before="190" w:after="190"/>
        <w:ind w:firstLine="560"/>
        <w:rPr>
          <w:rFonts w:ascii="宋体" w:hAnsi="宋体"/>
        </w:rPr>
      </w:pPr>
      <w:r>
        <w:rPr>
          <w:rFonts w:hint="eastAsia"/>
        </w:rPr>
        <w:t>《</w:t>
      </w:r>
      <w:r>
        <w:rPr>
          <w:rFonts w:hint="eastAsia" w:ascii="宋体" w:hAnsi="宋体"/>
        </w:rPr>
        <w:t>中华人民共和国消防法》（2019年修订）；</w:t>
      </w:r>
    </w:p>
    <w:p>
      <w:pPr>
        <w:spacing w:before="190" w:after="190"/>
        <w:ind w:firstLine="560"/>
        <w:rPr>
          <w:rFonts w:ascii="宋体" w:hAnsi="宋体"/>
        </w:rPr>
      </w:pPr>
      <w:r>
        <w:rPr>
          <w:rFonts w:hint="eastAsia" w:ascii="宋体" w:hAnsi="宋体"/>
        </w:rPr>
        <w:t>《中华人民共和国安全生产法》（2014年修订）；</w:t>
      </w:r>
    </w:p>
    <w:p>
      <w:pPr>
        <w:spacing w:before="190" w:after="190"/>
        <w:ind w:firstLine="560"/>
        <w:rPr>
          <w:rFonts w:ascii="宋体" w:hAnsi="宋体"/>
        </w:rPr>
      </w:pPr>
      <w:r>
        <w:rPr>
          <w:rFonts w:hint="eastAsia" w:ascii="宋体" w:hAnsi="宋体"/>
        </w:rPr>
        <w:t>《危险化学品安全管理条例》（2011年修订）；</w:t>
      </w:r>
    </w:p>
    <w:p>
      <w:pPr>
        <w:spacing w:before="190" w:after="190"/>
        <w:ind w:firstLine="560"/>
        <w:rPr>
          <w:rFonts w:ascii="宋体" w:hAnsi="宋体"/>
        </w:rPr>
      </w:pPr>
      <w:r>
        <w:rPr>
          <w:rFonts w:hint="eastAsia" w:ascii="宋体" w:hAnsi="宋体"/>
        </w:rPr>
        <w:t>（2）规章及规范性文件</w:t>
      </w:r>
    </w:p>
    <w:p>
      <w:pPr>
        <w:spacing w:before="190" w:after="190"/>
        <w:ind w:firstLine="560"/>
        <w:rPr>
          <w:rFonts w:ascii="宋体" w:hAnsi="宋体"/>
        </w:rPr>
      </w:pPr>
      <w:r>
        <w:rPr>
          <w:rFonts w:hint="eastAsia" w:ascii="宋体" w:hAnsi="宋体"/>
        </w:rPr>
        <w:t>《消防监督检查规定》（2012年公安部令第120号）；</w:t>
      </w:r>
    </w:p>
    <w:p>
      <w:pPr>
        <w:spacing w:before="190" w:after="190"/>
        <w:ind w:firstLine="560"/>
        <w:rPr>
          <w:rFonts w:ascii="宋体" w:hAnsi="宋体"/>
        </w:rPr>
      </w:pPr>
      <w:r>
        <w:rPr>
          <w:rFonts w:hint="eastAsia" w:ascii="宋体" w:hAnsi="宋体"/>
        </w:rPr>
        <w:t>《建设工程消防设计审查验收管理暂行规定》（2020年住房和城乡建设部令第51号）；</w:t>
      </w:r>
    </w:p>
    <w:p>
      <w:pPr>
        <w:spacing w:before="190" w:after="190"/>
        <w:ind w:firstLine="560"/>
        <w:rPr>
          <w:rFonts w:ascii="宋体" w:hAnsi="宋体"/>
        </w:rPr>
      </w:pPr>
      <w:r>
        <w:rPr>
          <w:rFonts w:hint="eastAsia" w:ascii="宋体" w:hAnsi="宋体"/>
        </w:rPr>
        <w:t>《社会消防安全教育培训规定》（2009年公安部令第109号）；</w:t>
      </w:r>
    </w:p>
    <w:p>
      <w:pPr>
        <w:spacing w:before="190" w:after="190"/>
        <w:ind w:firstLine="560"/>
        <w:rPr>
          <w:rFonts w:ascii="宋体" w:hAnsi="宋体"/>
        </w:rPr>
      </w:pPr>
      <w:r>
        <w:rPr>
          <w:rFonts w:hint="eastAsia" w:ascii="宋体" w:hAnsi="宋体"/>
        </w:rPr>
        <w:t>《公共娱乐场所消防安全管理规定》（1999年公安部令第39号）；</w:t>
      </w:r>
    </w:p>
    <w:p>
      <w:pPr>
        <w:spacing w:before="190" w:after="190"/>
        <w:ind w:firstLine="560"/>
        <w:rPr>
          <w:rFonts w:ascii="宋体" w:hAnsi="宋体"/>
        </w:rPr>
      </w:pPr>
      <w:r>
        <w:rPr>
          <w:rFonts w:hint="eastAsia" w:ascii="宋体" w:hAnsi="宋体"/>
        </w:rPr>
        <w:t>《宁夏回族自治区专职消防队伍管理办法》（宁政发〔2015〕66号）；</w:t>
      </w:r>
    </w:p>
    <w:p>
      <w:pPr>
        <w:spacing w:before="190" w:after="190"/>
        <w:ind w:firstLine="560"/>
        <w:rPr>
          <w:rFonts w:ascii="宋体" w:hAnsi="宋体"/>
        </w:rPr>
      </w:pPr>
      <w:r>
        <w:rPr>
          <w:rFonts w:hint="eastAsia" w:ascii="宋体" w:hAnsi="宋体"/>
        </w:rPr>
        <w:t>《宁夏回族自治区公安乡镇消防队管理规定》（宁政办发〔2014〕8号）；</w:t>
      </w:r>
    </w:p>
    <w:p>
      <w:pPr>
        <w:spacing w:before="190" w:after="190"/>
        <w:ind w:firstLine="560"/>
        <w:rPr>
          <w:rFonts w:ascii="宋体" w:hAnsi="宋体"/>
        </w:rPr>
      </w:pPr>
      <w:r>
        <w:rPr>
          <w:rFonts w:hint="eastAsia" w:ascii="宋体" w:hAnsi="宋体"/>
        </w:rPr>
        <w:t>《宁夏回族自治区消防安全责任制实施细则》（宁政办规发〔2018〕1号）；</w:t>
      </w:r>
    </w:p>
    <w:p>
      <w:pPr>
        <w:spacing w:before="190" w:after="190"/>
        <w:ind w:firstLine="560"/>
        <w:rPr>
          <w:rFonts w:ascii="宋体" w:hAnsi="宋体"/>
        </w:rPr>
      </w:pPr>
      <w:r>
        <w:rPr>
          <w:rFonts w:hint="eastAsia" w:ascii="宋体" w:hAnsi="宋体"/>
        </w:rPr>
        <w:t>《吴忠市农村消防安全管理规定》（吴政办发〔2010〕107号）；</w:t>
      </w:r>
    </w:p>
    <w:p>
      <w:pPr>
        <w:spacing w:before="190" w:after="190"/>
        <w:ind w:firstLine="560"/>
        <w:rPr>
          <w:rFonts w:ascii="宋体" w:hAnsi="宋体"/>
        </w:rPr>
      </w:pPr>
      <w:r>
        <w:rPr>
          <w:rFonts w:hint="eastAsia" w:ascii="宋体" w:hAnsi="宋体"/>
        </w:rPr>
        <w:t>（3）技术标准</w:t>
      </w:r>
    </w:p>
    <w:p>
      <w:pPr>
        <w:spacing w:before="190" w:after="190"/>
        <w:ind w:firstLine="560"/>
        <w:rPr>
          <w:rFonts w:ascii="宋体" w:hAnsi="宋体"/>
        </w:rPr>
      </w:pPr>
      <w:r>
        <w:rPr>
          <w:rFonts w:hint="eastAsia" w:ascii="宋体" w:hAnsi="宋体"/>
        </w:rPr>
        <w:t>《城市用地分类与规划建设用地标准》（GB50137-2011）；</w:t>
      </w:r>
    </w:p>
    <w:p>
      <w:pPr>
        <w:spacing w:before="190" w:after="190"/>
        <w:ind w:firstLine="560"/>
        <w:rPr>
          <w:rFonts w:ascii="宋体" w:hAnsi="宋体"/>
        </w:rPr>
      </w:pPr>
      <w:r>
        <w:rPr>
          <w:rFonts w:hint="eastAsia" w:ascii="宋体" w:hAnsi="宋体"/>
        </w:rPr>
        <w:t>《城市道路交通组织设计规范》（GB/T36670-2018）；</w:t>
      </w:r>
    </w:p>
    <w:p>
      <w:pPr>
        <w:spacing w:before="190" w:after="190"/>
        <w:ind w:firstLine="560"/>
        <w:rPr>
          <w:rFonts w:ascii="宋体" w:hAnsi="宋体"/>
        </w:rPr>
      </w:pPr>
      <w:r>
        <w:rPr>
          <w:rFonts w:hint="eastAsia" w:ascii="宋体" w:hAnsi="宋体"/>
        </w:rPr>
        <w:t>《城市消防规划规范》（GB51080-2015）；</w:t>
      </w:r>
    </w:p>
    <w:p>
      <w:pPr>
        <w:spacing w:before="190" w:after="190"/>
        <w:ind w:firstLine="560"/>
        <w:rPr>
          <w:rFonts w:ascii="宋体" w:hAnsi="宋体"/>
        </w:rPr>
      </w:pPr>
      <w:r>
        <w:rPr>
          <w:rFonts w:hint="eastAsia" w:ascii="宋体" w:hAnsi="宋体"/>
        </w:rPr>
        <w:t>《城市消防站设计规范》（GB51054-2014）；</w:t>
      </w:r>
    </w:p>
    <w:p>
      <w:pPr>
        <w:spacing w:before="190" w:after="190"/>
        <w:ind w:firstLine="560"/>
        <w:rPr>
          <w:rFonts w:ascii="宋体" w:hAnsi="宋体"/>
        </w:rPr>
      </w:pPr>
      <w:r>
        <w:rPr>
          <w:rFonts w:hint="eastAsia" w:ascii="宋体" w:hAnsi="宋体"/>
        </w:rPr>
        <w:t>《建筑设计防火规范》（GB50016-2014）（2018版）；</w:t>
      </w:r>
    </w:p>
    <w:p>
      <w:pPr>
        <w:spacing w:before="190" w:after="190"/>
        <w:ind w:firstLine="560"/>
        <w:rPr>
          <w:rFonts w:ascii="宋体" w:hAnsi="宋体"/>
        </w:rPr>
      </w:pPr>
      <w:r>
        <w:rPr>
          <w:rFonts w:hint="eastAsia" w:ascii="宋体" w:hAnsi="宋体"/>
        </w:rPr>
        <w:t>《汽车加油加气站设计与施工规范》（GB50156-2012）（2014版）；</w:t>
      </w:r>
    </w:p>
    <w:p>
      <w:pPr>
        <w:spacing w:before="190" w:after="190"/>
        <w:ind w:firstLine="560"/>
        <w:rPr>
          <w:rFonts w:ascii="宋体" w:hAnsi="宋体"/>
        </w:rPr>
      </w:pPr>
      <w:r>
        <w:rPr>
          <w:rFonts w:hint="eastAsia" w:ascii="宋体" w:hAnsi="宋体"/>
        </w:rPr>
        <w:t>《消防通信指挥系统设计规范》（GB50313-2013）；</w:t>
      </w:r>
    </w:p>
    <w:p>
      <w:pPr>
        <w:spacing w:before="190" w:after="190"/>
        <w:ind w:firstLine="560"/>
        <w:rPr>
          <w:rFonts w:ascii="宋体" w:hAnsi="宋体"/>
        </w:rPr>
      </w:pPr>
      <w:r>
        <w:rPr>
          <w:rFonts w:hint="eastAsia" w:ascii="宋体" w:hAnsi="宋体"/>
        </w:rPr>
        <w:t>《消防给水及消火栓系统技术规范》（GB50974-2014）；</w:t>
      </w:r>
    </w:p>
    <w:p>
      <w:pPr>
        <w:spacing w:before="190" w:after="190"/>
        <w:ind w:firstLine="560"/>
        <w:rPr>
          <w:rFonts w:ascii="宋体" w:hAnsi="宋体"/>
        </w:rPr>
      </w:pPr>
      <w:r>
        <w:rPr>
          <w:rFonts w:hint="eastAsia" w:ascii="宋体" w:hAnsi="宋体"/>
        </w:rPr>
        <w:t>《乡镇消防队》（GB/T35547-2017）；</w:t>
      </w:r>
    </w:p>
    <w:p>
      <w:pPr>
        <w:spacing w:before="190" w:after="190"/>
        <w:ind w:firstLine="560"/>
        <w:rPr>
          <w:rFonts w:ascii="宋体" w:hAnsi="宋体"/>
        </w:rPr>
      </w:pPr>
      <w:r>
        <w:rPr>
          <w:rFonts w:hint="eastAsia" w:ascii="宋体" w:hAnsi="宋体"/>
        </w:rPr>
        <w:t>《城市消防站建设标准》（建标152-2017）；</w:t>
      </w:r>
    </w:p>
    <w:p>
      <w:pPr>
        <w:spacing w:before="190" w:after="190"/>
        <w:ind w:firstLine="560"/>
        <w:rPr>
          <w:rFonts w:ascii="宋体" w:hAnsi="宋体"/>
        </w:rPr>
      </w:pPr>
      <w:r>
        <w:rPr>
          <w:rFonts w:hint="eastAsia" w:ascii="宋体" w:hAnsi="宋体"/>
        </w:rPr>
        <w:t>《消防训练基地建设标准》（建标190-2018）；</w:t>
      </w:r>
    </w:p>
    <w:p>
      <w:pPr>
        <w:spacing w:before="190" w:after="190"/>
        <w:ind w:firstLine="560"/>
        <w:rPr>
          <w:rFonts w:ascii="宋体" w:hAnsi="宋体"/>
        </w:rPr>
      </w:pPr>
      <w:r>
        <w:rPr>
          <w:rFonts w:hint="eastAsia" w:ascii="宋体" w:hAnsi="宋体"/>
        </w:rPr>
        <w:t>（4）相关规划</w:t>
      </w:r>
    </w:p>
    <w:p>
      <w:pPr>
        <w:spacing w:before="190" w:after="190"/>
        <w:ind w:firstLine="560"/>
        <w:rPr>
          <w:rFonts w:ascii="宋体" w:hAnsi="宋体"/>
        </w:rPr>
      </w:pPr>
      <w:r>
        <w:rPr>
          <w:rFonts w:hint="eastAsia" w:ascii="宋体" w:hAnsi="宋体"/>
        </w:rPr>
        <w:t>《盐池县空间规划》（2016-2035）；</w:t>
      </w:r>
    </w:p>
    <w:p>
      <w:pPr>
        <w:spacing w:before="190" w:after="190"/>
        <w:ind w:firstLine="560"/>
        <w:rPr>
          <w:rFonts w:ascii="宋体" w:hAnsi="宋体"/>
        </w:rPr>
      </w:pPr>
      <w:r>
        <w:rPr>
          <w:rFonts w:hint="eastAsia" w:ascii="宋体" w:hAnsi="宋体"/>
        </w:rPr>
        <w:t>《盐池县城市总体规划》（2010-2030）；</w:t>
      </w:r>
    </w:p>
    <w:p>
      <w:pPr>
        <w:spacing w:before="190" w:after="190"/>
        <w:ind w:firstLine="560"/>
        <w:rPr>
          <w:rFonts w:ascii="宋体" w:hAnsi="宋体"/>
        </w:rPr>
      </w:pPr>
      <w:r>
        <w:rPr>
          <w:rFonts w:hint="eastAsia" w:ascii="宋体" w:hAnsi="宋体"/>
        </w:rPr>
        <w:t>《盐池县国土空间规划》（20</w:t>
      </w:r>
      <w:r>
        <w:rPr>
          <w:rFonts w:ascii="宋体" w:hAnsi="宋体"/>
        </w:rPr>
        <w:t>21</w:t>
      </w:r>
      <w:r>
        <w:rPr>
          <w:rFonts w:hint="eastAsia" w:ascii="宋体" w:hAnsi="宋体"/>
        </w:rPr>
        <w:t>-203</w:t>
      </w:r>
      <w:r>
        <w:rPr>
          <w:rFonts w:ascii="宋体" w:hAnsi="宋体"/>
        </w:rPr>
        <w:t>5</w:t>
      </w:r>
      <w:r>
        <w:rPr>
          <w:rFonts w:hint="eastAsia" w:ascii="宋体" w:hAnsi="宋体"/>
        </w:rPr>
        <w:t>）。</w:t>
      </w:r>
    </w:p>
    <w:p>
      <w:pPr>
        <w:pStyle w:val="3"/>
        <w:spacing w:before="190" w:after="190"/>
        <w:rPr>
          <w:rFonts w:ascii="宋体" w:hAnsi="宋体"/>
          <w:szCs w:val="32"/>
        </w:rPr>
      </w:pPr>
      <w:bookmarkStart w:id="209" w:name="_Toc5753"/>
      <w:bookmarkStart w:id="210" w:name="_Toc6876"/>
      <w:bookmarkStart w:id="211" w:name="_Toc9313"/>
      <w:r>
        <w:rPr>
          <w:rFonts w:hint="eastAsia" w:ascii="宋体" w:hAnsi="宋体"/>
          <w:szCs w:val="32"/>
        </w:rPr>
        <w:t>2.2规划指导思想</w:t>
      </w:r>
      <w:bookmarkEnd w:id="209"/>
      <w:bookmarkEnd w:id="210"/>
      <w:bookmarkEnd w:id="211"/>
    </w:p>
    <w:p>
      <w:pPr>
        <w:spacing w:before="190" w:after="190"/>
        <w:ind w:firstLine="1120" w:firstLineChars="400"/>
        <w:rPr>
          <w:rFonts w:ascii="宋体" w:hAnsi="宋体"/>
        </w:rPr>
      </w:pPr>
      <w:r>
        <w:rPr>
          <w:rFonts w:hint="eastAsia" w:ascii="宋体" w:hAnsi="宋体"/>
        </w:rPr>
        <w:t>以习</w:t>
      </w:r>
      <w:r>
        <w:rPr>
          <w:rFonts w:hint="eastAsia" w:ascii="宋体" w:hAnsi="宋体"/>
          <w:lang w:eastAsia="zh-CN"/>
        </w:rPr>
        <w:t>近</w:t>
      </w:r>
      <w:r>
        <w:rPr>
          <w:rFonts w:hint="eastAsia" w:ascii="宋体" w:hAnsi="宋体"/>
        </w:rPr>
        <w:t>平</w:t>
      </w:r>
      <w:bookmarkStart w:id="558" w:name="_GoBack"/>
      <w:bookmarkEnd w:id="558"/>
      <w:r>
        <w:rPr>
          <w:rFonts w:hint="eastAsia" w:ascii="宋体" w:hAnsi="宋体"/>
        </w:rPr>
        <w:t>新时代中国特色社会主义思想为指引，深入贯彻落实习近平总书记视察宁夏重要讲话精神，以建设黄河流域生态保护和高质量发展先行区为契机，坚持“预防为主、防消结合”的消防工作方针，遵循“科学实用、技术先进、经济合理、分步实施”的规划原则，从城市社会经济发展和城市建设的实际情况出发，统筹城乡建设与消防安全保障体系的相互关系，从火灾预防、灭火和应急救援等方面满足城乡发展的安全需要，体现盐池县城市消防规划的先进性、前瞻性、开放性和可操作性，促进消防力量向多种形式发展，全面提升消防救援能力和水平。</w:t>
      </w:r>
    </w:p>
    <w:p>
      <w:pPr>
        <w:pStyle w:val="3"/>
        <w:spacing w:before="190" w:after="190"/>
        <w:rPr>
          <w:rFonts w:ascii="宋体" w:hAnsi="宋体"/>
          <w:szCs w:val="32"/>
        </w:rPr>
      </w:pPr>
      <w:bookmarkStart w:id="212" w:name="_Toc20675"/>
      <w:bookmarkStart w:id="213" w:name="_Toc32655"/>
      <w:bookmarkStart w:id="214" w:name="_Toc24996"/>
      <w:r>
        <w:rPr>
          <w:rFonts w:hint="eastAsia" w:ascii="宋体" w:hAnsi="宋体"/>
          <w:szCs w:val="32"/>
        </w:rPr>
        <w:t>2.3规划原则</w:t>
      </w:r>
      <w:bookmarkEnd w:id="212"/>
      <w:bookmarkEnd w:id="213"/>
      <w:bookmarkEnd w:id="214"/>
    </w:p>
    <w:p>
      <w:pPr>
        <w:spacing w:before="190" w:after="190"/>
        <w:ind w:firstLine="560"/>
        <w:rPr>
          <w:rFonts w:ascii="宋体" w:hAnsi="宋体"/>
        </w:rPr>
      </w:pPr>
      <w:r>
        <w:rPr>
          <w:rFonts w:hint="eastAsia"/>
        </w:rPr>
        <w:t>（</w:t>
      </w:r>
      <w:r>
        <w:rPr>
          <w:rFonts w:hint="eastAsia" w:ascii="宋体" w:hAnsi="宋体"/>
        </w:rPr>
        <w:t>1）合理布局、系统规划</w:t>
      </w:r>
    </w:p>
    <w:p>
      <w:pPr>
        <w:spacing w:before="190" w:after="190"/>
        <w:ind w:firstLine="560"/>
        <w:rPr>
          <w:rFonts w:ascii="宋体" w:hAnsi="宋体"/>
        </w:rPr>
      </w:pPr>
      <w:r>
        <w:rPr>
          <w:rFonts w:hint="eastAsia" w:ascii="宋体" w:hAnsi="宋体"/>
        </w:rPr>
        <w:t>以现状条件为基础，结合城市总体规划和各相关规划，合理布局消防站和消防设施，完善消防系统建设，突出规划的科学性。</w:t>
      </w:r>
    </w:p>
    <w:p>
      <w:pPr>
        <w:spacing w:before="190" w:after="190"/>
        <w:ind w:firstLine="560"/>
        <w:rPr>
          <w:rFonts w:ascii="宋体" w:hAnsi="宋体"/>
        </w:rPr>
      </w:pPr>
      <w:r>
        <w:rPr>
          <w:rFonts w:hint="eastAsia" w:ascii="宋体" w:hAnsi="宋体"/>
        </w:rPr>
        <w:t>（2）远近结合、全面发展</w:t>
      </w:r>
    </w:p>
    <w:p>
      <w:pPr>
        <w:spacing w:before="190" w:after="190"/>
        <w:ind w:firstLine="560"/>
        <w:rPr>
          <w:rFonts w:ascii="宋体" w:hAnsi="宋体"/>
        </w:rPr>
      </w:pPr>
      <w:r>
        <w:rPr>
          <w:rFonts w:hint="eastAsia" w:ascii="宋体" w:hAnsi="宋体"/>
        </w:rPr>
        <w:t>统筹城乡发展，将近期建设和远期发展相结合，合理制定近、远期目标，远近结合、分期实施、重点落实近期建设，体现规划的延续性。</w:t>
      </w:r>
    </w:p>
    <w:p>
      <w:pPr>
        <w:spacing w:before="190" w:after="190"/>
        <w:ind w:firstLine="560"/>
        <w:rPr>
          <w:rFonts w:ascii="宋体" w:hAnsi="宋体"/>
        </w:rPr>
      </w:pPr>
      <w:r>
        <w:rPr>
          <w:rFonts w:hint="eastAsia" w:ascii="宋体" w:hAnsi="宋体"/>
        </w:rPr>
        <w:t>（3）综合控制、分类管理</w:t>
      </w:r>
    </w:p>
    <w:p>
      <w:pPr>
        <w:spacing w:before="190" w:after="190"/>
        <w:ind w:firstLine="560"/>
        <w:rPr>
          <w:rFonts w:ascii="宋体" w:hAnsi="宋体"/>
        </w:rPr>
      </w:pPr>
      <w:r>
        <w:rPr>
          <w:rFonts w:hint="eastAsia" w:ascii="宋体" w:hAnsi="宋体"/>
        </w:rPr>
        <w:t>盐池县的消防安全工作，以消防大队为主体进行综合控制，同时明确相关单位的监督、管理责任，增加规划的可操作性。</w:t>
      </w:r>
    </w:p>
    <w:p>
      <w:pPr>
        <w:spacing w:before="190" w:after="190"/>
        <w:ind w:firstLine="560"/>
        <w:rPr>
          <w:rFonts w:ascii="宋体" w:hAnsi="宋体"/>
        </w:rPr>
      </w:pPr>
      <w:r>
        <w:rPr>
          <w:rFonts w:hint="eastAsia" w:ascii="宋体" w:hAnsi="宋体"/>
        </w:rPr>
        <w:t>（4）预防为主、防消结合</w:t>
      </w:r>
    </w:p>
    <w:p>
      <w:pPr>
        <w:spacing w:before="190" w:after="190"/>
        <w:ind w:firstLine="560"/>
        <w:rPr>
          <w:rFonts w:ascii="宋体" w:hAnsi="宋体"/>
        </w:rPr>
      </w:pPr>
      <w:r>
        <w:rPr>
          <w:rFonts w:hint="eastAsia" w:ascii="宋体" w:hAnsi="宋体"/>
        </w:rPr>
        <w:t>坚持“预防为主、防消结合”的消防工作方针和“科学合理、技术先进、经济适用”的规划原则，满足城市火灾预防、灭火救援等方面的安全需要，促进消防力量向多种形式发展，提高消防综合救援能力。</w:t>
      </w:r>
    </w:p>
    <w:p>
      <w:pPr>
        <w:pStyle w:val="3"/>
        <w:spacing w:before="190" w:after="190"/>
        <w:rPr>
          <w:rFonts w:ascii="宋体" w:hAnsi="宋体"/>
          <w:szCs w:val="32"/>
        </w:rPr>
      </w:pPr>
      <w:bookmarkStart w:id="215" w:name="_Toc20913"/>
      <w:bookmarkStart w:id="216" w:name="_Toc17855"/>
      <w:bookmarkStart w:id="217" w:name="_Toc22038"/>
      <w:r>
        <w:rPr>
          <w:rFonts w:hint="eastAsia" w:ascii="宋体" w:hAnsi="宋体"/>
          <w:szCs w:val="32"/>
        </w:rPr>
        <w:t>2.4规划范围与研究层次</w:t>
      </w:r>
      <w:bookmarkEnd w:id="215"/>
      <w:bookmarkEnd w:id="216"/>
      <w:bookmarkEnd w:id="217"/>
    </w:p>
    <w:p>
      <w:pPr>
        <w:spacing w:before="190" w:after="190"/>
        <w:ind w:firstLine="560"/>
        <w:rPr>
          <w:rFonts w:ascii="宋体" w:hAnsi="宋体"/>
        </w:rPr>
      </w:pPr>
      <w:r>
        <w:rPr>
          <w:rFonts w:hint="eastAsia" w:ascii="宋体" w:hAnsi="宋体"/>
        </w:rPr>
        <w:t>本规划范围与总体规划范围一致，分为两个层次：</w:t>
      </w:r>
    </w:p>
    <w:p>
      <w:pPr>
        <w:spacing w:before="190" w:after="190"/>
        <w:ind w:firstLine="560"/>
        <w:rPr>
          <w:rFonts w:ascii="宋体" w:hAnsi="宋体"/>
        </w:rPr>
      </w:pPr>
      <w:r>
        <w:rPr>
          <w:rFonts w:hint="eastAsia" w:ascii="宋体" w:hAnsi="宋体"/>
        </w:rPr>
        <w:t>第一层次——县域消防规划，即县行政辖区范围，总面积为</w:t>
      </w:r>
      <w:r>
        <w:rPr>
          <w:rFonts w:ascii="宋体" w:hAnsi="宋体"/>
        </w:rPr>
        <w:t>8</w:t>
      </w:r>
      <w:r>
        <w:rPr>
          <w:rFonts w:hint="eastAsia" w:ascii="宋体" w:hAnsi="宋体"/>
        </w:rPr>
        <w:t>55</w:t>
      </w:r>
      <w:r>
        <w:rPr>
          <w:rFonts w:ascii="宋体" w:hAnsi="宋体"/>
        </w:rPr>
        <w:t>7</w:t>
      </w:r>
      <w:r>
        <w:rPr>
          <w:rFonts w:hint="eastAsia" w:ascii="宋体" w:hAnsi="宋体"/>
        </w:rPr>
        <w:t>.</w:t>
      </w:r>
      <w:r>
        <w:rPr>
          <w:rFonts w:ascii="宋体" w:hAnsi="宋体"/>
        </w:rPr>
        <w:t>7</w:t>
      </w:r>
      <w:r>
        <w:rPr>
          <w:rFonts w:hint="eastAsia" w:ascii="宋体" w:hAnsi="宋体"/>
        </w:rPr>
        <w:t xml:space="preserve">平方公里平方公里（大水坑镇、惠安堡镇及工业园区单独编制消防专项规划）。 </w:t>
      </w:r>
    </w:p>
    <w:p>
      <w:pPr>
        <w:spacing w:before="190" w:after="190"/>
        <w:ind w:firstLine="560"/>
        <w:rPr>
          <w:rFonts w:ascii="宋体" w:hAnsi="宋体"/>
        </w:rPr>
      </w:pPr>
      <w:r>
        <w:rPr>
          <w:rFonts w:hint="eastAsia" w:ascii="宋体" w:hAnsi="宋体"/>
        </w:rPr>
        <w:t>县域消防规划——确定县域消防体系和城乡公共消防设施建设原则。</w:t>
      </w:r>
    </w:p>
    <w:p>
      <w:pPr>
        <w:spacing w:before="190" w:after="190"/>
        <w:ind w:firstLine="560"/>
        <w:rPr>
          <w:rFonts w:ascii="宋体" w:hAnsi="宋体"/>
        </w:rPr>
      </w:pPr>
      <w:r>
        <w:rPr>
          <w:rFonts w:hint="eastAsia" w:ascii="宋体" w:hAnsi="宋体"/>
        </w:rPr>
        <w:t>第二层次——盐池县城市建设用地规划范围，北至物流园区、南至凝翠街、东至宁鲁石化以东规划路 、西至五原南路。规划范围用地面积控制在</w:t>
      </w:r>
      <w:r>
        <w:rPr>
          <w:rFonts w:ascii="宋体" w:hAnsi="宋体"/>
        </w:rPr>
        <w:t>26.62</w:t>
      </w:r>
      <w:r>
        <w:rPr>
          <w:rFonts w:hint="eastAsia" w:ascii="宋体" w:hAnsi="宋体"/>
        </w:rPr>
        <w:t>平方公里（与正在编制的盐池县国土空间规划保持一致）。</w:t>
      </w:r>
    </w:p>
    <w:p>
      <w:pPr>
        <w:spacing w:before="190" w:after="190"/>
        <w:ind w:firstLine="560"/>
        <w:rPr>
          <w:rFonts w:ascii="宋体" w:hAnsi="宋体"/>
        </w:rPr>
      </w:pPr>
      <w:r>
        <w:rPr>
          <w:rFonts w:hint="eastAsia" w:ascii="宋体" w:hAnsi="宋体"/>
        </w:rPr>
        <w:t>盐池县城市消防规划——本次规划的重点。构建城市消防安全体系、总体部署规划期限内城市消防安全目标、城市消防安全布局和公共消防基础设施建设。科学分析评估城市火灾风险，合理布局城市消防站及消防装备、消防通信、消防供水、消防车通道等，完善城市综合防灾体系，增强城市抗御火灾和处置各种灾害事故的综合能力。</w:t>
      </w:r>
    </w:p>
    <w:p>
      <w:pPr>
        <w:pStyle w:val="3"/>
        <w:spacing w:before="190" w:after="190"/>
        <w:rPr>
          <w:rFonts w:ascii="宋体" w:hAnsi="宋体"/>
          <w:szCs w:val="32"/>
        </w:rPr>
      </w:pPr>
      <w:bookmarkStart w:id="218" w:name="_Toc9143"/>
      <w:bookmarkStart w:id="219" w:name="_Toc21820"/>
      <w:bookmarkStart w:id="220" w:name="_Toc4356"/>
      <w:r>
        <w:rPr>
          <w:rFonts w:hint="eastAsia" w:ascii="宋体" w:hAnsi="宋体"/>
          <w:szCs w:val="32"/>
        </w:rPr>
        <w:t>2.4规划期限</w:t>
      </w:r>
      <w:bookmarkEnd w:id="218"/>
      <w:bookmarkEnd w:id="219"/>
      <w:bookmarkEnd w:id="220"/>
    </w:p>
    <w:p>
      <w:pPr>
        <w:spacing w:before="190" w:after="190"/>
        <w:ind w:firstLine="560"/>
        <w:rPr>
          <w:rFonts w:ascii="宋体" w:hAnsi="宋体"/>
        </w:rPr>
      </w:pPr>
      <w:r>
        <w:rPr>
          <w:rFonts w:hint="eastAsia" w:ascii="宋体" w:hAnsi="宋体"/>
        </w:rPr>
        <w:t>本次盐池县城市消防专项规划期限为2021—2035年，其中：</w:t>
      </w:r>
    </w:p>
    <w:p>
      <w:pPr>
        <w:spacing w:before="190" w:after="190"/>
        <w:ind w:firstLine="560"/>
        <w:rPr>
          <w:rFonts w:ascii="宋体" w:hAnsi="宋体"/>
        </w:rPr>
      </w:pPr>
      <w:r>
        <w:rPr>
          <w:rFonts w:hint="eastAsia" w:ascii="宋体" w:hAnsi="宋体"/>
        </w:rPr>
        <w:t>近期2021—2025年；</w:t>
      </w:r>
    </w:p>
    <w:p>
      <w:pPr>
        <w:spacing w:before="190" w:after="190"/>
        <w:ind w:firstLine="560"/>
        <w:rPr>
          <w:rFonts w:ascii="宋体" w:hAnsi="宋体"/>
        </w:rPr>
      </w:pPr>
      <w:r>
        <w:rPr>
          <w:rFonts w:hint="eastAsia" w:ascii="宋体" w:hAnsi="宋体"/>
        </w:rPr>
        <w:t>远期2026—2035年。</w:t>
      </w:r>
    </w:p>
    <w:p>
      <w:pPr>
        <w:pStyle w:val="3"/>
        <w:spacing w:before="190" w:after="190"/>
        <w:rPr>
          <w:rFonts w:ascii="宋体" w:hAnsi="宋体"/>
          <w:szCs w:val="32"/>
        </w:rPr>
      </w:pPr>
      <w:bookmarkStart w:id="221" w:name="_Toc9637"/>
      <w:bookmarkStart w:id="222" w:name="_Toc24266"/>
      <w:bookmarkStart w:id="223" w:name="_Toc17066"/>
      <w:r>
        <w:rPr>
          <w:rFonts w:hint="eastAsia" w:ascii="宋体" w:hAnsi="宋体"/>
          <w:szCs w:val="32"/>
        </w:rPr>
        <w:t>2.6规划目标</w:t>
      </w:r>
      <w:bookmarkEnd w:id="221"/>
      <w:bookmarkEnd w:id="222"/>
      <w:bookmarkEnd w:id="223"/>
    </w:p>
    <w:p>
      <w:pPr>
        <w:spacing w:before="190" w:after="190"/>
        <w:ind w:firstLine="560"/>
        <w:rPr>
          <w:rFonts w:ascii="宋体" w:hAnsi="宋体"/>
        </w:rPr>
      </w:pPr>
      <w:r>
        <w:rPr>
          <w:rFonts w:hint="eastAsia" w:ascii="宋体" w:hAnsi="宋体"/>
        </w:rPr>
        <w:t>本规划结合城市总体规划和城市建设发展的需要提出近、远期规划目标。</w:t>
      </w:r>
    </w:p>
    <w:p>
      <w:pPr>
        <w:spacing w:before="190" w:after="190"/>
        <w:ind w:firstLine="560"/>
        <w:rPr>
          <w:rFonts w:ascii="宋体" w:hAnsi="宋体"/>
        </w:rPr>
      </w:pPr>
      <w:r>
        <w:rPr>
          <w:rFonts w:hint="eastAsia" w:ascii="宋体" w:hAnsi="宋体"/>
        </w:rPr>
        <w:t>（1）近期目标：主要加强消防站点和消防装备的建设，重点改造城市建成区消防薄弱地段，加大消防安全宣传力度，初步建立适应盐池县经济发展和城市建设的城市消防安全体系。</w:t>
      </w:r>
    </w:p>
    <w:p>
      <w:pPr>
        <w:spacing w:before="190" w:after="190"/>
        <w:ind w:firstLine="560"/>
        <w:rPr>
          <w:rFonts w:ascii="宋体" w:hAnsi="宋体"/>
        </w:rPr>
      </w:pPr>
      <w:r>
        <w:rPr>
          <w:rFonts w:hint="eastAsia" w:ascii="宋体" w:hAnsi="宋体"/>
        </w:rPr>
        <w:t>（2）远期目标：实现消防队伍和设施的多功能发展，满足盐池县防火、灭火和应急救援各种灾害事件、抢险的要求，逐步建立布局合理、装备精良、设施完备、技术先进、体制合理、队伍精干、训练有素、保障有力，适应城市发展和建设需要的现代化消防安全体系。</w:t>
      </w:r>
    </w:p>
    <w:p>
      <w:pPr>
        <w:pStyle w:val="3"/>
        <w:spacing w:before="190" w:after="190"/>
        <w:rPr>
          <w:rFonts w:ascii="宋体" w:hAnsi="宋体"/>
          <w:szCs w:val="32"/>
        </w:rPr>
      </w:pPr>
      <w:bookmarkStart w:id="224" w:name="_Toc16268"/>
      <w:bookmarkStart w:id="225" w:name="_Toc11492"/>
      <w:bookmarkStart w:id="226" w:name="_Toc11376"/>
      <w:r>
        <w:rPr>
          <w:rFonts w:hint="eastAsia" w:ascii="宋体" w:hAnsi="宋体"/>
          <w:szCs w:val="32"/>
        </w:rPr>
        <w:t>2.7规划技术路线</w:t>
      </w:r>
      <w:bookmarkEnd w:id="224"/>
      <w:bookmarkEnd w:id="225"/>
      <w:bookmarkEnd w:id="226"/>
    </w:p>
    <w:p>
      <w:pPr>
        <w:spacing w:before="0" w:beforeLines="0" w:after="0" w:afterLines="0"/>
        <w:ind w:firstLine="0" w:firstLineChars="0"/>
        <w:jc w:val="center"/>
        <w:rPr>
          <w:rFonts w:ascii="宋体" w:hAnsi="宋体"/>
        </w:rPr>
      </w:pPr>
      <w:r>
        <w:rPr>
          <w:rFonts w:ascii="宋体" w:hAnsi="宋体"/>
        </w:rPr>
        <w:drawing>
          <wp:inline distT="0" distB="0" distL="114300" distR="114300">
            <wp:extent cx="4746625" cy="3385820"/>
            <wp:effectExtent l="0" t="0" r="15875" b="5080"/>
            <wp:docPr id="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true"/>
                    </pic:cNvPicPr>
                  </pic:nvPicPr>
                  <pic:blipFill>
                    <a:blip r:embed="rId28"/>
                    <a:stretch>
                      <a:fillRect/>
                    </a:stretch>
                  </pic:blipFill>
                  <pic:spPr>
                    <a:xfrm>
                      <a:off x="0" y="0"/>
                      <a:ext cx="4746625" cy="3385820"/>
                    </a:xfrm>
                    <a:prstGeom prst="rect">
                      <a:avLst/>
                    </a:prstGeom>
                    <a:noFill/>
                    <a:ln>
                      <a:noFill/>
                    </a:ln>
                  </pic:spPr>
                </pic:pic>
              </a:graphicData>
            </a:graphic>
          </wp:inline>
        </w:drawing>
      </w:r>
    </w:p>
    <w:p>
      <w:pPr>
        <w:pStyle w:val="2"/>
        <w:numPr>
          <w:ilvl w:val="0"/>
          <w:numId w:val="3"/>
        </w:numPr>
        <w:spacing w:before="190" w:after="190"/>
        <w:ind w:firstLine="0"/>
        <w:jc w:val="center"/>
        <w:rPr>
          <w:rFonts w:ascii="宋体" w:hAnsi="宋体"/>
          <w:b/>
        </w:rPr>
      </w:pPr>
      <w:r>
        <w:rPr>
          <w:rFonts w:hint="eastAsia" w:ascii="宋体" w:hAnsi="宋体"/>
          <w:b/>
        </w:rPr>
        <w:t xml:space="preserve"> </w:t>
      </w:r>
      <w:bookmarkStart w:id="227" w:name="_Toc18991"/>
      <w:bookmarkStart w:id="228" w:name="_Toc3699"/>
      <w:bookmarkStart w:id="229" w:name="_Toc11704"/>
      <w:r>
        <w:rPr>
          <w:rFonts w:hint="eastAsia" w:ascii="宋体" w:hAnsi="宋体"/>
          <w:b/>
        </w:rPr>
        <w:t>上位规划解读</w:t>
      </w:r>
      <w:bookmarkEnd w:id="227"/>
      <w:bookmarkEnd w:id="228"/>
      <w:bookmarkEnd w:id="229"/>
    </w:p>
    <w:p>
      <w:pPr>
        <w:pStyle w:val="3"/>
        <w:spacing w:before="190" w:after="190"/>
        <w:rPr>
          <w:rFonts w:ascii="宋体" w:hAnsi="宋体"/>
          <w:szCs w:val="32"/>
        </w:rPr>
      </w:pPr>
      <w:bookmarkStart w:id="230" w:name="_Toc4841"/>
      <w:bookmarkStart w:id="231" w:name="_Toc22481"/>
      <w:bookmarkStart w:id="232" w:name="_Toc28631"/>
      <w:r>
        <w:rPr>
          <w:rFonts w:hint="eastAsia" w:ascii="宋体" w:hAnsi="宋体"/>
          <w:szCs w:val="32"/>
        </w:rPr>
        <w:t>3.1《盐池县空间规划》（2016-2030）</w:t>
      </w:r>
      <w:bookmarkEnd w:id="230"/>
      <w:bookmarkEnd w:id="231"/>
      <w:bookmarkEnd w:id="232"/>
    </w:p>
    <w:p>
      <w:pPr>
        <w:pStyle w:val="4"/>
        <w:spacing w:before="0" w:beforeLines="0" w:after="0" w:afterLines="0" w:line="240" w:lineRule="auto"/>
        <w:rPr>
          <w:rFonts w:ascii="宋体" w:hAnsi="宋体"/>
          <w:szCs w:val="30"/>
        </w:rPr>
      </w:pPr>
      <w:bookmarkStart w:id="233" w:name="_Toc59386306"/>
      <w:bookmarkStart w:id="234" w:name="_Toc13733"/>
      <w:bookmarkStart w:id="235" w:name="_Toc18907"/>
      <w:bookmarkStart w:id="236" w:name="_Toc31047"/>
      <w:r>
        <w:rPr>
          <w:rFonts w:hint="eastAsia" w:ascii="宋体" w:hAnsi="宋体"/>
          <w:szCs w:val="30"/>
        </w:rPr>
        <w:t>3.1.1规划目的</w:t>
      </w:r>
      <w:bookmarkEnd w:id="233"/>
      <w:bookmarkEnd w:id="234"/>
      <w:bookmarkEnd w:id="235"/>
      <w:bookmarkEnd w:id="236"/>
    </w:p>
    <w:p>
      <w:pPr>
        <w:spacing w:before="190" w:after="190"/>
        <w:ind w:firstLine="560"/>
        <w:rPr>
          <w:rFonts w:ascii="宋体" w:hAnsi="宋体"/>
        </w:rPr>
      </w:pPr>
      <w:r>
        <w:rPr>
          <w:rFonts w:ascii="宋体" w:hAnsi="宋体"/>
        </w:rPr>
        <w:t>科学划定生态、农业、城镇空间以及生态保护红线、永久基本农田保护红线、城镇开发边界，注重开发强度管控和主要控制线落地，提升国土空间治理能力，优化空间布局，规范开发行为，加快推进转型发展，统筹各类空间性规划，推进“多规合一”，形成定位清晰、功能互补，集聚开发、分类保护的一张蓝图，为实现与全国同步建成全面小康社会并向现代化迈进提供有力支撑和空间保障。</w:t>
      </w:r>
    </w:p>
    <w:p>
      <w:pPr>
        <w:pStyle w:val="4"/>
        <w:spacing w:before="0" w:beforeLines="0" w:after="0" w:afterLines="0" w:line="240" w:lineRule="auto"/>
        <w:rPr>
          <w:rFonts w:ascii="宋体" w:hAnsi="宋体"/>
          <w:szCs w:val="30"/>
        </w:rPr>
      </w:pPr>
      <w:bookmarkStart w:id="237" w:name="_Toc29111"/>
      <w:bookmarkStart w:id="238" w:name="_Toc30761"/>
      <w:bookmarkStart w:id="239" w:name="_Toc20796"/>
      <w:bookmarkStart w:id="240" w:name="_Toc59386307"/>
      <w:r>
        <w:rPr>
          <w:rFonts w:hint="eastAsia" w:ascii="宋体" w:hAnsi="宋体"/>
          <w:szCs w:val="30"/>
        </w:rPr>
        <w:t>3.1.2发展定位</w:t>
      </w:r>
      <w:bookmarkEnd w:id="237"/>
      <w:bookmarkEnd w:id="238"/>
      <w:bookmarkEnd w:id="239"/>
      <w:bookmarkEnd w:id="240"/>
    </w:p>
    <w:p>
      <w:pPr>
        <w:spacing w:before="190" w:after="190"/>
        <w:ind w:firstLine="560"/>
        <w:rPr>
          <w:rFonts w:ascii="宋体" w:hAnsi="宋体"/>
        </w:rPr>
      </w:pPr>
      <w:r>
        <w:rPr>
          <w:rFonts w:ascii="宋体" w:hAnsi="宋体"/>
        </w:rPr>
        <w:t>西部生态经济示范区、西北重要的特色产业聚集区、宁夏重要的旅游目的地、丝绸之路经济带重要节点。</w:t>
      </w:r>
    </w:p>
    <w:p>
      <w:pPr>
        <w:spacing w:before="190" w:after="190"/>
        <w:ind w:firstLine="560"/>
        <w:rPr>
          <w:rFonts w:ascii="宋体" w:hAnsi="宋体"/>
        </w:rPr>
      </w:pPr>
      <w:r>
        <w:rPr>
          <w:rFonts w:ascii="宋体" w:hAnsi="宋体"/>
        </w:rPr>
        <w:t>西部生态经济示范区：以国家级生态保护与建设示范区为抓手，持续建设生态文明，向生态要效益，以生态促发展，建设成为具有西北干旱半干旱农牧交错带特色的生态经济示范区。</w:t>
      </w:r>
    </w:p>
    <w:p>
      <w:pPr>
        <w:spacing w:before="190" w:after="190"/>
        <w:ind w:firstLine="560"/>
        <w:rPr>
          <w:rFonts w:ascii="宋体" w:hAnsi="宋体"/>
        </w:rPr>
      </w:pPr>
      <w:r>
        <w:rPr>
          <w:rFonts w:ascii="宋体" w:hAnsi="宋体"/>
        </w:rPr>
        <w:t>西北重要的特色产业聚集区：发挥区位优势和综合资源优势，培育龙头企业，引进大项目，建设生产基地，构筑发展平台，延伸产业链，促进新能源、煤炭油气低碳清洁转化和高效利用产业、特色优势农业加快发展，注重总量规模，提升质量效益，打造成为特色鲜明、优势突出的特色产业聚集区。</w:t>
      </w:r>
    </w:p>
    <w:p>
      <w:pPr>
        <w:spacing w:before="190" w:after="190"/>
        <w:ind w:firstLine="560"/>
        <w:rPr>
          <w:rFonts w:ascii="宋体" w:hAnsi="宋体"/>
        </w:rPr>
      </w:pPr>
      <w:r>
        <w:rPr>
          <w:rFonts w:ascii="宋体" w:hAnsi="宋体"/>
        </w:rPr>
        <w:t>宁夏重要的旅游目的地：紧紧抓住自治区将盐池确定为东部环线边塞旅游板块的历史机遇，发挥人文、红色、生态等综合优势，以大漠生态景观和古长城为核心吸引物，整合县域旅游资源，连接周边旅游景区，努力将盐池打造成为宁夏东部旅游集散中心和特色旅游城市。</w:t>
      </w:r>
    </w:p>
    <w:p>
      <w:pPr>
        <w:spacing w:before="190" w:after="190"/>
        <w:ind w:firstLine="560"/>
        <w:rPr>
          <w:rFonts w:ascii="宋体" w:hAnsi="宋体"/>
        </w:rPr>
      </w:pPr>
      <w:r>
        <w:rPr>
          <w:rFonts w:ascii="宋体" w:hAnsi="宋体"/>
        </w:rPr>
        <w:t>丝绸之路经济带重要节点：抢抓国家“一带一路”和宁夏内陆开放试验区建设的重大机遇，构筑东接西联、南来北往的重要交通枢纽，深化对内对外开放，拓展国内国际合作交流新渠道，丰富国内国际合作交流新内涵，扩大经贸、文化、教育、科技、卫生、旅游等领域国内国际交流，把盐池建设成为丝绸之路经济带重要节点。</w:t>
      </w:r>
    </w:p>
    <w:p>
      <w:pPr>
        <w:pStyle w:val="4"/>
        <w:spacing w:before="0" w:beforeLines="0" w:after="0" w:afterLines="0" w:line="240" w:lineRule="auto"/>
        <w:rPr>
          <w:rFonts w:ascii="宋体" w:hAnsi="宋体"/>
          <w:szCs w:val="30"/>
        </w:rPr>
      </w:pPr>
      <w:bookmarkStart w:id="241" w:name="_Toc547"/>
      <w:bookmarkStart w:id="242" w:name="_Toc8106"/>
      <w:bookmarkStart w:id="243" w:name="_Toc59386308"/>
      <w:bookmarkStart w:id="244" w:name="_Toc29375"/>
      <w:r>
        <w:rPr>
          <w:rFonts w:hint="eastAsia" w:ascii="宋体" w:hAnsi="宋体"/>
          <w:szCs w:val="30"/>
        </w:rPr>
        <w:t>3.1.3空间布局</w:t>
      </w:r>
      <w:bookmarkEnd w:id="241"/>
      <w:bookmarkEnd w:id="242"/>
      <w:bookmarkEnd w:id="243"/>
      <w:bookmarkEnd w:id="244"/>
    </w:p>
    <w:p>
      <w:pPr>
        <w:spacing w:before="190" w:after="190"/>
        <w:ind w:firstLine="560"/>
      </w:pPr>
      <w:r>
        <w:t>通过对盐池县的城镇空间布局现状、交通条件、产业发展情况及未来城市空间拓展预期的综合分析，规划形成“</w:t>
      </w:r>
      <w:r>
        <w:rPr>
          <w:b/>
          <w:bCs/>
        </w:rPr>
        <w:t>一主三副、两轴三区、多点协作</w:t>
      </w:r>
      <w:r>
        <w:t xml:space="preserve">”城乡空间格局，其中： </w:t>
      </w:r>
    </w:p>
    <w:p>
      <w:pPr>
        <w:spacing w:before="190" w:after="190"/>
        <w:ind w:firstLine="562"/>
        <w:rPr>
          <w:b/>
          <w:bCs/>
        </w:rPr>
      </w:pPr>
      <w:r>
        <w:rPr>
          <w:rFonts w:hint="eastAsia"/>
          <w:b/>
          <w:bCs/>
        </w:rPr>
        <w:t>A.</w:t>
      </w:r>
      <w:r>
        <w:rPr>
          <w:b/>
          <w:bCs/>
        </w:rPr>
        <w:t>一主三副</w:t>
      </w:r>
    </w:p>
    <w:p>
      <w:pPr>
        <w:spacing w:before="190" w:after="190"/>
        <w:ind w:firstLine="560"/>
      </w:pPr>
      <w:r>
        <w:t>“一主三副”指盐池县城与高沙窝、惠安堡和大水坑三个镇。盐池县城是县域政治、经济、文化中心；高沙窝、惠安堡和大水坑，分别是县域西北部、西南部和东南部副中心。</w:t>
      </w:r>
    </w:p>
    <w:p>
      <w:pPr>
        <w:spacing w:before="190" w:after="190"/>
        <w:ind w:firstLine="562"/>
        <w:rPr>
          <w:b/>
          <w:bCs/>
        </w:rPr>
      </w:pPr>
      <w:r>
        <w:rPr>
          <w:rFonts w:hint="eastAsia"/>
          <w:b/>
          <w:bCs/>
        </w:rPr>
        <w:t>B.</w:t>
      </w:r>
      <w:r>
        <w:rPr>
          <w:b/>
          <w:bCs/>
        </w:rPr>
        <w:t>两轴三区</w:t>
      </w:r>
    </w:p>
    <w:p>
      <w:pPr>
        <w:spacing w:before="190" w:after="190"/>
        <w:ind w:firstLine="560"/>
      </w:pPr>
      <w:r>
        <w:t>“两轴三区”中两轴是指银宁盐发展轴和太中银发展轴。以高速公路出入口、铁路车站为载体，发挥交通导向作用，促进产业和人口点状集聚，做大做强惠安堡、大水坑、高沙窝等基础较好的城镇，培育区位条件好的集镇，形成以点带面、以点连线的发展格局。三区是指北部城镇发展区、西部城镇发展区和东部城镇发展区。</w:t>
      </w:r>
    </w:p>
    <w:p>
      <w:pPr>
        <w:spacing w:before="190" w:after="190"/>
        <w:ind w:firstLine="562"/>
        <w:rPr>
          <w:b/>
          <w:bCs/>
        </w:rPr>
      </w:pPr>
      <w:r>
        <w:rPr>
          <w:rFonts w:hint="eastAsia"/>
          <w:b/>
          <w:bCs/>
        </w:rPr>
        <w:t>C.</w:t>
      </w:r>
      <w:r>
        <w:rPr>
          <w:b/>
          <w:bCs/>
        </w:rPr>
        <w:t>多点协作</w:t>
      </w:r>
    </w:p>
    <w:p>
      <w:pPr>
        <w:spacing w:before="190" w:after="190"/>
        <w:ind w:firstLine="560"/>
      </w:pPr>
      <w:r>
        <w:t>“多点协作”指冯记沟、青山、王乐井和麻黄山等各自乡域中心以及盐池县工业园区，相互协作，构筑有机发展空间。</w:t>
      </w:r>
    </w:p>
    <w:p>
      <w:pPr>
        <w:pStyle w:val="4"/>
        <w:spacing w:before="0" w:beforeLines="0" w:after="0" w:afterLines="0" w:line="240" w:lineRule="auto"/>
        <w:rPr>
          <w:rFonts w:ascii="宋体" w:hAnsi="宋体"/>
          <w:szCs w:val="30"/>
        </w:rPr>
      </w:pPr>
      <w:bookmarkStart w:id="245" w:name="_Toc4822"/>
      <w:bookmarkStart w:id="246" w:name="_Toc30433"/>
      <w:bookmarkStart w:id="247" w:name="_Toc30536"/>
      <w:bookmarkStart w:id="248" w:name="_Toc59386309"/>
      <w:r>
        <w:rPr>
          <w:rFonts w:hint="eastAsia" w:ascii="宋体" w:hAnsi="宋体"/>
          <w:szCs w:val="30"/>
        </w:rPr>
        <w:t>3.1.4三区三线划定</w:t>
      </w:r>
      <w:bookmarkEnd w:id="245"/>
      <w:bookmarkEnd w:id="246"/>
      <w:bookmarkEnd w:id="247"/>
      <w:bookmarkEnd w:id="248"/>
    </w:p>
    <w:p>
      <w:pPr>
        <w:spacing w:before="190" w:after="190"/>
        <w:ind w:firstLine="562"/>
        <w:rPr>
          <w:rFonts w:ascii="宋体" w:hAnsi="宋体"/>
          <w:b/>
          <w:bCs/>
        </w:rPr>
      </w:pPr>
      <w:r>
        <w:rPr>
          <w:rFonts w:hint="eastAsia" w:ascii="宋体" w:hAnsi="宋体"/>
          <w:b/>
          <w:bCs/>
        </w:rPr>
        <w:t>A.三类空间</w:t>
      </w:r>
    </w:p>
    <w:p>
      <w:pPr>
        <w:spacing w:before="190" w:after="190"/>
        <w:ind w:firstLine="562"/>
        <w:rPr>
          <w:rFonts w:ascii="宋体" w:hAnsi="宋体"/>
          <w:b/>
          <w:bCs/>
        </w:rPr>
      </w:pPr>
      <w:r>
        <w:rPr>
          <w:rFonts w:hint="eastAsia" w:ascii="宋体" w:hAnsi="宋体"/>
          <w:b/>
          <w:bCs/>
        </w:rPr>
        <w:t>①</w:t>
      </w:r>
      <w:r>
        <w:rPr>
          <w:rFonts w:ascii="宋体" w:hAnsi="宋体"/>
          <w:b/>
          <w:bCs/>
        </w:rPr>
        <w:t>生态空间</w:t>
      </w:r>
    </w:p>
    <w:p>
      <w:pPr>
        <w:spacing w:before="190" w:after="190"/>
        <w:ind w:firstLine="560"/>
        <w:rPr>
          <w:rFonts w:ascii="宋体" w:hAnsi="宋体"/>
        </w:rPr>
      </w:pPr>
      <w:r>
        <w:rPr>
          <w:rFonts w:ascii="宋体" w:hAnsi="宋体"/>
        </w:rPr>
        <w:t>规划划定盐池县生态空间5228.1平方公里（此处扣除5.4平方公里，总面积从6559.2平方公里折减到6553.8平方公里），占全县域总面积的79.8%。盐池县生态空间主要包括哈巴湖自然保护区、惠农盐池防沙治沙生态廊道、南华山-哈巴湖水土保持廊道、中北部荒漠草原风沙治理区、南部黄土丘陵水土流失治理区、生态公益林、水源保护区、河流、湖泊、干渠等要素。</w:t>
      </w:r>
    </w:p>
    <w:p>
      <w:pPr>
        <w:spacing w:before="190" w:after="190"/>
        <w:ind w:firstLine="562"/>
        <w:rPr>
          <w:rFonts w:ascii="宋体" w:hAnsi="宋体"/>
          <w:b/>
          <w:bCs/>
        </w:rPr>
      </w:pPr>
      <w:r>
        <w:rPr>
          <w:rFonts w:hint="eastAsia" w:ascii="宋体" w:hAnsi="宋体"/>
          <w:b/>
          <w:bCs/>
        </w:rPr>
        <w:t>②</w:t>
      </w:r>
      <w:r>
        <w:rPr>
          <w:rFonts w:ascii="宋体" w:hAnsi="宋体"/>
          <w:b/>
          <w:bCs/>
        </w:rPr>
        <w:t>农业空间</w:t>
      </w:r>
    </w:p>
    <w:p>
      <w:pPr>
        <w:spacing w:before="190" w:after="190"/>
        <w:ind w:firstLine="560"/>
        <w:rPr>
          <w:rFonts w:ascii="宋体" w:hAnsi="宋体"/>
        </w:rPr>
      </w:pPr>
      <w:r>
        <w:rPr>
          <w:rFonts w:ascii="宋体" w:hAnsi="宋体"/>
        </w:rPr>
        <w:t>规划划定盐池县农业空间1155.6平方公里，占县域面积的17.6%。包括永久性基本农田、一般农田等农业生产用地，以及确定保留的村庄等农村生活用地。分散地分布在整个县域，主要为中部草畜产业带、盐环定扬黄灌区及库井灌区以及南部小杂粮基地。</w:t>
      </w:r>
    </w:p>
    <w:p>
      <w:pPr>
        <w:spacing w:before="190" w:after="190"/>
        <w:ind w:firstLine="562"/>
        <w:rPr>
          <w:rFonts w:ascii="宋体" w:hAnsi="宋体"/>
          <w:b/>
          <w:bCs/>
        </w:rPr>
      </w:pPr>
      <w:r>
        <w:rPr>
          <w:rFonts w:hint="eastAsia" w:ascii="宋体" w:hAnsi="宋体"/>
          <w:b/>
          <w:bCs/>
        </w:rPr>
        <w:t>③</w:t>
      </w:r>
      <w:r>
        <w:rPr>
          <w:rFonts w:ascii="宋体" w:hAnsi="宋体"/>
          <w:b/>
          <w:bCs/>
        </w:rPr>
        <w:t>城镇空间</w:t>
      </w:r>
    </w:p>
    <w:p>
      <w:pPr>
        <w:spacing w:before="190" w:after="190"/>
        <w:ind w:firstLine="560"/>
        <w:rPr>
          <w:rFonts w:ascii="宋体" w:hAnsi="宋体"/>
        </w:rPr>
      </w:pPr>
      <w:r>
        <w:rPr>
          <w:rFonts w:ascii="宋体" w:hAnsi="宋体"/>
        </w:rPr>
        <w:t>城镇空间是指以城镇居民生产生活为主体功能的国土空间，包括城镇建设空间和工矿建设空间，以及镇政府驻地的开发建设空间。规划划定盐池县城镇空间170.1平方公里，占县域总面积的2.6%。</w:t>
      </w:r>
    </w:p>
    <w:p>
      <w:pPr>
        <w:spacing w:before="190" w:after="190"/>
        <w:ind w:firstLine="562"/>
        <w:rPr>
          <w:b/>
          <w:bCs/>
        </w:rPr>
      </w:pPr>
      <w:r>
        <w:rPr>
          <w:rFonts w:hint="eastAsia"/>
          <w:b/>
          <w:bCs/>
        </w:rPr>
        <w:t>B.三线划定</w:t>
      </w:r>
    </w:p>
    <w:p>
      <w:pPr>
        <w:spacing w:before="190" w:after="190"/>
        <w:ind w:firstLine="562"/>
        <w:rPr>
          <w:b/>
          <w:bCs/>
        </w:rPr>
      </w:pPr>
      <w:r>
        <w:rPr>
          <w:rFonts w:hint="eastAsia"/>
          <w:b/>
          <w:bCs/>
        </w:rPr>
        <w:t>①</w:t>
      </w:r>
      <w:r>
        <w:rPr>
          <w:b/>
          <w:bCs/>
        </w:rPr>
        <w:t>生态保护红线</w:t>
      </w:r>
    </w:p>
    <w:p>
      <w:pPr>
        <w:spacing w:before="190" w:after="190"/>
        <w:ind w:firstLine="560"/>
        <w:rPr>
          <w:rFonts w:ascii="宋体" w:hAnsi="宋体"/>
        </w:rPr>
      </w:pPr>
      <w:r>
        <w:rPr>
          <w:rFonts w:ascii="宋体" w:hAnsi="宋体"/>
        </w:rPr>
        <w:t>规划划定盐池县域生态保护红线 1602.2 平方公里（自治区环保厅下达的阶段成果为 1707 平方公里，最终成果为 1602.2 平方公里），占县域面积的 24.4%。包括哈巴湖国家级自然保护区核心区与缓冲区、太阳山国家湿地公园恢复重建区与湿地保育区、骆驼井水源地以及国家生态公益林等禁止开发区。</w:t>
      </w:r>
    </w:p>
    <w:p>
      <w:pPr>
        <w:spacing w:before="190" w:after="190"/>
        <w:ind w:firstLine="562"/>
        <w:rPr>
          <w:b/>
          <w:bCs/>
        </w:rPr>
      </w:pPr>
      <w:r>
        <w:rPr>
          <w:rFonts w:hint="eastAsia"/>
          <w:b/>
          <w:bCs/>
        </w:rPr>
        <w:t>②</w:t>
      </w:r>
      <w:r>
        <w:rPr>
          <w:b/>
          <w:bCs/>
        </w:rPr>
        <w:t>永久基本农田保护红线</w:t>
      </w:r>
    </w:p>
    <w:p>
      <w:pPr>
        <w:spacing w:before="190" w:after="190"/>
        <w:ind w:firstLine="560"/>
        <w:rPr>
          <w:rFonts w:ascii="宋体" w:hAnsi="宋体"/>
        </w:rPr>
      </w:pPr>
      <w:r>
        <w:rPr>
          <w:rFonts w:ascii="宋体" w:hAnsi="宋体"/>
        </w:rPr>
        <w:t>规划划定盐池县永久基本农田保护红线 696.8 平方公里（数据库中永久基本农田保护区面积 729.4 平方公里，扣除线状地物如农村道路、田坎等，永久基本农田保护红线面积为 696.8 平方公里），占全县面积的 10.6%。主要分布在为中部草畜产业带，包括花马池、王乐井、青山、冯记沟、惠安堡、大水坑等 3 镇 3 乡，发展滩羊养殖、牧草种植等草畜产业；以及盐池县境内的盐环定扬黄灌区及库井灌区，重点发展旱作农业和高效节水农业；以及盐池南部小杂粮基地，以麻黄山、大水坑为中心，重点发展小杂粮。</w:t>
      </w:r>
    </w:p>
    <w:p>
      <w:pPr>
        <w:spacing w:before="190" w:after="190"/>
        <w:ind w:firstLine="562"/>
      </w:pPr>
      <w:r>
        <w:rPr>
          <w:rFonts w:hint="eastAsia"/>
          <w:b/>
          <w:bCs/>
        </w:rPr>
        <w:t>③</w:t>
      </w:r>
      <w:r>
        <w:rPr>
          <w:b/>
          <w:bCs/>
        </w:rPr>
        <w:t>城镇开发边界</w:t>
      </w:r>
    </w:p>
    <w:p>
      <w:pPr>
        <w:spacing w:before="190" w:after="190"/>
        <w:ind w:firstLine="560"/>
        <w:rPr>
          <w:rFonts w:ascii="宋体" w:hAnsi="宋体"/>
        </w:rPr>
      </w:pPr>
      <w:r>
        <w:rPr>
          <w:rFonts w:ascii="宋体" w:hAnsi="宋体"/>
        </w:rPr>
        <w:t>城镇开发边界是指为合理引导城镇、工业园区发展，有效保护耕地与生态环境，基于地形条件、自然生态、环境容量等因素，划定的一条或多条闭合边界，包括现有建成区和未来城镇建设预留空间。</w:t>
      </w:r>
    </w:p>
    <w:p>
      <w:pPr>
        <w:spacing w:before="190" w:after="190"/>
        <w:ind w:firstLine="560"/>
        <w:rPr>
          <w:rFonts w:ascii="宋体" w:hAnsi="宋体"/>
        </w:rPr>
      </w:pPr>
      <w:r>
        <w:rPr>
          <w:rFonts w:ascii="宋体" w:hAnsi="宋体"/>
        </w:rPr>
        <w:t>规划划定盐池县城镇开发边界面积 57.4 平方公里，占县域总面积的0.9%。主要分布在县城、大水坑镇、高沙窝镇、惠安堡镇以及盐池县工业园区。</w:t>
      </w:r>
    </w:p>
    <w:p>
      <w:pPr>
        <w:pStyle w:val="4"/>
        <w:spacing w:before="0" w:beforeLines="0" w:after="0" w:afterLines="0" w:line="240" w:lineRule="auto"/>
        <w:rPr>
          <w:rFonts w:ascii="宋体" w:hAnsi="宋体"/>
          <w:szCs w:val="30"/>
        </w:rPr>
      </w:pPr>
      <w:bookmarkStart w:id="249" w:name="_Toc8190"/>
      <w:bookmarkStart w:id="250" w:name="_Toc14714"/>
      <w:bookmarkStart w:id="251" w:name="_Toc59386310"/>
      <w:bookmarkStart w:id="252" w:name="_Toc10679"/>
      <w:r>
        <w:rPr>
          <w:rFonts w:hint="eastAsia" w:ascii="宋体" w:hAnsi="宋体"/>
          <w:szCs w:val="30"/>
        </w:rPr>
        <w:t>3.1.5人口规模</w:t>
      </w:r>
      <w:bookmarkEnd w:id="249"/>
      <w:bookmarkEnd w:id="250"/>
      <w:bookmarkEnd w:id="251"/>
      <w:bookmarkEnd w:id="252"/>
    </w:p>
    <w:p>
      <w:pPr>
        <w:spacing w:before="190" w:after="190"/>
        <w:ind w:firstLine="560"/>
        <w:rPr>
          <w:rFonts w:ascii="宋体" w:hAnsi="宋体"/>
        </w:rPr>
      </w:pPr>
      <w:r>
        <w:rPr>
          <w:rFonts w:ascii="宋体" w:hAnsi="宋体"/>
        </w:rPr>
        <w:t>结合迭代法、综合增长率法、动力学模型预测法预测盐池县 2020 年县域常住人口按 16 万控制；2035 年县域常住人口按 18.2 万控制。</w:t>
      </w:r>
    </w:p>
    <w:p>
      <w:pPr>
        <w:spacing w:before="190" w:after="190"/>
        <w:ind w:firstLine="560"/>
        <w:rPr>
          <w:rFonts w:ascii="宋体" w:hAnsi="宋体"/>
        </w:rPr>
      </w:pPr>
      <w:r>
        <w:rPr>
          <w:rFonts w:ascii="宋体" w:hAnsi="宋体"/>
        </w:rPr>
        <w:t>通过回归分析法、综合增长法、农村剩余劳动力转移法三种方法 综合判断，规划 2020 年城镇化率按 52.5%控制，城镇人口约为 8.4 万；规划 2035 年城镇化率按 66.0%控制，城镇人口约为 12 万</w:t>
      </w:r>
      <w:r>
        <w:rPr>
          <w:rFonts w:hint="eastAsia" w:ascii="宋体" w:hAnsi="宋体"/>
        </w:rPr>
        <w:t>。</w:t>
      </w:r>
    </w:p>
    <w:p>
      <w:pPr>
        <w:spacing w:before="190" w:after="190"/>
        <w:ind w:firstLine="560"/>
        <w:rPr>
          <w:rFonts w:ascii="宋体" w:hAnsi="宋体"/>
        </w:rPr>
      </w:pPr>
      <w:r>
        <w:rPr>
          <w:rFonts w:hint="eastAsia" w:ascii="宋体" w:hAnsi="宋体"/>
        </w:rPr>
        <w:t>县城人口方面，综合增长率法、农村剩余劳动力转移法的预测结果，规划 2020 年城区人口按6.6 万人控制；2035 年：城镇人口按 8.4 万人控制。</w:t>
      </w:r>
    </w:p>
    <w:p>
      <w:pPr>
        <w:pStyle w:val="4"/>
        <w:spacing w:before="0" w:beforeLines="0" w:after="0" w:afterLines="0" w:line="240" w:lineRule="auto"/>
        <w:rPr>
          <w:rFonts w:ascii="宋体" w:hAnsi="宋体"/>
          <w:szCs w:val="30"/>
        </w:rPr>
      </w:pPr>
      <w:bookmarkStart w:id="253" w:name="_Toc8322"/>
      <w:bookmarkStart w:id="254" w:name="_Toc59386311"/>
      <w:bookmarkStart w:id="255" w:name="_Toc19848"/>
      <w:bookmarkStart w:id="256" w:name="_Toc25224"/>
      <w:r>
        <w:rPr>
          <w:rFonts w:hint="eastAsia" w:ascii="宋体" w:hAnsi="宋体"/>
          <w:szCs w:val="30"/>
        </w:rPr>
        <w:t>3.1.6城镇职能</w:t>
      </w:r>
      <w:bookmarkEnd w:id="253"/>
      <w:bookmarkEnd w:id="254"/>
      <w:bookmarkEnd w:id="255"/>
      <w:bookmarkEnd w:id="256"/>
    </w:p>
    <w:p>
      <w:pPr>
        <w:spacing w:before="190" w:after="190"/>
        <w:ind w:firstLine="560"/>
        <w:rPr>
          <w:rFonts w:ascii="宋体" w:hAnsi="宋体"/>
        </w:rPr>
      </w:pPr>
      <w:r>
        <w:rPr>
          <w:rFonts w:ascii="宋体" w:hAnsi="宋体"/>
        </w:rPr>
        <w:t>结合现实基础及发展潜力，本次规划将县域城镇职能类型分为综合型城镇、工贸型城镇与农产品加工型城镇三种基本类型。</w:t>
      </w:r>
    </w:p>
    <w:p>
      <w:pPr>
        <w:spacing w:before="190" w:after="190"/>
        <w:ind w:firstLine="560"/>
        <w:rPr>
          <w:rFonts w:ascii="宋体" w:hAnsi="宋体"/>
        </w:rPr>
      </w:pPr>
      <w:r>
        <w:rPr>
          <w:rFonts w:ascii="宋体" w:hAnsi="宋体"/>
        </w:rPr>
        <w:t>综合型城镇</w:t>
      </w:r>
      <w:r>
        <w:rPr>
          <w:rFonts w:hint="eastAsia" w:ascii="宋体" w:hAnsi="宋体"/>
        </w:rPr>
        <w:t>——</w:t>
      </w:r>
      <w:r>
        <w:rPr>
          <w:rFonts w:ascii="宋体" w:hAnsi="宋体"/>
        </w:rPr>
        <w:t>县城，是县域的中心，承担综合型职能，为该地区提供各种服务</w:t>
      </w:r>
      <w:r>
        <w:rPr>
          <w:rFonts w:hint="eastAsia" w:ascii="宋体" w:hAnsi="宋体"/>
        </w:rPr>
        <w:t>。</w:t>
      </w:r>
    </w:p>
    <w:p>
      <w:pPr>
        <w:spacing w:before="190" w:after="190"/>
        <w:ind w:firstLine="560"/>
        <w:rPr>
          <w:rFonts w:ascii="宋体" w:hAnsi="宋体"/>
        </w:rPr>
      </w:pPr>
      <w:r>
        <w:rPr>
          <w:rFonts w:ascii="宋体" w:hAnsi="宋体"/>
        </w:rPr>
        <w:t>工贸型城镇</w:t>
      </w:r>
      <w:r>
        <w:rPr>
          <w:rFonts w:hint="eastAsia" w:ascii="宋体" w:hAnsi="宋体"/>
        </w:rPr>
        <w:t>——大水坑镇、高沙窝镇、惠安堡镇、冯记沟乡、青山乡，</w:t>
      </w:r>
      <w:r>
        <w:rPr>
          <w:rFonts w:ascii="宋体" w:hAnsi="宋体"/>
        </w:rPr>
        <w:t>主要发展适合当地的煤炭石油开采及加工、煤电一体化、建材等产业，同时该类城镇也具备其他各项职能</w:t>
      </w:r>
      <w:r>
        <w:rPr>
          <w:rFonts w:hint="eastAsia" w:ascii="宋体" w:hAnsi="宋体"/>
        </w:rPr>
        <w:t>。</w:t>
      </w:r>
    </w:p>
    <w:p>
      <w:pPr>
        <w:spacing w:before="190" w:after="190"/>
        <w:ind w:firstLine="560"/>
        <w:rPr>
          <w:rFonts w:ascii="宋体" w:hAnsi="宋体"/>
        </w:rPr>
      </w:pPr>
      <w:r>
        <w:t>农</w:t>
      </w:r>
      <w:r>
        <w:rPr>
          <w:rFonts w:ascii="宋体" w:hAnsi="宋体"/>
        </w:rPr>
        <w:t>产品加工型城镇</w:t>
      </w:r>
      <w:r>
        <w:rPr>
          <w:rFonts w:hint="eastAsia" w:ascii="宋体" w:hAnsi="宋体"/>
        </w:rPr>
        <w:t>——王乐井乡、麻黄山乡，</w:t>
      </w:r>
      <w:r>
        <w:rPr>
          <w:rFonts w:ascii="宋体" w:hAnsi="宋体"/>
        </w:rPr>
        <w:t>主要发展滩羊、甘草等特色农产品生产及加工业，同时该类城镇也具备其他各项职能。</w:t>
      </w:r>
    </w:p>
    <w:p>
      <w:pPr>
        <w:pStyle w:val="4"/>
        <w:spacing w:before="0" w:beforeLines="0" w:after="0" w:afterLines="0" w:line="240" w:lineRule="auto"/>
        <w:rPr>
          <w:rFonts w:ascii="宋体" w:hAnsi="宋体"/>
          <w:szCs w:val="30"/>
        </w:rPr>
      </w:pPr>
      <w:bookmarkStart w:id="257" w:name="_Toc1737"/>
      <w:bookmarkStart w:id="258" w:name="_Toc8224"/>
      <w:bookmarkStart w:id="259" w:name="_Toc1527"/>
      <w:bookmarkStart w:id="260" w:name="_Toc59386312"/>
      <w:r>
        <w:rPr>
          <w:rFonts w:hint="eastAsia" w:ascii="宋体" w:hAnsi="宋体"/>
          <w:szCs w:val="30"/>
        </w:rPr>
        <w:t>3.1.7综合交通规划</w:t>
      </w:r>
      <w:bookmarkEnd w:id="257"/>
      <w:bookmarkEnd w:id="258"/>
      <w:bookmarkEnd w:id="259"/>
      <w:bookmarkEnd w:id="260"/>
    </w:p>
    <w:p>
      <w:pPr>
        <w:spacing w:before="190" w:after="190"/>
        <w:ind w:firstLine="560"/>
        <w:rPr>
          <w:rFonts w:ascii="宋体" w:hAnsi="宋体"/>
        </w:rPr>
      </w:pPr>
      <w:r>
        <w:rPr>
          <w:rFonts w:ascii="宋体" w:hAnsi="宋体"/>
        </w:rPr>
        <w:t>盐池县公路网分为三个层次，分别为高速公路网、干线公路网和城乡公路网。干线公路网以国、省道为基础，技术等级原则上为一级公路；城乡公路网以县道为基础，技术等级原则上为三级公路以上。通过三级公路网络逐步完善县域区域交通骨架道路，形成各等级高效衔接、交通便捷的县域公路网系统。</w:t>
      </w:r>
    </w:p>
    <w:p>
      <w:pPr>
        <w:spacing w:before="190" w:after="190"/>
        <w:ind w:firstLine="560"/>
        <w:rPr>
          <w:rFonts w:ascii="宋体" w:hAnsi="宋体"/>
        </w:rPr>
      </w:pPr>
      <w:r>
        <w:rPr>
          <w:rFonts w:ascii="宋体" w:hAnsi="宋体"/>
        </w:rPr>
        <w:t>规划形成盐池县“三横两纵”的高速公路网、“六横四纵”的干线公路网。</w:t>
      </w:r>
    </w:p>
    <w:p>
      <w:pPr>
        <w:pStyle w:val="4"/>
        <w:spacing w:before="0" w:beforeLines="0" w:after="0" w:afterLines="0" w:line="240" w:lineRule="auto"/>
        <w:rPr>
          <w:rFonts w:ascii="宋体" w:hAnsi="宋体"/>
          <w:szCs w:val="30"/>
        </w:rPr>
      </w:pPr>
      <w:bookmarkStart w:id="261" w:name="_Toc18432"/>
      <w:bookmarkStart w:id="262" w:name="_Toc11382"/>
      <w:bookmarkStart w:id="263" w:name="_Toc59386313"/>
      <w:bookmarkStart w:id="264" w:name="_Toc21808"/>
      <w:r>
        <w:rPr>
          <w:rFonts w:hint="eastAsia" w:ascii="宋体" w:hAnsi="宋体"/>
          <w:szCs w:val="30"/>
        </w:rPr>
        <w:t>3.1.8消防规划</w:t>
      </w:r>
      <w:bookmarkEnd w:id="261"/>
      <w:bookmarkEnd w:id="262"/>
      <w:bookmarkEnd w:id="263"/>
      <w:bookmarkEnd w:id="264"/>
    </w:p>
    <w:p>
      <w:pPr>
        <w:spacing w:before="190" w:after="190"/>
        <w:ind w:firstLine="562"/>
        <w:rPr>
          <w:b/>
          <w:bCs/>
        </w:rPr>
      </w:pPr>
      <w:r>
        <w:rPr>
          <w:rFonts w:hint="eastAsia"/>
          <w:b/>
          <w:bCs/>
        </w:rPr>
        <w:t>A.</w:t>
      </w:r>
      <w:r>
        <w:rPr>
          <w:b/>
          <w:bCs/>
        </w:rPr>
        <w:t>规划原则</w:t>
      </w:r>
    </w:p>
    <w:p>
      <w:pPr>
        <w:spacing w:before="190" w:after="190"/>
        <w:ind w:firstLine="560"/>
        <w:rPr>
          <w:rFonts w:ascii="宋体" w:hAnsi="宋体"/>
        </w:rPr>
      </w:pPr>
      <w:r>
        <w:rPr>
          <w:rFonts w:ascii="宋体" w:hAnsi="宋体"/>
        </w:rPr>
        <w:t>坚持“预防为主，防消结合”的方针，科学合理地规划城区消防安全体系。</w:t>
      </w:r>
    </w:p>
    <w:p>
      <w:pPr>
        <w:spacing w:before="190" w:after="190"/>
        <w:ind w:firstLine="562"/>
        <w:rPr>
          <w:b/>
          <w:bCs/>
        </w:rPr>
      </w:pPr>
      <w:r>
        <w:rPr>
          <w:rFonts w:hint="eastAsia"/>
          <w:b/>
          <w:bCs/>
        </w:rPr>
        <w:t>B.</w:t>
      </w:r>
      <w:r>
        <w:rPr>
          <w:b/>
          <w:bCs/>
        </w:rPr>
        <w:t>规划依据</w:t>
      </w:r>
    </w:p>
    <w:p>
      <w:pPr>
        <w:spacing w:before="190" w:after="190"/>
        <w:ind w:firstLine="560"/>
        <w:rPr>
          <w:rFonts w:ascii="宋体" w:hAnsi="宋体"/>
        </w:rPr>
      </w:pPr>
      <w:r>
        <w:rPr>
          <w:rFonts w:ascii="宋体" w:hAnsi="宋体"/>
        </w:rPr>
        <w:t>依据《中华人民共和国消防法》、《中华人民共和国城市规划法》、《中华人民共和国消防条例》及其《实施细则》、《城市消防规划建设管理规定》、《建筑设计防火规范》等法律、行政法规和技术法规，做到有法可依。</w:t>
      </w:r>
    </w:p>
    <w:p>
      <w:pPr>
        <w:spacing w:before="190" w:after="190"/>
        <w:ind w:firstLine="562"/>
        <w:rPr>
          <w:b/>
          <w:bCs/>
        </w:rPr>
      </w:pPr>
      <w:r>
        <w:rPr>
          <w:rFonts w:hint="eastAsia"/>
          <w:b/>
          <w:bCs/>
        </w:rPr>
        <w:t>C.</w:t>
      </w:r>
      <w:r>
        <w:rPr>
          <w:b/>
          <w:bCs/>
        </w:rPr>
        <w:t>消防安全布局规划</w:t>
      </w:r>
    </w:p>
    <w:p>
      <w:pPr>
        <w:spacing w:before="190" w:after="190"/>
        <w:ind w:firstLine="560"/>
        <w:rPr>
          <w:rFonts w:ascii="宋体" w:hAnsi="宋体"/>
        </w:rPr>
      </w:pPr>
      <w:r>
        <w:rPr>
          <w:rFonts w:ascii="宋体" w:hAnsi="宋体"/>
        </w:rPr>
        <w:t>从各乡镇现状消防安全布局状况出发，采取有利防火、便于救护、积极控制、有效引导、远近结合、标本兼治的原则进行消防安全的总体布局。一方面严格按规划用地布局要求控制建设，并通过对用地布局控制、用地建设安全审核、建筑质量引导等各种手段进行消防安全布局。另一方面结合主次干道建设，以主次道路骨架围合的街区为基本防火单元，利用道路、绿化等为主体建设防火隔离带，控制火势，防止内部火势蔓延，同时积极加强街区内部消防安全布局、消防通道建设、消防设施建设，形成街区内部完善的消防体系。重点控制易燃易爆化学危险品的生产、储存、运输等设施的布局。对燃气设施及加油站等建设要以有关规范、规定为依据统一规划，严格控制。合理布置乡镇集贸市场、停车场等设施，严格控制建筑质量，全面提高乡镇供电、供水、急救等城市生命线工程设施的消防安全标准，并同抗震防灾规划相结合。</w:t>
      </w:r>
    </w:p>
    <w:p>
      <w:pPr>
        <w:spacing w:before="190" w:after="190"/>
        <w:ind w:firstLine="562"/>
      </w:pPr>
      <w:r>
        <w:rPr>
          <w:rFonts w:hint="eastAsia"/>
          <w:b/>
          <w:bCs/>
        </w:rPr>
        <w:t>D.</w:t>
      </w:r>
      <w:r>
        <w:rPr>
          <w:b/>
          <w:bCs/>
        </w:rPr>
        <w:t>消防站规划</w:t>
      </w:r>
    </w:p>
    <w:p>
      <w:pPr>
        <w:spacing w:before="190" w:after="190"/>
        <w:ind w:firstLine="560"/>
        <w:rPr>
          <w:rFonts w:ascii="宋体" w:hAnsi="宋体"/>
        </w:rPr>
      </w:pPr>
      <w:r>
        <w:rPr>
          <w:rFonts w:ascii="宋体" w:hAnsi="宋体"/>
        </w:rPr>
        <w:t>规划共设 10 座消防站，保留现状 5 座消防站，新增 5 座消防站。新增消防站分别位于县城（</w:t>
      </w:r>
      <w:r>
        <w:rPr>
          <w:rFonts w:hint="eastAsia" w:ascii="宋体" w:hAnsi="宋体"/>
        </w:rPr>
        <w:t>2</w:t>
      </w:r>
      <w:r>
        <w:rPr>
          <w:rFonts w:ascii="宋体" w:hAnsi="宋体"/>
        </w:rPr>
        <w:t>座）、大水坑镇镇区</w:t>
      </w:r>
      <w:r>
        <w:rPr>
          <w:rFonts w:hint="eastAsia" w:ascii="宋体" w:hAnsi="宋体"/>
        </w:rPr>
        <w:t>（1座）</w:t>
      </w:r>
      <w:r>
        <w:rPr>
          <w:rFonts w:ascii="宋体" w:hAnsi="宋体"/>
        </w:rPr>
        <w:t>、高沙窝镇镇区</w:t>
      </w:r>
      <w:r>
        <w:rPr>
          <w:rFonts w:hint="eastAsia" w:ascii="宋体" w:hAnsi="宋体"/>
        </w:rPr>
        <w:t>（1座）</w:t>
      </w:r>
      <w:r>
        <w:rPr>
          <w:rFonts w:ascii="宋体" w:hAnsi="宋体"/>
        </w:rPr>
        <w:t>和惠安堡镇镇区</w:t>
      </w:r>
      <w:r>
        <w:rPr>
          <w:rFonts w:hint="eastAsia" w:ascii="宋体" w:hAnsi="宋体"/>
        </w:rPr>
        <w:t>（1座）。</w:t>
      </w:r>
    </w:p>
    <w:p>
      <w:pPr>
        <w:pStyle w:val="3"/>
        <w:spacing w:before="190" w:after="190"/>
        <w:rPr>
          <w:rFonts w:ascii="宋体" w:hAnsi="宋体"/>
          <w:szCs w:val="32"/>
        </w:rPr>
      </w:pPr>
      <w:bookmarkStart w:id="265" w:name="_Toc693"/>
      <w:bookmarkStart w:id="266" w:name="_Toc32239"/>
      <w:bookmarkStart w:id="267" w:name="_Toc19860"/>
      <w:r>
        <w:rPr>
          <w:rFonts w:hint="eastAsia" w:ascii="宋体" w:hAnsi="宋体"/>
          <w:szCs w:val="32"/>
        </w:rPr>
        <w:t>3.2《盐池县城市总体规划》（2010-2030）</w:t>
      </w:r>
      <w:bookmarkEnd w:id="265"/>
      <w:bookmarkEnd w:id="266"/>
      <w:bookmarkEnd w:id="267"/>
    </w:p>
    <w:p>
      <w:pPr>
        <w:pStyle w:val="4"/>
        <w:spacing w:before="0" w:beforeLines="0" w:after="0" w:afterLines="0" w:line="240" w:lineRule="auto"/>
        <w:rPr>
          <w:rFonts w:ascii="宋体" w:hAnsi="宋体"/>
          <w:szCs w:val="30"/>
        </w:rPr>
      </w:pPr>
      <w:bookmarkStart w:id="268" w:name="_Toc17378"/>
      <w:bookmarkStart w:id="269" w:name="_Toc28845"/>
      <w:bookmarkStart w:id="270" w:name="_Toc59386315"/>
      <w:bookmarkStart w:id="271" w:name="_Toc6821"/>
      <w:r>
        <w:rPr>
          <w:rFonts w:hint="eastAsia" w:ascii="宋体" w:hAnsi="宋体"/>
          <w:szCs w:val="30"/>
        </w:rPr>
        <w:t>3.2.1规划重点</w:t>
      </w:r>
      <w:bookmarkEnd w:id="268"/>
      <w:bookmarkEnd w:id="269"/>
      <w:bookmarkEnd w:id="270"/>
      <w:bookmarkEnd w:id="271"/>
    </w:p>
    <w:p>
      <w:pPr>
        <w:spacing w:before="190" w:after="190"/>
        <w:ind w:firstLine="560"/>
        <w:rPr>
          <w:rFonts w:ascii="宋体" w:hAnsi="宋体"/>
        </w:rPr>
      </w:pPr>
      <w:r>
        <w:rPr>
          <w:rFonts w:hint="eastAsia" w:ascii="宋体" w:hAnsi="宋体"/>
        </w:rPr>
        <w:t>根据盐池县发展环境的变化和城市发展的新特点，针对原有的规划和建设所暴露出的问题，本次盐池县总体规划的工作重点如下：</w:t>
      </w:r>
    </w:p>
    <w:p>
      <w:pPr>
        <w:spacing w:before="190" w:after="190"/>
        <w:ind w:firstLine="562"/>
        <w:rPr>
          <w:b/>
          <w:bCs/>
        </w:rPr>
      </w:pPr>
      <w:r>
        <w:rPr>
          <w:rFonts w:hint="eastAsia"/>
          <w:b/>
          <w:bCs/>
        </w:rPr>
        <w:t>（一）统筹城乡协调发展，完善县域城镇体系</w:t>
      </w:r>
    </w:p>
    <w:p>
      <w:pPr>
        <w:spacing w:before="190" w:after="190"/>
        <w:ind w:firstLine="560"/>
        <w:rPr>
          <w:rFonts w:ascii="宋体" w:hAnsi="宋体"/>
        </w:rPr>
      </w:pPr>
      <w:r>
        <w:rPr>
          <w:rFonts w:hint="eastAsia" w:ascii="宋体" w:hAnsi="宋体"/>
        </w:rPr>
        <w:t>坚持可持续发展原则，统筹城乡发展，实践可续发展观，全面推进城镇化。构建一个合理的城镇体系结构，确定村镇的发展原则，为今后实施迁村并点、进行城镇建设提供依据。在村镇发展方面，针对不同地区的空间资源特色，结合城乡统筹，制定相应的发展策略。</w:t>
      </w:r>
    </w:p>
    <w:p>
      <w:pPr>
        <w:spacing w:before="190" w:after="190"/>
        <w:ind w:firstLine="562"/>
        <w:rPr>
          <w:b/>
          <w:bCs/>
        </w:rPr>
      </w:pPr>
      <w:r>
        <w:rPr>
          <w:rFonts w:hint="eastAsia"/>
          <w:b/>
          <w:bCs/>
        </w:rPr>
        <w:t>（二）研究区域协调发展，制定发展战略</w:t>
      </w:r>
    </w:p>
    <w:p>
      <w:pPr>
        <w:spacing w:before="190" w:after="190"/>
        <w:ind w:firstLine="560"/>
        <w:rPr>
          <w:rFonts w:ascii="宋体" w:hAnsi="宋体"/>
        </w:rPr>
      </w:pPr>
      <w:r>
        <w:rPr>
          <w:rFonts w:hint="eastAsia" w:ascii="宋体" w:hAnsi="宋体"/>
        </w:rPr>
        <w:t>全面研究周边区县的发展格局，结合盐池本身发展方向和产业需求，确立其自身的发展重点，形成与周边区县、沿黄城市带、西部开发共同发展的局面。</w:t>
      </w:r>
    </w:p>
    <w:p>
      <w:pPr>
        <w:spacing w:before="190" w:after="190"/>
        <w:ind w:firstLine="562"/>
        <w:rPr>
          <w:b/>
          <w:bCs/>
        </w:rPr>
      </w:pPr>
      <w:r>
        <w:rPr>
          <w:rFonts w:hint="eastAsia"/>
          <w:b/>
          <w:bCs/>
        </w:rPr>
        <w:t>（三）明确城市定位，制定城市发展战略</w:t>
      </w:r>
    </w:p>
    <w:p>
      <w:pPr>
        <w:spacing w:before="190" w:after="190"/>
        <w:ind w:firstLine="560"/>
        <w:rPr>
          <w:rFonts w:ascii="宋体" w:hAnsi="宋体"/>
        </w:rPr>
      </w:pPr>
      <w:r>
        <w:rPr>
          <w:rFonts w:hint="eastAsia" w:ascii="宋体" w:hAnsi="宋体"/>
        </w:rPr>
        <w:t>明确城市在区域合作中的地位，强化城市特色，把握发展机遇。进一步发掘城市文化特色，丰富城市文化，形成富有现代气息的城市特征。在保护的前提下，大力发展具有地域特色的旅游业，发展与保护相结合，实现城市可持续发展。坚持生态优先，保护生态环境，改善投资环境。</w:t>
      </w:r>
    </w:p>
    <w:p>
      <w:pPr>
        <w:spacing w:before="190" w:after="190"/>
        <w:ind w:firstLine="562"/>
        <w:rPr>
          <w:b/>
          <w:bCs/>
        </w:rPr>
      </w:pPr>
      <w:r>
        <w:rPr>
          <w:rFonts w:hint="eastAsia"/>
          <w:b/>
          <w:bCs/>
        </w:rPr>
        <w:t>（四）推动产业结构升级，优化产业布局</w:t>
      </w:r>
    </w:p>
    <w:p>
      <w:pPr>
        <w:spacing w:before="190" w:after="190"/>
        <w:ind w:firstLine="560"/>
        <w:rPr>
          <w:rFonts w:ascii="宋体" w:hAnsi="宋体"/>
        </w:rPr>
      </w:pPr>
      <w:r>
        <w:rPr>
          <w:rFonts w:hint="eastAsia" w:ascii="宋体" w:hAnsi="宋体"/>
        </w:rPr>
        <w:t>近几年盐池经济发展速度较快，城市实力明显增强，在当今的新一轮西部大开发环境下，以及沿黄城市带以及能源基地建设的带动下，县域经济面临新的发展机遇，产业结构不能适应节能减排、可持续发展的新要求，需要进一步研究产业发展的重点。县域经济的发展、城镇化的推进必须依托产业园区的建设，依托于当地的优势资源，因此需要从县域的角度合理进行生产力布局，带动全县的发展。</w:t>
      </w:r>
    </w:p>
    <w:p>
      <w:pPr>
        <w:spacing w:before="190" w:after="190"/>
        <w:ind w:firstLine="562"/>
        <w:rPr>
          <w:b/>
          <w:bCs/>
        </w:rPr>
      </w:pPr>
      <w:r>
        <w:rPr>
          <w:rFonts w:hint="eastAsia"/>
          <w:b/>
          <w:bCs/>
        </w:rPr>
        <w:t>（五）推动新区发展，优化城市空间结构</w:t>
      </w:r>
    </w:p>
    <w:p>
      <w:pPr>
        <w:spacing w:before="190" w:after="190"/>
        <w:ind w:firstLine="560"/>
        <w:rPr>
          <w:rFonts w:ascii="宋体" w:hAnsi="宋体"/>
        </w:rPr>
      </w:pPr>
      <w:r>
        <w:rPr>
          <w:rFonts w:hint="eastAsia" w:ascii="宋体" w:hAnsi="宋体"/>
        </w:rPr>
        <w:t>完善城市对外交通和城市内部交通，推动城市新区建设，改善城市功能组织，促进城市空间结构进一步优化，适应城市发展需求。</w:t>
      </w:r>
    </w:p>
    <w:p>
      <w:pPr>
        <w:spacing w:before="190" w:after="190"/>
        <w:ind w:firstLine="562"/>
        <w:rPr>
          <w:b/>
          <w:bCs/>
        </w:rPr>
      </w:pPr>
      <w:r>
        <w:rPr>
          <w:rFonts w:hint="eastAsia"/>
          <w:b/>
          <w:bCs/>
        </w:rPr>
        <w:t>（六）加强老城区改造，突出城市风貌特色</w:t>
      </w:r>
    </w:p>
    <w:p>
      <w:pPr>
        <w:spacing w:before="190" w:after="190"/>
        <w:ind w:firstLine="560"/>
      </w:pPr>
      <w:r>
        <w:rPr>
          <w:rFonts w:hint="eastAsia" w:ascii="宋体" w:hAnsi="宋体"/>
        </w:rPr>
        <w:t>加强老城区改造，突出城市特色。现有老城区土地使用效率较低，缺乏城市空间特色，对长城文化特色挖掘不充分。因此，必须加大旧城改造力度，突出城市特色。</w:t>
      </w:r>
    </w:p>
    <w:p>
      <w:pPr>
        <w:pStyle w:val="4"/>
        <w:spacing w:before="0" w:beforeLines="0" w:after="0" w:afterLines="0" w:line="240" w:lineRule="auto"/>
        <w:rPr>
          <w:rFonts w:ascii="宋体" w:hAnsi="宋体"/>
          <w:szCs w:val="30"/>
        </w:rPr>
      </w:pPr>
      <w:bookmarkStart w:id="272" w:name="_Toc59386316"/>
      <w:bookmarkStart w:id="273" w:name="_Toc29001"/>
      <w:bookmarkStart w:id="274" w:name="_Toc30356"/>
      <w:bookmarkStart w:id="275" w:name="_Toc10648"/>
      <w:r>
        <w:rPr>
          <w:rFonts w:hint="eastAsia" w:ascii="宋体" w:hAnsi="宋体"/>
          <w:szCs w:val="30"/>
        </w:rPr>
        <w:t>3.2.2规划期限</w:t>
      </w:r>
      <w:bookmarkEnd w:id="272"/>
      <w:bookmarkEnd w:id="273"/>
      <w:bookmarkEnd w:id="274"/>
      <w:bookmarkEnd w:id="275"/>
    </w:p>
    <w:p>
      <w:pPr>
        <w:spacing w:before="190" w:after="190"/>
        <w:ind w:firstLine="560"/>
        <w:rPr>
          <w:rFonts w:ascii="宋体" w:hAnsi="宋体"/>
        </w:rPr>
      </w:pPr>
      <w:r>
        <w:rPr>
          <w:rFonts w:hint="eastAsia" w:ascii="宋体" w:hAnsi="宋体"/>
        </w:rPr>
        <w:t>本次盐池县总体规划期限为2010-2030年，其中：</w:t>
      </w:r>
    </w:p>
    <w:p>
      <w:pPr>
        <w:spacing w:before="190" w:after="190"/>
        <w:ind w:firstLine="560"/>
        <w:rPr>
          <w:rFonts w:ascii="宋体" w:hAnsi="宋体"/>
        </w:rPr>
      </w:pPr>
      <w:r>
        <w:rPr>
          <w:rFonts w:hint="eastAsia" w:ascii="宋体" w:hAnsi="宋体"/>
        </w:rPr>
        <w:t>近期2010—2015年；远期2016—2030年；远景为2030年以后。</w:t>
      </w:r>
    </w:p>
    <w:p>
      <w:pPr>
        <w:pStyle w:val="4"/>
        <w:spacing w:before="0" w:beforeLines="0" w:after="0" w:afterLines="0" w:line="240" w:lineRule="auto"/>
        <w:rPr>
          <w:rFonts w:ascii="宋体" w:hAnsi="宋体"/>
          <w:szCs w:val="30"/>
        </w:rPr>
      </w:pPr>
      <w:bookmarkStart w:id="276" w:name="_Toc7976"/>
      <w:bookmarkStart w:id="277" w:name="_Toc59386317"/>
      <w:bookmarkStart w:id="278" w:name="_Toc18954"/>
      <w:bookmarkStart w:id="279" w:name="_Toc21046"/>
      <w:r>
        <w:rPr>
          <w:rFonts w:hint="eastAsia" w:ascii="宋体" w:hAnsi="宋体"/>
          <w:szCs w:val="30"/>
        </w:rPr>
        <w:t>3.2.3规划层次与范围</w:t>
      </w:r>
      <w:bookmarkEnd w:id="276"/>
      <w:bookmarkEnd w:id="277"/>
      <w:bookmarkEnd w:id="278"/>
      <w:bookmarkEnd w:id="279"/>
    </w:p>
    <w:p>
      <w:pPr>
        <w:spacing w:before="190" w:after="190"/>
        <w:ind w:firstLine="560"/>
        <w:rPr>
          <w:rFonts w:ascii="宋体" w:hAnsi="宋体"/>
        </w:rPr>
      </w:pPr>
      <w:r>
        <w:rPr>
          <w:rFonts w:hint="eastAsia" w:ascii="宋体" w:hAnsi="宋体"/>
        </w:rPr>
        <w:t>第一层次——县域城镇体系规划，县行政辖区范围，总面积为8557.7平方公里。</w:t>
      </w:r>
    </w:p>
    <w:p>
      <w:pPr>
        <w:spacing w:before="190" w:after="190"/>
        <w:ind w:firstLine="560"/>
        <w:rPr>
          <w:rFonts w:ascii="宋体" w:hAnsi="宋体"/>
        </w:rPr>
      </w:pPr>
      <w:r>
        <w:rPr>
          <w:rFonts w:hint="eastAsia" w:ascii="宋体" w:hAnsi="宋体"/>
        </w:rPr>
        <w:t>第二层次——规划区范围规划，中心城市规划区控制范围东至盐池县域边境，西至花马池镇行政边界，南至太中银铁路，北至沙生植物园北坡，规划区总面积约185平方公里。</w:t>
      </w:r>
    </w:p>
    <w:p>
      <w:pPr>
        <w:spacing w:before="190" w:after="190"/>
        <w:ind w:firstLine="560"/>
        <w:rPr>
          <w:rFonts w:ascii="宋体" w:hAnsi="宋体"/>
        </w:rPr>
      </w:pPr>
      <w:r>
        <w:rPr>
          <w:rFonts w:hint="eastAsia" w:ascii="宋体" w:hAnsi="宋体"/>
        </w:rPr>
        <w:t>第三层次——中心城区建设用地规划范围，北至物流园区、南至南二环、东至宁鲁石化以东、西至西二环。总规划研究范围约26.68平方公里，实际建设用地面积控制在</w:t>
      </w:r>
      <w:r>
        <w:rPr>
          <w:rFonts w:ascii="宋体" w:hAnsi="宋体"/>
        </w:rPr>
        <w:t>14.4</w:t>
      </w:r>
      <w:r>
        <w:rPr>
          <w:rFonts w:hint="eastAsia" w:ascii="宋体" w:hAnsi="宋体"/>
        </w:rPr>
        <w:t>平方公里左右。</w:t>
      </w:r>
    </w:p>
    <w:p>
      <w:pPr>
        <w:pStyle w:val="4"/>
        <w:spacing w:before="0" w:beforeLines="0" w:after="0" w:afterLines="0" w:line="240" w:lineRule="auto"/>
        <w:rPr>
          <w:rFonts w:ascii="宋体" w:hAnsi="宋体"/>
          <w:szCs w:val="30"/>
        </w:rPr>
      </w:pPr>
      <w:bookmarkStart w:id="280" w:name="_Toc2228"/>
      <w:bookmarkStart w:id="281" w:name="_Toc59386318"/>
      <w:bookmarkStart w:id="282" w:name="_Toc82"/>
      <w:bookmarkStart w:id="283" w:name="_Toc24952"/>
      <w:r>
        <w:rPr>
          <w:rFonts w:hint="eastAsia" w:ascii="宋体" w:hAnsi="宋体"/>
          <w:szCs w:val="30"/>
        </w:rPr>
        <w:t>3.2.4城镇空间结构规划</w:t>
      </w:r>
      <w:bookmarkEnd w:id="280"/>
      <w:bookmarkEnd w:id="281"/>
      <w:bookmarkEnd w:id="282"/>
      <w:bookmarkEnd w:id="283"/>
    </w:p>
    <w:p>
      <w:pPr>
        <w:spacing w:before="190" w:after="190"/>
        <w:ind w:firstLine="560"/>
      </w:pPr>
      <w:r>
        <w:rPr>
          <w:rFonts w:hint="eastAsia" w:ascii="宋体" w:hAnsi="宋体"/>
        </w:rPr>
        <w:t>规划盐池城镇空间结构：以县城为中心，形成“一心三轴三点三片”的点面结合的城镇空间体系。</w:t>
      </w:r>
    </w:p>
    <w:p>
      <w:pPr>
        <w:spacing w:before="190" w:after="190"/>
        <w:ind w:firstLine="562"/>
        <w:rPr>
          <w:b/>
          <w:bCs/>
        </w:rPr>
      </w:pPr>
      <w:r>
        <w:rPr>
          <w:rFonts w:hint="eastAsia"/>
          <w:b/>
          <w:bCs/>
        </w:rPr>
        <w:t>（一）“一个主中心城区”</w:t>
      </w:r>
    </w:p>
    <w:p>
      <w:pPr>
        <w:spacing w:before="190" w:after="190"/>
        <w:ind w:firstLine="560"/>
        <w:rPr>
          <w:rFonts w:ascii="宋体" w:hAnsi="宋体"/>
        </w:rPr>
      </w:pPr>
      <w:r>
        <w:rPr>
          <w:rFonts w:hint="eastAsia" w:ascii="宋体" w:hAnsi="宋体"/>
        </w:rPr>
        <w:t>是指以中心城区为主的区域服务核心区，通过产业集聚、人口集聚形成县域发展极，带动县域及周边乡镇发展。为此必须做强做大县城规模，提升县城产业结构，切实转变经济增长方式，全面提升县城环境质量，建设成为园林城市示范县。</w:t>
      </w:r>
    </w:p>
    <w:p>
      <w:pPr>
        <w:spacing w:before="190" w:after="190"/>
        <w:ind w:firstLine="562"/>
        <w:rPr>
          <w:b/>
          <w:bCs/>
        </w:rPr>
      </w:pPr>
      <w:r>
        <w:rPr>
          <w:rFonts w:hint="eastAsia"/>
          <w:b/>
          <w:bCs/>
        </w:rPr>
        <w:t>（二）三条城镇发展轴线</w:t>
      </w:r>
    </w:p>
    <w:p>
      <w:pPr>
        <w:spacing w:before="190" w:after="190"/>
        <w:ind w:firstLine="560"/>
        <w:rPr>
          <w:rFonts w:ascii="宋体" w:hAnsi="宋体"/>
        </w:rPr>
      </w:pPr>
      <w:r>
        <w:rPr>
          <w:rFonts w:hint="eastAsia" w:ascii="宋体" w:hAnsi="宋体"/>
        </w:rPr>
        <w:t>分别指沿307国道、304省道及联系县城、青山乡、大水坑镇、惠安堡镇的县道形成的三条城镇发展轴，规划通过基础设施的支撑，加强县城与各乡镇以及各乡镇之间的协作。</w:t>
      </w:r>
    </w:p>
    <w:p>
      <w:pPr>
        <w:spacing w:before="190" w:after="190"/>
        <w:ind w:firstLine="562"/>
        <w:rPr>
          <w:b/>
          <w:bCs/>
        </w:rPr>
      </w:pPr>
      <w:r>
        <w:rPr>
          <w:rFonts w:hint="eastAsia"/>
          <w:b/>
          <w:bCs/>
        </w:rPr>
        <w:t>（三）“三个核心重点城镇”</w:t>
      </w:r>
    </w:p>
    <w:p>
      <w:pPr>
        <w:spacing w:before="190" w:after="190"/>
        <w:ind w:firstLine="560"/>
        <w:rPr>
          <w:rFonts w:ascii="宋体" w:hAnsi="宋体"/>
        </w:rPr>
      </w:pPr>
      <w:r>
        <w:rPr>
          <w:rFonts w:hint="eastAsia" w:ascii="宋体" w:hAnsi="宋体"/>
        </w:rPr>
        <w:t>分别指以高沙窝镇、大水坑镇、惠安堡镇为核心城镇，带动周边一般乡镇的发展。规划重点加强这三镇的经济产业发展，增强对周边乡镇、乡村的辐射，吸引人口、产业向镇区集中，加快城镇化进程，统筹城乡经济社会发展。</w:t>
      </w:r>
    </w:p>
    <w:p>
      <w:pPr>
        <w:spacing w:before="190" w:after="190"/>
        <w:ind w:firstLine="562"/>
      </w:pPr>
      <w:r>
        <w:rPr>
          <w:rFonts w:hint="eastAsia"/>
          <w:b/>
          <w:bCs/>
        </w:rPr>
        <w:t>（四）“三大特色经济片区”</w:t>
      </w:r>
    </w:p>
    <w:p>
      <w:pPr>
        <w:spacing w:before="190" w:after="190"/>
        <w:ind w:firstLine="560"/>
        <w:rPr>
          <w:rFonts w:ascii="宋体" w:hAnsi="宋体"/>
        </w:rPr>
      </w:pPr>
      <w:r>
        <w:rPr>
          <w:rFonts w:hint="eastAsia" w:ascii="宋体" w:hAnsi="宋体"/>
        </w:rPr>
        <w:t>指依托高沙窝镇、大水坑镇、惠安堡镇这三个重点镇形成的三大特色经济片区，分别为北部以石油化工、煤化工、农牧产品加工为主的经济片区；西部以煤炭石油开采及加工为主的经济片区；东部以建材产业加工、农牧产品加工为主的经济片区。</w:t>
      </w:r>
    </w:p>
    <w:p>
      <w:pPr>
        <w:pStyle w:val="4"/>
        <w:spacing w:before="0" w:beforeLines="0" w:after="0" w:afterLines="0" w:line="240" w:lineRule="auto"/>
        <w:rPr>
          <w:rFonts w:ascii="宋体" w:hAnsi="宋体"/>
          <w:szCs w:val="30"/>
        </w:rPr>
      </w:pPr>
      <w:bookmarkStart w:id="284" w:name="_Toc11210"/>
      <w:bookmarkStart w:id="285" w:name="_Toc59386319"/>
      <w:bookmarkStart w:id="286" w:name="_Toc17665"/>
      <w:bookmarkStart w:id="287" w:name="_Toc10349"/>
      <w:r>
        <w:rPr>
          <w:rFonts w:hint="eastAsia" w:ascii="宋体" w:hAnsi="宋体"/>
          <w:szCs w:val="30"/>
        </w:rPr>
        <w:t>3.2.5城市规划区</w:t>
      </w:r>
      <w:bookmarkEnd w:id="284"/>
      <w:bookmarkEnd w:id="285"/>
      <w:bookmarkEnd w:id="286"/>
      <w:bookmarkEnd w:id="287"/>
    </w:p>
    <w:p>
      <w:pPr>
        <w:spacing w:before="190" w:after="190"/>
        <w:ind w:firstLine="562"/>
        <w:rPr>
          <w:b/>
          <w:bCs/>
        </w:rPr>
      </w:pPr>
      <w:r>
        <w:rPr>
          <w:rFonts w:hint="eastAsia"/>
          <w:b/>
          <w:bCs/>
        </w:rPr>
        <w:t>1）空间结构</w:t>
      </w:r>
    </w:p>
    <w:p>
      <w:pPr>
        <w:spacing w:before="190" w:after="190"/>
        <w:ind w:firstLine="560"/>
        <w:rPr>
          <w:rFonts w:ascii="宋体" w:hAnsi="宋体"/>
        </w:rPr>
      </w:pPr>
      <w:r>
        <w:rPr>
          <w:rFonts w:hint="eastAsia" w:ascii="宋体" w:hAnsi="宋体"/>
        </w:rPr>
        <w:t>规划区空间结构可以概括为：“一核三片，两轴串联，绿意环绕”的格局。</w:t>
      </w:r>
    </w:p>
    <w:p>
      <w:pPr>
        <w:spacing w:before="190" w:after="190"/>
        <w:ind w:firstLine="560"/>
        <w:rPr>
          <w:rFonts w:ascii="宋体" w:hAnsi="宋体"/>
        </w:rPr>
      </w:pPr>
      <w:r>
        <w:rPr>
          <w:rFonts w:hint="eastAsia" w:ascii="宋体" w:hAnsi="宋体"/>
        </w:rPr>
        <w:t>一个公共服务核心：中心城区为整个县域的政治经济文化中心，也是规划区的公共服务核心。</w:t>
      </w:r>
    </w:p>
    <w:p>
      <w:pPr>
        <w:spacing w:before="190" w:after="190"/>
        <w:ind w:firstLine="560"/>
        <w:rPr>
          <w:rFonts w:ascii="宋体" w:hAnsi="宋体"/>
        </w:rPr>
      </w:pPr>
      <w:r>
        <w:rPr>
          <w:rFonts w:hint="eastAsia" w:ascii="宋体" w:hAnsi="宋体"/>
        </w:rPr>
        <w:t>三大发展片区：分别为中心城区、花马池国家森林公园片区、南部火车站服务片区和西部滩羊农业示范园区。</w:t>
      </w:r>
    </w:p>
    <w:p>
      <w:pPr>
        <w:spacing w:before="190" w:after="190"/>
        <w:ind w:firstLine="560"/>
        <w:rPr>
          <w:rFonts w:ascii="宋体" w:hAnsi="宋体"/>
        </w:rPr>
      </w:pPr>
      <w:r>
        <w:rPr>
          <w:rFonts w:hint="eastAsia" w:ascii="宋体" w:hAnsi="宋体"/>
        </w:rPr>
        <w:t>两条十字形功能轴线：纵向西环路、盐州路与横向南环路作为两条城镇功能走廊联结各功能片区和大型公共设施。</w:t>
      </w:r>
    </w:p>
    <w:p>
      <w:pPr>
        <w:spacing w:before="190" w:after="190"/>
        <w:ind w:firstLine="560"/>
        <w:rPr>
          <w:rFonts w:ascii="宋体" w:hAnsi="宋体"/>
        </w:rPr>
      </w:pPr>
      <w:r>
        <w:rPr>
          <w:rFonts w:hint="eastAsia" w:ascii="宋体" w:hAnsi="宋体"/>
        </w:rPr>
        <w:t>周边生态绿地环绕：保护周边的生态绿地，保证规划区生态平衡，形成三大生态片区，分别位于青银高速公路以北区域，太中银铁路以东、西二环路以西、南环路以南区域，花马池森林公园以东、青银高速以南、定武高速以西区域。</w:t>
      </w:r>
    </w:p>
    <w:p>
      <w:pPr>
        <w:spacing w:before="190" w:after="190"/>
        <w:ind w:firstLine="562"/>
        <w:rPr>
          <w:b/>
          <w:bCs/>
        </w:rPr>
      </w:pPr>
      <w:r>
        <w:rPr>
          <w:rFonts w:hint="eastAsia"/>
          <w:b/>
          <w:bCs/>
        </w:rPr>
        <w:t>2）功能布局</w:t>
      </w:r>
    </w:p>
    <w:p>
      <w:pPr>
        <w:spacing w:before="190" w:after="190"/>
        <w:ind w:firstLine="560"/>
        <w:rPr>
          <w:rFonts w:ascii="宋体" w:hAnsi="宋体"/>
        </w:rPr>
      </w:pPr>
      <w:r>
        <w:rPr>
          <w:rFonts w:hint="eastAsia" w:ascii="宋体" w:hAnsi="宋体"/>
        </w:rPr>
        <w:t>规划区的功能布局可以划分为六大片区。</w:t>
      </w:r>
    </w:p>
    <w:p>
      <w:pPr>
        <w:spacing w:before="190" w:after="190"/>
        <w:ind w:firstLine="562"/>
        <w:rPr>
          <w:rFonts w:ascii="宋体" w:hAnsi="宋体"/>
          <w:b/>
          <w:bCs/>
        </w:rPr>
      </w:pPr>
      <w:r>
        <w:rPr>
          <w:rFonts w:hint="eastAsia" w:ascii="宋体" w:hAnsi="宋体"/>
          <w:b/>
          <w:bCs/>
        </w:rPr>
        <w:t>①中心公共服务片区</w:t>
      </w:r>
    </w:p>
    <w:p>
      <w:pPr>
        <w:spacing w:before="190" w:after="190"/>
        <w:ind w:firstLine="560"/>
        <w:rPr>
          <w:rFonts w:ascii="宋体" w:hAnsi="宋体"/>
        </w:rPr>
      </w:pPr>
      <w:r>
        <w:rPr>
          <w:rFonts w:hint="eastAsia" w:ascii="宋体" w:hAnsi="宋体"/>
        </w:rPr>
        <w:t>中心公共服务片区包括老城区、西部新区，集中布局了县域的政治经济和公共服务设施，为规划区内的各片区提供行政、办公、商业、娱乐等服务，同时也成为统筹规划区发展的核心片区。</w:t>
      </w:r>
    </w:p>
    <w:p>
      <w:pPr>
        <w:spacing w:before="190" w:after="190"/>
        <w:ind w:firstLine="562"/>
        <w:rPr>
          <w:rFonts w:ascii="宋体" w:hAnsi="宋体"/>
          <w:b/>
          <w:bCs/>
        </w:rPr>
      </w:pPr>
      <w:r>
        <w:rPr>
          <w:rFonts w:hint="eastAsia" w:ascii="宋体" w:hAnsi="宋体"/>
          <w:b/>
          <w:bCs/>
        </w:rPr>
        <w:t>②花马寺国家森林公园片区</w:t>
      </w:r>
    </w:p>
    <w:p>
      <w:pPr>
        <w:spacing w:before="190" w:after="190"/>
        <w:ind w:firstLine="560"/>
        <w:rPr>
          <w:rFonts w:ascii="宋体" w:hAnsi="宋体"/>
        </w:rPr>
      </w:pPr>
      <w:r>
        <w:rPr>
          <w:rFonts w:hint="eastAsia" w:ascii="宋体" w:hAnsi="宋体"/>
        </w:rPr>
        <w:t>花马池国家森林公园位于县城以南，东以盐大公路为界，北至冯记圈村涝池，西以林场林班界，南以花马寺为界，区内总面积约为13平方公里左右。片区以生物多样、大漠奇秀、湿地、湖泊为主要特色，集生态、科普、探险、休闲娱乐为一体。</w:t>
      </w:r>
    </w:p>
    <w:p>
      <w:pPr>
        <w:spacing w:before="190" w:after="190"/>
        <w:ind w:firstLine="560"/>
        <w:rPr>
          <w:rFonts w:ascii="宋体" w:hAnsi="宋体"/>
        </w:rPr>
      </w:pPr>
      <w:r>
        <w:rPr>
          <w:rFonts w:hint="eastAsia" w:ascii="宋体" w:hAnsi="宋体"/>
        </w:rPr>
        <w:t>③南部火车站片区</w:t>
      </w:r>
    </w:p>
    <w:p>
      <w:pPr>
        <w:spacing w:before="190" w:after="190"/>
        <w:ind w:firstLine="560"/>
        <w:rPr>
          <w:rFonts w:ascii="宋体" w:hAnsi="宋体"/>
        </w:rPr>
      </w:pPr>
      <w:r>
        <w:rPr>
          <w:rFonts w:hint="eastAsia" w:ascii="宋体" w:hAnsi="宋体"/>
        </w:rPr>
        <w:t>南部结合太中银铁路与重要县道，建设火车站和长途客运站，发展仓储、商贸、物流，为旅客提供便利的服务设施。</w:t>
      </w:r>
    </w:p>
    <w:p>
      <w:pPr>
        <w:spacing w:before="190" w:after="190"/>
        <w:ind w:firstLine="562"/>
        <w:rPr>
          <w:rFonts w:ascii="宋体" w:hAnsi="宋体"/>
          <w:b/>
          <w:bCs/>
        </w:rPr>
      </w:pPr>
      <w:r>
        <w:rPr>
          <w:rFonts w:hint="eastAsia" w:ascii="宋体" w:hAnsi="宋体"/>
          <w:b/>
          <w:bCs/>
        </w:rPr>
        <w:t>④北部物流园区</w:t>
      </w:r>
    </w:p>
    <w:p>
      <w:pPr>
        <w:spacing w:before="190" w:after="190"/>
        <w:ind w:firstLine="560"/>
        <w:rPr>
          <w:rFonts w:ascii="宋体" w:hAnsi="宋体"/>
        </w:rPr>
      </w:pPr>
      <w:r>
        <w:rPr>
          <w:rFonts w:hint="eastAsia" w:ascii="宋体" w:hAnsi="宋体"/>
        </w:rPr>
        <w:t>依托青银高速、太中银铁路等良好的交通运输条件，发展综合物流园区，作为重要的中转物流基地，为区域及工业园区提供运输、仓储、配送、联运等服务。</w:t>
      </w:r>
    </w:p>
    <w:p>
      <w:pPr>
        <w:spacing w:before="190" w:after="190"/>
        <w:ind w:firstLine="560"/>
        <w:rPr>
          <w:rFonts w:ascii="宋体" w:hAnsi="宋体"/>
        </w:rPr>
      </w:pPr>
      <w:r>
        <w:rPr>
          <w:rFonts w:hint="eastAsia" w:ascii="宋体" w:hAnsi="宋体"/>
        </w:rPr>
        <w:t>⑤城西滩农业示范园区</w:t>
      </w:r>
    </w:p>
    <w:p>
      <w:pPr>
        <w:spacing w:before="190" w:after="190"/>
        <w:ind w:firstLine="560"/>
        <w:rPr>
          <w:rFonts w:ascii="宋体" w:hAnsi="宋体"/>
        </w:rPr>
      </w:pPr>
      <w:r>
        <w:rPr>
          <w:rFonts w:hint="eastAsia" w:ascii="宋体" w:hAnsi="宋体"/>
        </w:rPr>
        <w:t>县城西部发展以滩羊、温棚为特色的农业示范园区，实施迁村并居，建设新农村社区，配套相应的公共服务设施和基础设施。</w:t>
      </w:r>
    </w:p>
    <w:p>
      <w:pPr>
        <w:spacing w:before="190" w:after="190"/>
        <w:ind w:firstLine="562"/>
        <w:rPr>
          <w:rFonts w:ascii="宋体" w:hAnsi="宋体"/>
          <w:b/>
          <w:bCs/>
        </w:rPr>
      </w:pPr>
      <w:r>
        <w:rPr>
          <w:rFonts w:hint="eastAsia" w:ascii="宋体" w:hAnsi="宋体"/>
          <w:b/>
          <w:bCs/>
        </w:rPr>
        <w:t>⑥东部工业园区</w:t>
      </w:r>
    </w:p>
    <w:p>
      <w:pPr>
        <w:spacing w:before="190" w:after="190"/>
        <w:ind w:firstLine="560"/>
        <w:rPr>
          <w:rFonts w:ascii="宋体" w:hAnsi="宋体"/>
        </w:rPr>
      </w:pPr>
      <w:r>
        <w:rPr>
          <w:rFonts w:hint="eastAsia" w:ascii="宋体" w:hAnsi="宋体"/>
        </w:rPr>
        <w:t>紧邻老城区，西以东顺路为界，以发展工业为主，配套布局相应的公共服务设施，其中中央大道以东，南环路与南二环之间的区域规划期内以发展生态林业为主，远景作为工业园区向东、南拓展的发展备用地。</w:t>
      </w:r>
    </w:p>
    <w:p>
      <w:pPr>
        <w:pStyle w:val="4"/>
        <w:spacing w:before="0" w:beforeLines="0" w:after="0" w:afterLines="0" w:line="240" w:lineRule="auto"/>
        <w:rPr>
          <w:rFonts w:ascii="宋体" w:hAnsi="宋体"/>
          <w:szCs w:val="30"/>
        </w:rPr>
      </w:pPr>
      <w:bookmarkStart w:id="288" w:name="_Toc1245"/>
      <w:bookmarkStart w:id="289" w:name="_Toc9157"/>
      <w:bookmarkStart w:id="290" w:name="_Toc10252"/>
      <w:bookmarkStart w:id="291" w:name="_Toc59386320"/>
      <w:r>
        <w:rPr>
          <w:rFonts w:hint="eastAsia" w:ascii="宋体" w:hAnsi="宋体"/>
          <w:szCs w:val="30"/>
        </w:rPr>
        <w:t>3.2.6城市性质与规模</w:t>
      </w:r>
      <w:bookmarkEnd w:id="288"/>
      <w:bookmarkEnd w:id="289"/>
      <w:bookmarkEnd w:id="290"/>
      <w:bookmarkEnd w:id="291"/>
    </w:p>
    <w:p>
      <w:pPr>
        <w:spacing w:before="190" w:after="190"/>
        <w:ind w:firstLine="562"/>
        <w:rPr>
          <w:b/>
          <w:bCs/>
        </w:rPr>
      </w:pPr>
      <w:r>
        <w:rPr>
          <w:rFonts w:hint="eastAsia"/>
          <w:b/>
          <w:bCs/>
        </w:rPr>
        <w:t>1）城市性质：</w:t>
      </w:r>
    </w:p>
    <w:p>
      <w:pPr>
        <w:spacing w:before="190" w:after="190"/>
        <w:ind w:firstLine="560"/>
        <w:rPr>
          <w:rFonts w:ascii="宋体" w:hAnsi="宋体"/>
        </w:rPr>
      </w:pPr>
      <w:r>
        <w:rPr>
          <w:rFonts w:hint="eastAsia" w:ascii="宋体" w:hAnsi="宋体"/>
        </w:rPr>
        <w:t>盐池的城市性质确定为省际商贸流通中心，宁东国家能源化工基地的生活服务基地，以石油化工、煤化工、农产品深加工为主导产业的生态宜居的园林城市。</w:t>
      </w:r>
    </w:p>
    <w:p>
      <w:pPr>
        <w:spacing w:before="190" w:after="190"/>
        <w:ind w:firstLine="562"/>
        <w:rPr>
          <w:b/>
        </w:rPr>
      </w:pPr>
      <w:r>
        <w:rPr>
          <w:rFonts w:hint="eastAsia"/>
          <w:b/>
        </w:rPr>
        <w:t>2）城市规模：</w:t>
      </w:r>
    </w:p>
    <w:p>
      <w:pPr>
        <w:spacing w:before="190" w:after="190"/>
        <w:ind w:firstLine="560"/>
        <w:rPr>
          <w:rFonts w:ascii="宋体" w:hAnsi="宋体"/>
        </w:rPr>
      </w:pPr>
      <w:r>
        <w:rPr>
          <w:rFonts w:hint="eastAsia" w:ascii="宋体" w:hAnsi="宋体"/>
        </w:rPr>
        <w:t>规划2015年县城人口达到7万人左右；规划 2020年县城人口达到 8.5万人左右；规划2030年县城人口达到12万人左右。</w:t>
      </w:r>
    </w:p>
    <w:p>
      <w:pPr>
        <w:spacing w:before="190" w:after="190"/>
        <w:ind w:firstLine="560"/>
        <w:rPr>
          <w:rFonts w:ascii="宋体" w:hAnsi="宋体"/>
        </w:rPr>
      </w:pPr>
      <w:r>
        <w:rPr>
          <w:rFonts w:hint="eastAsia" w:ascii="宋体" w:hAnsi="宋体"/>
        </w:rPr>
        <w:t>近期2015年人均城市建设用地为160平方米/人，用地规模达到11.2平方公里左右。</w:t>
      </w:r>
    </w:p>
    <w:p>
      <w:pPr>
        <w:spacing w:before="190" w:after="190"/>
        <w:ind w:firstLine="560"/>
        <w:rPr>
          <w:rFonts w:ascii="宋体" w:hAnsi="宋体"/>
        </w:rPr>
      </w:pPr>
      <w:r>
        <w:rPr>
          <w:rFonts w:hint="eastAsia" w:ascii="宋体" w:hAnsi="宋体"/>
        </w:rPr>
        <w:t>远期2030年人均城市建设用地为120平方米/人，用地规模达到14.4平方公里左右。</w:t>
      </w:r>
    </w:p>
    <w:p>
      <w:pPr>
        <w:pStyle w:val="4"/>
        <w:spacing w:before="0" w:beforeLines="0" w:after="0" w:afterLines="0" w:line="240" w:lineRule="auto"/>
        <w:rPr>
          <w:rFonts w:ascii="宋体" w:hAnsi="宋体"/>
          <w:szCs w:val="30"/>
        </w:rPr>
      </w:pPr>
      <w:bookmarkStart w:id="292" w:name="_Toc6467"/>
      <w:bookmarkStart w:id="293" w:name="_Toc27324"/>
      <w:bookmarkStart w:id="294" w:name="_Toc13481"/>
      <w:bookmarkStart w:id="295" w:name="_Toc59386321"/>
      <w:r>
        <w:rPr>
          <w:rFonts w:hint="eastAsia" w:ascii="宋体" w:hAnsi="宋体"/>
          <w:szCs w:val="30"/>
        </w:rPr>
        <w:t>3.2.7城市空间布局结构</w:t>
      </w:r>
      <w:bookmarkEnd w:id="292"/>
      <w:bookmarkEnd w:id="293"/>
      <w:bookmarkEnd w:id="294"/>
      <w:bookmarkEnd w:id="295"/>
      <w:r>
        <w:rPr>
          <w:rFonts w:hint="eastAsia" w:ascii="宋体" w:hAnsi="宋体"/>
          <w:szCs w:val="30"/>
        </w:rPr>
        <w:t xml:space="preserve"> </w:t>
      </w:r>
    </w:p>
    <w:p>
      <w:pPr>
        <w:spacing w:before="190" w:after="190"/>
        <w:ind w:firstLine="560"/>
        <w:rPr>
          <w:rFonts w:ascii="宋体" w:hAnsi="宋体"/>
        </w:rPr>
      </w:pPr>
      <w:r>
        <w:rPr>
          <w:rFonts w:hint="eastAsia" w:ascii="宋体" w:hAnsi="宋体"/>
        </w:rPr>
        <w:t>中心城区空间布局结构为“一城四区”。</w:t>
      </w:r>
    </w:p>
    <w:p>
      <w:pPr>
        <w:spacing w:before="190" w:after="190"/>
        <w:ind w:firstLine="560"/>
        <w:rPr>
          <w:rFonts w:ascii="宋体" w:hAnsi="宋体"/>
        </w:rPr>
      </w:pPr>
      <w:r>
        <w:rPr>
          <w:rFonts w:hint="eastAsia" w:ascii="宋体" w:hAnsi="宋体"/>
        </w:rPr>
        <w:t>“一城”：中心城区；</w:t>
      </w:r>
    </w:p>
    <w:p>
      <w:pPr>
        <w:spacing w:before="190" w:after="190"/>
        <w:ind w:firstLine="560"/>
        <w:rPr>
          <w:rFonts w:ascii="宋体" w:hAnsi="宋体"/>
        </w:rPr>
      </w:pPr>
      <w:r>
        <w:rPr>
          <w:rFonts w:hint="eastAsia" w:ascii="宋体" w:hAnsi="宋体"/>
        </w:rPr>
        <w:t>“四区” ：指老城区、西部新区、东部工业园区、北部物流园区。</w:t>
      </w:r>
    </w:p>
    <w:p>
      <w:pPr>
        <w:pStyle w:val="4"/>
        <w:spacing w:before="0" w:beforeLines="0" w:after="0" w:afterLines="0" w:line="240" w:lineRule="auto"/>
        <w:rPr>
          <w:rFonts w:ascii="宋体" w:hAnsi="宋体"/>
          <w:szCs w:val="30"/>
        </w:rPr>
      </w:pPr>
      <w:bookmarkStart w:id="296" w:name="_Toc59386322"/>
      <w:bookmarkStart w:id="297" w:name="_Toc14758"/>
      <w:bookmarkStart w:id="298" w:name="_Toc6969"/>
      <w:bookmarkStart w:id="299" w:name="_Toc13524"/>
      <w:r>
        <w:rPr>
          <w:rFonts w:hint="eastAsia" w:ascii="宋体" w:hAnsi="宋体"/>
          <w:szCs w:val="30"/>
        </w:rPr>
        <w:t>3.2.8城区综合交通规划</w:t>
      </w:r>
      <w:bookmarkEnd w:id="296"/>
      <w:bookmarkEnd w:id="297"/>
      <w:bookmarkEnd w:id="298"/>
      <w:bookmarkEnd w:id="299"/>
    </w:p>
    <w:p>
      <w:pPr>
        <w:spacing w:before="190" w:after="190"/>
        <w:ind w:firstLine="560"/>
        <w:rPr>
          <w:rFonts w:ascii="宋体" w:hAnsi="宋体"/>
        </w:rPr>
      </w:pPr>
      <w:r>
        <w:rPr>
          <w:rFonts w:hint="eastAsia" w:ascii="宋体" w:hAnsi="宋体"/>
        </w:rPr>
        <w:t>规划城市道路分为 3 个等级：主干路、次干路、支路。规划以主干路、次干路为主，支路应在下一层次规划中确定。规划形成“六横十纵”的主干交通路网骨架。</w:t>
      </w:r>
    </w:p>
    <w:p>
      <w:pPr>
        <w:spacing w:before="190" w:after="190"/>
        <w:ind w:firstLine="560"/>
        <w:rPr>
          <w:rFonts w:ascii="宋体" w:hAnsi="宋体"/>
        </w:rPr>
      </w:pPr>
      <w:r>
        <w:rPr>
          <w:rFonts w:hint="eastAsia" w:ascii="宋体" w:hAnsi="宋体"/>
        </w:rPr>
        <w:t>“六横”主干道是：北一路、北四路、民族街、文化西街、南环路、南二环。</w:t>
      </w:r>
    </w:p>
    <w:p>
      <w:pPr>
        <w:spacing w:before="190" w:after="190"/>
        <w:ind w:firstLine="560"/>
        <w:rPr>
          <w:rFonts w:ascii="宋体" w:hAnsi="宋体"/>
        </w:rPr>
      </w:pPr>
      <w:r>
        <w:rPr>
          <w:rFonts w:hint="eastAsia" w:ascii="宋体" w:hAnsi="宋体"/>
        </w:rPr>
        <w:t>“十纵”主干道是：西二环、经一路、经四路、西环路、盐林路、盐州路、煦衍路、中央大道、东环路、东二环。</w:t>
      </w:r>
    </w:p>
    <w:p>
      <w:pPr>
        <w:pStyle w:val="4"/>
        <w:spacing w:before="0" w:beforeLines="0" w:after="0" w:afterLines="0" w:line="240" w:lineRule="auto"/>
        <w:rPr>
          <w:rFonts w:ascii="宋体" w:hAnsi="宋体"/>
          <w:szCs w:val="30"/>
        </w:rPr>
      </w:pPr>
      <w:bookmarkStart w:id="300" w:name="_Toc28573"/>
      <w:bookmarkStart w:id="301" w:name="_Toc959"/>
      <w:bookmarkStart w:id="302" w:name="_Toc59386323"/>
      <w:bookmarkStart w:id="303" w:name="_Toc11298"/>
      <w:r>
        <w:rPr>
          <w:rFonts w:hint="eastAsia" w:ascii="宋体" w:hAnsi="宋体"/>
          <w:szCs w:val="30"/>
        </w:rPr>
        <w:t>3.2.9消防规划</w:t>
      </w:r>
      <w:bookmarkEnd w:id="300"/>
      <w:bookmarkEnd w:id="301"/>
      <w:bookmarkEnd w:id="302"/>
      <w:bookmarkEnd w:id="303"/>
    </w:p>
    <w:p>
      <w:pPr>
        <w:spacing w:before="190" w:after="190"/>
        <w:ind w:firstLine="562"/>
        <w:rPr>
          <w:b/>
          <w:bCs/>
        </w:rPr>
      </w:pPr>
      <w:r>
        <w:rPr>
          <w:rFonts w:hint="eastAsia"/>
          <w:b/>
          <w:bCs/>
        </w:rPr>
        <w:t>1）</w:t>
      </w:r>
      <w:r>
        <w:rPr>
          <w:b/>
          <w:bCs/>
        </w:rPr>
        <w:t xml:space="preserve">消防安全布局 </w:t>
      </w:r>
    </w:p>
    <w:p>
      <w:pPr>
        <w:spacing w:before="190" w:after="190"/>
        <w:ind w:firstLine="560"/>
        <w:rPr>
          <w:rFonts w:ascii="宋体" w:hAnsi="宋体"/>
        </w:rPr>
      </w:pPr>
      <w:r>
        <w:rPr>
          <w:rFonts w:ascii="宋体" w:hAnsi="宋体"/>
        </w:rPr>
        <w:t>在城市总体布局中，应将生产、储存易燃易爆危险品的工厂、仓库布置在城区边缘的独立安全地带，并位于城市全年最小频率风向的下风向，并与人员密集的公共建筑保持规定的安全距离。</w:t>
      </w:r>
    </w:p>
    <w:p>
      <w:pPr>
        <w:spacing w:before="190" w:after="190"/>
        <w:ind w:firstLine="560"/>
        <w:rPr>
          <w:rFonts w:ascii="宋体" w:hAnsi="宋体"/>
        </w:rPr>
      </w:pPr>
      <w:r>
        <w:rPr>
          <w:rFonts w:ascii="宋体" w:hAnsi="宋体"/>
        </w:rPr>
        <w:t>城市新建建筑，应以一、二级耐火等级为主，限制三级耐火等级建筑，严格禁止永久性的四级耐火等级建筑。</w:t>
      </w:r>
    </w:p>
    <w:p>
      <w:pPr>
        <w:spacing w:before="190" w:after="190"/>
        <w:ind w:firstLine="562"/>
        <w:rPr>
          <w:b/>
          <w:bCs/>
        </w:rPr>
      </w:pPr>
      <w:r>
        <w:rPr>
          <w:rFonts w:hint="eastAsia"/>
          <w:b/>
          <w:bCs/>
        </w:rPr>
        <w:t>2）</w:t>
      </w:r>
      <w:r>
        <w:rPr>
          <w:b/>
          <w:bCs/>
        </w:rPr>
        <w:t>消防设施布局</w:t>
      </w:r>
    </w:p>
    <w:p>
      <w:pPr>
        <w:spacing w:before="190" w:after="190"/>
        <w:ind w:firstLine="560"/>
        <w:rPr>
          <w:rFonts w:ascii="宋体" w:hAnsi="宋体"/>
        </w:rPr>
      </w:pPr>
      <w:r>
        <w:rPr>
          <w:rFonts w:ascii="宋体" w:hAnsi="宋体"/>
        </w:rPr>
        <w:t xml:space="preserve">结合本次城区用地规划，按照国家消防规划规范要求，规划设立三个消防分区，设置标准型普通消防站2处，特勤消防站1处。 </w:t>
      </w:r>
    </w:p>
    <w:p>
      <w:pPr>
        <w:spacing w:before="190" w:after="190"/>
        <w:ind w:firstLine="560"/>
        <w:rPr>
          <w:rFonts w:ascii="宋体" w:hAnsi="宋体"/>
        </w:rPr>
      </w:pPr>
      <w:r>
        <w:rPr>
          <w:rFonts w:ascii="宋体" w:hAnsi="宋体"/>
        </w:rPr>
        <w:t>其中，保留现状位于盐池县花马池西街近振兴路的二级消防站（占地面积 10200平方米）和位于宁鲁石化有限公司的二级消防站（1500平方米）。增设2个消防站，其中一个位于西部新城区南环路路和经四路交叉处，为普通消防站，预留用地面积5000平方米；另一个位于振远东路和煦衍路交叉处，为特勤消防站（预留用地面积8000平方米）。</w:t>
      </w:r>
    </w:p>
    <w:p>
      <w:pPr>
        <w:spacing w:before="190" w:after="190"/>
        <w:ind w:firstLine="560"/>
        <w:rPr>
          <w:rFonts w:ascii="宋体" w:hAnsi="宋体"/>
        </w:rPr>
      </w:pPr>
      <w:r>
        <w:rPr>
          <w:rFonts w:ascii="宋体" w:hAnsi="宋体"/>
        </w:rPr>
        <w:t xml:space="preserve">利用城区高层建筑物的制高点，设立城市防灾指挥中心，兼消防瞭望站，以利于统一指挥协调，准确迅速消灭灾情。 </w:t>
      </w:r>
    </w:p>
    <w:p>
      <w:pPr>
        <w:spacing w:before="190" w:after="190"/>
        <w:ind w:firstLine="562"/>
        <w:rPr>
          <w:b/>
          <w:bCs/>
        </w:rPr>
      </w:pPr>
      <w:r>
        <w:rPr>
          <w:rFonts w:hint="eastAsia"/>
          <w:b/>
          <w:bCs/>
        </w:rPr>
        <w:t>3）</w:t>
      </w:r>
      <w:r>
        <w:rPr>
          <w:b/>
          <w:bCs/>
        </w:rPr>
        <w:t xml:space="preserve">消防供水规划 </w:t>
      </w:r>
    </w:p>
    <w:p>
      <w:pPr>
        <w:spacing w:before="190" w:after="190"/>
        <w:ind w:firstLine="560"/>
        <w:rPr>
          <w:rFonts w:ascii="宋体" w:hAnsi="宋体"/>
        </w:rPr>
      </w:pPr>
      <w:r>
        <w:rPr>
          <w:rFonts w:ascii="宋体" w:hAnsi="宋体"/>
        </w:rPr>
        <w:t>随着对现有供水管网的改造，按间距小于或等于120米设置消防栓，新区消火栓随道路建设一次设置到位。</w:t>
      </w:r>
    </w:p>
    <w:p>
      <w:pPr>
        <w:spacing w:before="190" w:after="190"/>
        <w:ind w:firstLine="560"/>
        <w:rPr>
          <w:rFonts w:ascii="宋体" w:hAnsi="宋体"/>
        </w:rPr>
      </w:pPr>
      <w:r>
        <w:rPr>
          <w:rFonts w:ascii="宋体" w:hAnsi="宋体"/>
        </w:rPr>
        <w:t xml:space="preserve">消防用水远期应主要依托中水处理厂的出水，中水水质应满足国家有关城市污水再生利用水质标准。 </w:t>
      </w:r>
    </w:p>
    <w:p>
      <w:pPr>
        <w:spacing w:before="190" w:after="190"/>
        <w:ind w:firstLine="560"/>
        <w:rPr>
          <w:rFonts w:ascii="宋体" w:hAnsi="宋体"/>
        </w:rPr>
      </w:pPr>
      <w:r>
        <w:rPr>
          <w:rFonts w:ascii="宋体" w:hAnsi="宋体"/>
        </w:rPr>
        <w:t>花马池人工湖和污水处理厂出水形成的景观湖兼作消防水池，应设置道路、消防取水点（码头）等消防取水设施。</w:t>
      </w:r>
    </w:p>
    <w:p>
      <w:pPr>
        <w:spacing w:before="190" w:after="190"/>
        <w:ind w:firstLine="562"/>
        <w:rPr>
          <w:b/>
          <w:bCs/>
        </w:rPr>
      </w:pPr>
      <w:r>
        <w:rPr>
          <w:rFonts w:hint="eastAsia"/>
          <w:b/>
          <w:bCs/>
        </w:rPr>
        <w:t>4）</w:t>
      </w:r>
      <w:r>
        <w:rPr>
          <w:b/>
          <w:bCs/>
        </w:rPr>
        <w:t xml:space="preserve">消防装备、通讯规划 </w:t>
      </w:r>
    </w:p>
    <w:p>
      <w:pPr>
        <w:spacing w:before="190" w:after="190"/>
        <w:ind w:firstLine="560"/>
        <w:rPr>
          <w:rFonts w:ascii="宋体" w:hAnsi="宋体"/>
        </w:rPr>
      </w:pPr>
      <w:r>
        <w:rPr>
          <w:rFonts w:ascii="宋体" w:hAnsi="宋体"/>
        </w:rPr>
        <w:t>按国家有关标准规定，对规划新建消防站应配备消防车辆及其它装备，具备在 10分钟内有效控制建筑火灾的火灾作战能力和10分钟内救护、抢险救灾能力。建设较为先进的有线、无线火灾报警和消防通信指挥系统。</w:t>
      </w:r>
    </w:p>
    <w:p>
      <w:pPr>
        <w:spacing w:before="190" w:after="190"/>
        <w:ind w:firstLine="562"/>
        <w:rPr>
          <w:b/>
          <w:bCs/>
        </w:rPr>
      </w:pPr>
      <w:r>
        <w:rPr>
          <w:rFonts w:hint="eastAsia"/>
          <w:b/>
          <w:bCs/>
        </w:rPr>
        <w:t>5）</w:t>
      </w:r>
      <w:r>
        <w:rPr>
          <w:b/>
          <w:bCs/>
        </w:rPr>
        <w:t>消防通道及疏散、避难场地规划</w:t>
      </w:r>
    </w:p>
    <w:p>
      <w:pPr>
        <w:spacing w:before="190" w:after="190"/>
        <w:ind w:firstLine="560"/>
        <w:rPr>
          <w:rFonts w:ascii="宋体" w:hAnsi="宋体"/>
        </w:rPr>
      </w:pPr>
      <w:r>
        <w:rPr>
          <w:rFonts w:ascii="宋体" w:hAnsi="宋体"/>
        </w:rPr>
        <w:t>充分利用城市各类公园、广场、绿地、体育场及学校、单位内的广场、运动场地作为城市防灾的紧急疏散、避难用地。在城市改造和开发建设中，宜开辟一些空地作为城市广场、绿地等兼作疏散、避难用地。</w:t>
      </w:r>
    </w:p>
    <w:p>
      <w:pPr>
        <w:pStyle w:val="3"/>
        <w:spacing w:before="190" w:after="190"/>
        <w:rPr>
          <w:rFonts w:ascii="宋体" w:hAnsi="宋体"/>
          <w:szCs w:val="32"/>
        </w:rPr>
      </w:pPr>
      <w:bookmarkStart w:id="304" w:name="_Toc9324"/>
      <w:bookmarkStart w:id="305" w:name="_Toc31559"/>
      <w:bookmarkStart w:id="306" w:name="_Toc30773"/>
      <w:r>
        <w:rPr>
          <w:rFonts w:hint="eastAsia" w:ascii="宋体" w:hAnsi="宋体"/>
          <w:szCs w:val="32"/>
        </w:rPr>
        <w:t>3</w:t>
      </w:r>
      <w:r>
        <w:rPr>
          <w:rFonts w:ascii="宋体" w:hAnsi="宋体"/>
          <w:szCs w:val="32"/>
        </w:rPr>
        <w:t>.3</w:t>
      </w:r>
      <w:r>
        <w:rPr>
          <w:rFonts w:hint="eastAsia" w:ascii="宋体" w:hAnsi="宋体"/>
          <w:szCs w:val="32"/>
        </w:rPr>
        <w:t>《</w:t>
      </w:r>
      <w:r>
        <w:rPr>
          <w:rFonts w:ascii="宋体" w:hAnsi="宋体"/>
          <w:szCs w:val="32"/>
        </w:rPr>
        <w:t>盐池县国土空间规划</w:t>
      </w:r>
      <w:r>
        <w:rPr>
          <w:rFonts w:hint="eastAsia" w:ascii="宋体" w:hAnsi="宋体"/>
          <w:szCs w:val="32"/>
        </w:rPr>
        <w:t>》（2</w:t>
      </w:r>
      <w:r>
        <w:rPr>
          <w:rFonts w:ascii="宋体" w:hAnsi="宋体"/>
          <w:szCs w:val="32"/>
        </w:rPr>
        <w:t>021</w:t>
      </w:r>
      <w:r>
        <w:rPr>
          <w:rFonts w:hint="eastAsia" w:ascii="宋体" w:hAnsi="宋体"/>
          <w:szCs w:val="32"/>
        </w:rPr>
        <w:t>-</w:t>
      </w:r>
      <w:r>
        <w:rPr>
          <w:rFonts w:ascii="宋体" w:hAnsi="宋体"/>
          <w:szCs w:val="32"/>
        </w:rPr>
        <w:t>2035</w:t>
      </w:r>
      <w:r>
        <w:rPr>
          <w:rFonts w:hint="eastAsia" w:ascii="宋体" w:hAnsi="宋体"/>
          <w:szCs w:val="32"/>
        </w:rPr>
        <w:t>）</w:t>
      </w:r>
      <w:bookmarkEnd w:id="304"/>
      <w:bookmarkEnd w:id="305"/>
      <w:bookmarkEnd w:id="306"/>
    </w:p>
    <w:p>
      <w:pPr>
        <w:pStyle w:val="4"/>
        <w:spacing w:before="0" w:beforeLines="0" w:after="0" w:afterLines="0" w:line="240" w:lineRule="auto"/>
        <w:rPr>
          <w:rFonts w:ascii="宋体" w:hAnsi="宋体"/>
          <w:szCs w:val="30"/>
        </w:rPr>
      </w:pPr>
      <w:bookmarkStart w:id="307" w:name="_Toc26378"/>
      <w:bookmarkStart w:id="308" w:name="_Toc14024"/>
      <w:bookmarkStart w:id="309" w:name="_Toc9667"/>
      <w:r>
        <w:rPr>
          <w:rFonts w:hint="eastAsia" w:ascii="宋体" w:hAnsi="宋体"/>
          <w:szCs w:val="30"/>
        </w:rPr>
        <w:t>3</w:t>
      </w:r>
      <w:r>
        <w:rPr>
          <w:rFonts w:ascii="宋体" w:hAnsi="宋体"/>
          <w:szCs w:val="30"/>
        </w:rPr>
        <w:t>.3.1城市性质</w:t>
      </w:r>
      <w:bookmarkEnd w:id="307"/>
      <w:bookmarkEnd w:id="308"/>
      <w:bookmarkEnd w:id="309"/>
    </w:p>
    <w:p>
      <w:pPr>
        <w:spacing w:before="190" w:after="190"/>
        <w:ind w:firstLine="560"/>
        <w:rPr>
          <w:rFonts w:ascii="宋体" w:hAnsi="宋体"/>
          <w:b/>
          <w:sz w:val="30"/>
          <w:szCs w:val="30"/>
        </w:rPr>
      </w:pPr>
      <w:r>
        <w:rPr>
          <w:rFonts w:hint="eastAsia"/>
        </w:rPr>
        <w:t>以发展高端农副产品供应、荒漠旅游、能源产业和生态经济为主的具有地域特色的服务型城市。</w:t>
      </w:r>
      <w:r>
        <w:cr/>
      </w:r>
      <w:r>
        <w:rPr>
          <w:rFonts w:hint="eastAsia" w:ascii="宋体" w:hAnsi="宋体"/>
          <w:b/>
          <w:sz w:val="30"/>
          <w:szCs w:val="30"/>
        </w:rPr>
        <w:t>3</w:t>
      </w:r>
      <w:r>
        <w:rPr>
          <w:rFonts w:ascii="宋体" w:hAnsi="宋体"/>
          <w:b/>
          <w:sz w:val="30"/>
          <w:szCs w:val="30"/>
        </w:rPr>
        <w:t>.3.2战略定位</w:t>
      </w:r>
    </w:p>
    <w:p>
      <w:pPr>
        <w:spacing w:before="190" w:after="190"/>
        <w:ind w:firstLineChars="150"/>
        <w:rPr>
          <w:rFonts w:ascii="宋体" w:hAnsi="宋体"/>
        </w:rPr>
      </w:pPr>
      <w:r>
        <w:rPr>
          <w:rFonts w:hint="eastAsia" w:ascii="宋体" w:hAnsi="宋体"/>
        </w:rPr>
        <w:t xml:space="preserve"> “西融大银川、东接陕甘蒙”，宁夏东大门，陕甘宁蒙能源“金三角”的后花园，四省五县的绿色生态服务中心。</w:t>
      </w:r>
    </w:p>
    <w:p>
      <w:pPr>
        <w:spacing w:before="190" w:after="190"/>
        <w:ind w:firstLine="0" w:firstLineChars="0"/>
        <w:rPr>
          <w:rFonts w:ascii="宋体" w:hAnsi="宋体"/>
          <w:b/>
          <w:sz w:val="30"/>
          <w:szCs w:val="30"/>
        </w:rPr>
      </w:pPr>
      <w:r>
        <w:rPr>
          <w:rFonts w:hint="eastAsia" w:ascii="宋体" w:hAnsi="宋体"/>
          <w:b/>
          <w:sz w:val="30"/>
          <w:szCs w:val="30"/>
        </w:rPr>
        <w:t>3</w:t>
      </w:r>
      <w:r>
        <w:rPr>
          <w:rFonts w:ascii="宋体" w:hAnsi="宋体"/>
          <w:b/>
          <w:sz w:val="30"/>
          <w:szCs w:val="30"/>
        </w:rPr>
        <w:t>.3.3</w:t>
      </w:r>
      <w:r>
        <w:rPr>
          <w:rFonts w:hint="eastAsia" w:ascii="宋体" w:hAnsi="宋体"/>
          <w:b/>
          <w:sz w:val="30"/>
          <w:szCs w:val="30"/>
        </w:rPr>
        <w:t>城市职能</w:t>
      </w:r>
    </w:p>
    <w:p>
      <w:pPr>
        <w:spacing w:before="190" w:after="190"/>
        <w:ind w:firstLine="560"/>
        <w:rPr>
          <w:rFonts w:ascii="宋体" w:hAnsi="宋体"/>
          <w:b/>
          <w:sz w:val="30"/>
          <w:szCs w:val="30"/>
        </w:rPr>
      </w:pPr>
      <w:r>
        <w:rPr>
          <w:rFonts w:hint="eastAsia" w:ascii="宋体" w:hAnsi="宋体"/>
        </w:rPr>
        <w:t>高端农副产品供应地、能源工业化特色区域、商贸物流的中心县、文化旅游的特色县、宜居宜业的示范县、生态环境修复示范县。</w:t>
      </w:r>
      <w:r>
        <w:rPr>
          <w:rFonts w:ascii="宋体" w:hAnsi="宋体"/>
        </w:rPr>
        <w:cr/>
      </w:r>
      <w:r>
        <w:rPr>
          <w:rFonts w:ascii="宋体" w:hAnsi="宋体"/>
          <w:b/>
          <w:sz w:val="30"/>
          <w:szCs w:val="30"/>
        </w:rPr>
        <w:t>3.3.4</w:t>
      </w:r>
      <w:r>
        <w:rPr>
          <w:rFonts w:hint="eastAsia" w:ascii="宋体" w:hAnsi="宋体"/>
          <w:b/>
          <w:sz w:val="30"/>
          <w:szCs w:val="30"/>
        </w:rPr>
        <w:t>城镇发展规模</w:t>
      </w:r>
    </w:p>
    <w:p>
      <w:pPr>
        <w:spacing w:before="190" w:after="190"/>
        <w:ind w:firstLine="560"/>
        <w:rPr>
          <w:rFonts w:ascii="宋体" w:hAnsi="宋体"/>
        </w:rPr>
      </w:pPr>
      <w:r>
        <w:rPr>
          <w:rFonts w:hint="eastAsia" w:ascii="宋体" w:hAnsi="宋体"/>
        </w:rPr>
        <w:t>2035年盐池县城镇化率达到71%左右，总城镇人口约为13万人，中心城区人口约为9.4万人，高沙窝镇人口约0.7万人，大水坑镇人口约1.7万人，惠安堡镇人口约1.2万人。</w:t>
      </w:r>
    </w:p>
    <w:p>
      <w:pPr>
        <w:spacing w:before="190" w:after="190"/>
        <w:ind w:firstLine="560"/>
        <w:rPr>
          <w:rFonts w:ascii="宋体" w:hAnsi="宋体"/>
        </w:rPr>
      </w:pPr>
      <w:r>
        <w:rPr>
          <w:rFonts w:hint="eastAsia" w:ascii="宋体" w:hAnsi="宋体"/>
        </w:rPr>
        <w:t>现状城镇建设用地规模为24.68平方千米，规划至2035年，城镇建设用地规模控制在26.62平方千米。</w:t>
      </w:r>
    </w:p>
    <w:p>
      <w:pPr>
        <w:spacing w:before="190" w:after="190"/>
        <w:ind w:firstLine="0" w:firstLineChars="0"/>
        <w:rPr>
          <w:rFonts w:ascii="宋体" w:hAnsi="宋体"/>
          <w:b/>
          <w:sz w:val="30"/>
          <w:szCs w:val="30"/>
        </w:rPr>
      </w:pPr>
      <w:r>
        <w:rPr>
          <w:rFonts w:hint="eastAsia" w:ascii="宋体" w:hAnsi="宋体"/>
          <w:b/>
          <w:sz w:val="30"/>
          <w:szCs w:val="30"/>
        </w:rPr>
        <w:t>3</w:t>
      </w:r>
      <w:r>
        <w:rPr>
          <w:rFonts w:ascii="宋体" w:hAnsi="宋体"/>
          <w:b/>
          <w:sz w:val="30"/>
          <w:szCs w:val="30"/>
        </w:rPr>
        <w:t>.3.5</w:t>
      </w:r>
      <w:r>
        <w:rPr>
          <w:rFonts w:hint="eastAsia" w:ascii="宋体" w:hAnsi="宋体"/>
          <w:b/>
          <w:sz w:val="30"/>
          <w:szCs w:val="30"/>
        </w:rPr>
        <w:t>城镇空间格局</w:t>
      </w:r>
    </w:p>
    <w:p>
      <w:pPr>
        <w:spacing w:before="190" w:after="190"/>
        <w:ind w:firstLine="602"/>
        <w:rPr>
          <w:rFonts w:ascii="宋体" w:hAnsi="宋体"/>
          <w:b/>
          <w:sz w:val="30"/>
          <w:szCs w:val="30"/>
        </w:rPr>
      </w:pPr>
      <w:r>
        <w:rPr>
          <w:rFonts w:hint="eastAsia" w:ascii="宋体" w:hAnsi="宋体"/>
          <w:b/>
          <w:sz w:val="30"/>
          <w:szCs w:val="30"/>
        </w:rPr>
        <w:t>1）县域空间格局</w:t>
      </w:r>
    </w:p>
    <w:p>
      <w:pPr>
        <w:spacing w:before="190" w:after="190"/>
        <w:ind w:firstLine="560"/>
        <w:rPr>
          <w:rFonts w:hint="eastAsia" w:ascii="宋体" w:hAnsi="宋体"/>
        </w:rPr>
      </w:pPr>
      <w:r>
        <w:rPr>
          <w:rFonts w:hint="eastAsia" w:ascii="宋体" w:hAnsi="宋体"/>
        </w:rPr>
        <w:t>规划形成“一主三副、两轴三区、</w:t>
      </w:r>
      <w:r>
        <w:rPr>
          <w:rFonts w:hint="eastAsia"/>
        </w:rPr>
        <w:t>多点协作”城乡空间格局，其中：</w:t>
      </w:r>
    </w:p>
    <w:p>
      <w:pPr>
        <w:spacing w:before="190" w:after="190"/>
        <w:ind w:firstLine="560"/>
        <w:rPr>
          <w:rFonts w:hint="eastAsia"/>
        </w:rPr>
      </w:pPr>
      <w:r>
        <w:rPr>
          <w:rFonts w:hint="eastAsia"/>
        </w:rPr>
        <w:t>（1）一主三副</w:t>
      </w:r>
    </w:p>
    <w:p>
      <w:pPr>
        <w:spacing w:before="190" w:after="190"/>
        <w:ind w:firstLine="560"/>
      </w:pPr>
      <w:r>
        <w:rPr>
          <w:rFonts w:hint="eastAsia"/>
        </w:rPr>
        <w:t>“一主三副”指盐池县城与高沙窝、惠安堡和大水坑三个镇。</w:t>
      </w:r>
    </w:p>
    <w:p>
      <w:pPr>
        <w:spacing w:before="190" w:after="190"/>
        <w:ind w:firstLine="0" w:firstLineChars="0"/>
        <w:rPr>
          <w:rFonts w:hint="eastAsia"/>
        </w:rPr>
      </w:pPr>
      <w:r>
        <w:rPr>
          <w:rFonts w:hint="eastAsia"/>
        </w:rPr>
        <w:t>盐池县城是县域政治、经济、文化中心；高沙窝、惠安堡和大水坑，分别是县域西北部、西南部和东南部副中心。</w:t>
      </w:r>
    </w:p>
    <w:p>
      <w:pPr>
        <w:spacing w:before="190" w:after="190"/>
        <w:ind w:firstLine="560"/>
        <w:rPr>
          <w:rFonts w:hint="eastAsia"/>
        </w:rPr>
      </w:pPr>
      <w:r>
        <w:rPr>
          <w:rFonts w:hint="eastAsia"/>
        </w:rPr>
        <w:t>（2）两轴三区</w:t>
      </w:r>
    </w:p>
    <w:p>
      <w:pPr>
        <w:spacing w:before="190" w:after="190"/>
        <w:ind w:firstLine="560"/>
        <w:rPr>
          <w:rFonts w:hint="eastAsia"/>
        </w:rPr>
      </w:pPr>
      <w:r>
        <w:rPr>
          <w:rFonts w:hint="eastAsia"/>
        </w:rPr>
        <w:t>“两轴三区”中两轴是指银宁盐发展轴和太中银发展轴。以高速公路出入口、铁路车站为载体，发挥交通导向作用，促进产业和人口点状集聚，做大做强惠安堡、大水坑、高沙窝等基础较好的城镇，培育区位条件好的集镇，形成以点带面、以点连线的发展格局。三区是指北部城镇发展区、西部城镇发展区和东部城镇发展区。</w:t>
      </w:r>
    </w:p>
    <w:p>
      <w:pPr>
        <w:spacing w:before="190" w:after="190"/>
        <w:ind w:firstLine="560"/>
        <w:rPr>
          <w:rFonts w:hint="eastAsia"/>
        </w:rPr>
      </w:pPr>
      <w:r>
        <w:rPr>
          <w:rFonts w:hint="eastAsia"/>
        </w:rPr>
        <w:t>（3）多点协作</w:t>
      </w:r>
    </w:p>
    <w:p>
      <w:pPr>
        <w:spacing w:before="190" w:after="190"/>
        <w:ind w:firstLine="560"/>
        <w:rPr>
          <w:rFonts w:ascii="宋体" w:hAnsi="宋体"/>
          <w:b/>
          <w:sz w:val="30"/>
          <w:szCs w:val="30"/>
        </w:rPr>
      </w:pPr>
      <w:r>
        <w:rPr>
          <w:rFonts w:hint="eastAsia"/>
        </w:rPr>
        <w:t>“多点协作”指冯记沟、青山、王乐井和麻黄山等各自乡域中心以及盐池县工业园区，相互协作，构筑有机发展空间。</w:t>
      </w:r>
      <w:r>
        <w:cr/>
      </w:r>
      <w:r>
        <w:rPr>
          <w:rFonts w:ascii="宋体" w:hAnsi="宋体"/>
          <w:b/>
          <w:sz w:val="30"/>
          <w:szCs w:val="30"/>
        </w:rPr>
        <w:t>2</w:t>
      </w:r>
      <w:r>
        <w:rPr>
          <w:rFonts w:hint="eastAsia" w:ascii="宋体" w:hAnsi="宋体"/>
          <w:b/>
          <w:sz w:val="30"/>
          <w:szCs w:val="30"/>
        </w:rPr>
        <w:t>）县城花马池镇空间格局</w:t>
      </w:r>
    </w:p>
    <w:p>
      <w:pPr>
        <w:spacing w:before="190" w:after="190"/>
        <w:ind w:firstLine="560"/>
        <w:rPr>
          <w:rFonts w:hint="eastAsia"/>
        </w:rPr>
      </w:pPr>
      <w:r>
        <w:rPr>
          <w:rFonts w:hint="eastAsia"/>
        </w:rPr>
        <w:t>县城空间布局结构为“一城四区”。</w:t>
      </w:r>
    </w:p>
    <w:p>
      <w:pPr>
        <w:spacing w:before="190" w:after="190"/>
        <w:ind w:firstLine="560"/>
        <w:rPr>
          <w:rFonts w:hint="eastAsia"/>
        </w:rPr>
      </w:pPr>
      <w:r>
        <w:rPr>
          <w:rFonts w:hint="eastAsia"/>
        </w:rPr>
        <w:t>“一城”：县城；</w:t>
      </w:r>
    </w:p>
    <w:p>
      <w:pPr>
        <w:spacing w:before="190" w:after="190"/>
        <w:ind w:firstLine="560"/>
      </w:pPr>
      <w:r>
        <w:rPr>
          <w:rFonts w:hint="eastAsia"/>
        </w:rPr>
        <w:t>“四区”：指老城区、西部新区、东部工业园区、北部物流园区。</w:t>
      </w:r>
    </w:p>
    <w:p>
      <w:pPr>
        <w:spacing w:before="190" w:after="190"/>
        <w:ind w:firstLine="560"/>
        <w:rPr>
          <w:rFonts w:hint="eastAsia"/>
        </w:rPr>
      </w:pPr>
      <w:r>
        <w:rPr>
          <w:rFonts w:hint="eastAsia"/>
        </w:rPr>
        <w:t>空间发展引导：遵循“西进、东拓，南北双控”的原则。近期主要向西发展西部新区，优化老城区，积极向东拓展工业区，向北发展物流园区。远期城市东西拓展的同时，控制向南北发展。</w:t>
      </w:r>
    </w:p>
    <w:p>
      <w:pPr>
        <w:pStyle w:val="2"/>
        <w:numPr>
          <w:ilvl w:val="0"/>
          <w:numId w:val="3"/>
        </w:numPr>
        <w:spacing w:before="190" w:after="190"/>
        <w:ind w:firstLine="0"/>
        <w:jc w:val="center"/>
        <w:rPr>
          <w:rFonts w:ascii="宋体" w:hAnsi="宋体"/>
          <w:b/>
        </w:rPr>
        <w:sectPr>
          <w:pgSz w:w="11906" w:h="16838"/>
          <w:pgMar w:top="1440" w:right="1797" w:bottom="1440" w:left="1797" w:header="851" w:footer="992" w:gutter="0"/>
          <w:cols w:space="720" w:num="1"/>
          <w:docGrid w:type="lines" w:linePitch="381" w:charSpace="0"/>
        </w:sectPr>
      </w:pPr>
    </w:p>
    <w:p>
      <w:pPr>
        <w:pStyle w:val="2"/>
        <w:numPr>
          <w:ilvl w:val="0"/>
          <w:numId w:val="3"/>
        </w:numPr>
        <w:spacing w:before="190" w:after="190"/>
        <w:ind w:firstLine="0"/>
        <w:jc w:val="center"/>
        <w:rPr>
          <w:rFonts w:ascii="宋体" w:hAnsi="宋体"/>
          <w:b/>
        </w:rPr>
      </w:pPr>
      <w:bookmarkStart w:id="310" w:name="_Toc4551"/>
      <w:bookmarkStart w:id="311" w:name="_Toc4833"/>
      <w:bookmarkStart w:id="312" w:name="_Toc22068"/>
      <w:r>
        <w:rPr>
          <w:rFonts w:hint="eastAsia" w:ascii="宋体" w:hAnsi="宋体"/>
          <w:b/>
        </w:rPr>
        <w:t>火灾风险评估</w:t>
      </w:r>
      <w:bookmarkEnd w:id="310"/>
      <w:bookmarkEnd w:id="311"/>
      <w:bookmarkEnd w:id="312"/>
    </w:p>
    <w:p>
      <w:pPr>
        <w:pStyle w:val="3"/>
        <w:spacing w:before="190" w:after="190"/>
        <w:rPr>
          <w:rFonts w:ascii="宋体" w:hAnsi="宋体"/>
          <w:szCs w:val="32"/>
        </w:rPr>
      </w:pPr>
      <w:bookmarkStart w:id="313" w:name="_Toc6251"/>
      <w:bookmarkStart w:id="314" w:name="_Toc17483"/>
      <w:bookmarkStart w:id="315" w:name="_Toc28187"/>
      <w:r>
        <w:rPr>
          <w:rFonts w:hint="eastAsia" w:ascii="宋体" w:hAnsi="宋体"/>
          <w:szCs w:val="32"/>
        </w:rPr>
        <w:t>4.1火灾风险评估的概念</w:t>
      </w:r>
      <w:bookmarkEnd w:id="313"/>
      <w:bookmarkEnd w:id="314"/>
      <w:bookmarkEnd w:id="315"/>
    </w:p>
    <w:p>
      <w:pPr>
        <w:spacing w:before="190" w:after="190"/>
        <w:ind w:firstLine="560"/>
        <w:rPr>
          <w:rFonts w:ascii="宋体" w:hAnsi="宋体"/>
        </w:rPr>
      </w:pPr>
      <w:r>
        <w:rPr>
          <w:rFonts w:hint="eastAsia" w:ascii="宋体" w:hAnsi="宋体"/>
        </w:rPr>
        <w:t>火灾风险评估：又称消防安全评估，是对目标对象可能面临的火灾危险、被保护对象的脆弱性、控制风险措施的有效性、风险后果的严重度以及上述各因素综合作用下的消防安全性能进行评估的过程。</w:t>
      </w:r>
    </w:p>
    <w:p>
      <w:pPr>
        <w:spacing w:before="190" w:after="190"/>
        <w:ind w:firstLine="560"/>
        <w:rPr>
          <w:rFonts w:ascii="宋体" w:hAnsi="宋体"/>
        </w:rPr>
      </w:pPr>
      <w:r>
        <w:rPr>
          <w:rFonts w:hint="eastAsia" w:ascii="宋体" w:hAnsi="宋体"/>
        </w:rPr>
        <w:t>火灾风险包含了火灾危险性和火灾危害性两重意义，火灾危险性（Fire risk）为发生火灾的可能性，火灾危害性（Fire hazard）为发生火灾可能造成后果的严重程度。</w:t>
      </w:r>
    </w:p>
    <w:p>
      <w:pPr>
        <w:pStyle w:val="3"/>
        <w:spacing w:before="190" w:after="190"/>
        <w:rPr>
          <w:rFonts w:ascii="宋体" w:hAnsi="宋体"/>
          <w:szCs w:val="32"/>
        </w:rPr>
      </w:pPr>
      <w:bookmarkStart w:id="316" w:name="_Toc15104"/>
      <w:bookmarkStart w:id="317" w:name="_Toc10205"/>
      <w:bookmarkStart w:id="318" w:name="_Toc949"/>
      <w:r>
        <w:rPr>
          <w:rFonts w:hint="eastAsia" w:ascii="宋体" w:hAnsi="宋体"/>
          <w:szCs w:val="32"/>
        </w:rPr>
        <w:t>4.2火灾风险评估的意义</w:t>
      </w:r>
      <w:bookmarkEnd w:id="316"/>
      <w:bookmarkEnd w:id="317"/>
      <w:bookmarkEnd w:id="318"/>
    </w:p>
    <w:p>
      <w:pPr>
        <w:spacing w:before="190" w:after="190"/>
        <w:ind w:firstLine="560"/>
        <w:rPr>
          <w:rFonts w:ascii="宋体" w:hAnsi="宋体"/>
        </w:rPr>
      </w:pPr>
      <w:r>
        <w:rPr>
          <w:rFonts w:hint="eastAsia" w:ascii="宋体" w:hAnsi="宋体"/>
        </w:rPr>
        <w:t>城市火灾风险评估主要是综合考虑城市内的建筑特征、消防管理水平、灭火救援力量等因素，辨识火灾的主要危险源及分析其危害特征；确定火灾风险等级，预测火灾发展趋势，提高防火能力；以火灾危害特征、火灾风险等级、火灾发展趋势为城市火灾风险管理的依据，确定城市消防安全规划及需求目标。研究并建立科学的评估城市火灾风险的指标体系，不仅能为评估城市的消防安全状况提供客观的衡量标准，而且可以找出城市防火减灾工作中的不足之处，指导城市合理进行防火减灾规划建设。</w:t>
      </w:r>
    </w:p>
    <w:p>
      <w:pPr>
        <w:spacing w:before="190" w:after="190"/>
        <w:ind w:firstLine="560"/>
        <w:rPr>
          <w:rFonts w:ascii="宋体" w:hAnsi="宋体"/>
        </w:rPr>
      </w:pPr>
      <w:r>
        <w:rPr>
          <w:rFonts w:hint="eastAsia" w:ascii="宋体" w:hAnsi="宋体"/>
        </w:rPr>
        <w:t>按照《城市消防规划规范》，将城市规划建成区分为三大类：城市重点消防地区，城市一般消防地区，防火隔离带及避难疏散场地</w:t>
      </w:r>
    </w:p>
    <w:p>
      <w:pPr>
        <w:pStyle w:val="3"/>
        <w:spacing w:before="190" w:after="190"/>
        <w:rPr>
          <w:rFonts w:ascii="宋体" w:hAnsi="宋体"/>
          <w:szCs w:val="32"/>
        </w:rPr>
      </w:pPr>
      <w:bookmarkStart w:id="319" w:name="_Toc19943"/>
      <w:bookmarkStart w:id="320" w:name="_Toc4522"/>
      <w:bookmarkStart w:id="321" w:name="_Toc24315"/>
      <w:r>
        <w:rPr>
          <w:rFonts w:hint="eastAsia" w:ascii="宋体" w:hAnsi="宋体"/>
          <w:szCs w:val="32"/>
        </w:rPr>
        <w:t>4.3重点消防地区</w:t>
      </w:r>
      <w:bookmarkEnd w:id="319"/>
      <w:bookmarkEnd w:id="320"/>
      <w:bookmarkEnd w:id="321"/>
    </w:p>
    <w:p>
      <w:pPr>
        <w:spacing w:before="190" w:after="190"/>
        <w:ind w:firstLine="560"/>
        <w:rPr>
          <w:rFonts w:ascii="宋体" w:hAnsi="宋体"/>
        </w:rPr>
      </w:pPr>
      <w:r>
        <w:rPr>
          <w:rFonts w:hint="eastAsia" w:ascii="宋体" w:hAnsi="宋体"/>
        </w:rPr>
        <w:t>城市重点消防地区是指对城市消防安全有较大影响、需要采取相应的重点消防措施、配置相应的消防装备和警力的连片建设发展地区。确定城市重点消防地区的依据：火灾危险性大、损失大、伤亡大、社会影响大。根据《城市消防规划规范》(GB51080-2015)，评估城市火灾风险，重点消防地区分为以下三类，不同类别的重点消防地区分别采取相应的消防规划措施：</w:t>
      </w:r>
    </w:p>
    <w:p>
      <w:pPr>
        <w:spacing w:before="190" w:after="190"/>
        <w:ind w:firstLine="560"/>
        <w:rPr>
          <w:rFonts w:ascii="宋体" w:hAnsi="宋体"/>
        </w:rPr>
      </w:pPr>
      <w:r>
        <w:rPr>
          <w:rFonts w:hint="eastAsia" w:ascii="宋体" w:hAnsi="宋体"/>
        </w:rPr>
        <w:t>A类重点消防地区：以工业用地、仓储用地为主的重点消防地区；</w:t>
      </w:r>
    </w:p>
    <w:p>
      <w:pPr>
        <w:spacing w:before="190" w:after="190"/>
        <w:ind w:firstLine="560"/>
        <w:rPr>
          <w:rFonts w:ascii="宋体" w:hAnsi="宋体"/>
        </w:rPr>
      </w:pPr>
      <w:r>
        <w:rPr>
          <w:rFonts w:hint="eastAsia" w:ascii="宋体" w:hAnsi="宋体"/>
        </w:rPr>
        <w:t>规划A类重点消防地区为城市东部的东顺工业园区和北部的仓储物流园区。</w:t>
      </w:r>
    </w:p>
    <w:p>
      <w:pPr>
        <w:spacing w:before="190" w:after="190"/>
        <w:ind w:firstLine="560"/>
        <w:rPr>
          <w:rFonts w:ascii="宋体" w:hAnsi="宋体"/>
        </w:rPr>
      </w:pPr>
      <w:r>
        <w:rPr>
          <w:rFonts w:hint="eastAsia" w:ascii="宋体" w:hAnsi="宋体"/>
        </w:rPr>
        <w:t>A类重点消防地区是城市消防安全重点保护地区，原则上布置一级普通消防站；其范围内影响城市消防安全的生产、使用、储存易燃易爆危险物品的单位，应在近期内采取措施进行整改，尽快完善其消防设施，如消防供水、消防通道、消防通讯等，加大消防监督力度。应建立火灾监控检查体系和通讯指挥系统，大型工厂、仓库应设置环形消防车通道。</w:t>
      </w:r>
    </w:p>
    <w:p>
      <w:pPr>
        <w:spacing w:before="190" w:after="190"/>
        <w:ind w:firstLine="560"/>
        <w:rPr>
          <w:rFonts w:ascii="宋体" w:hAnsi="宋体"/>
        </w:rPr>
      </w:pPr>
      <w:r>
        <w:rPr>
          <w:rFonts w:hint="eastAsia" w:ascii="宋体" w:hAnsi="宋体"/>
        </w:rPr>
        <w:t>B类重点消防地区：以公共设施用地、居住用地为主的重点消防地区；</w:t>
      </w:r>
    </w:p>
    <w:p>
      <w:pPr>
        <w:spacing w:before="190" w:after="190"/>
        <w:ind w:firstLine="560"/>
        <w:rPr>
          <w:rFonts w:ascii="宋体" w:hAnsi="宋体"/>
        </w:rPr>
      </w:pPr>
      <w:r>
        <w:rPr>
          <w:rFonts w:hint="eastAsia" w:ascii="宋体" w:hAnsi="宋体"/>
        </w:rPr>
        <w:t>规划B类重点消防地区包括城市公共建筑、商业设施、市场、高层住宅小区等。</w:t>
      </w:r>
    </w:p>
    <w:p>
      <w:pPr>
        <w:spacing w:before="190" w:after="190"/>
        <w:ind w:firstLine="560"/>
        <w:rPr>
          <w:rFonts w:ascii="宋体" w:hAnsi="宋体"/>
        </w:rPr>
      </w:pPr>
      <w:r>
        <w:rPr>
          <w:rFonts w:hint="eastAsia" w:ascii="宋体" w:hAnsi="宋体"/>
        </w:rPr>
        <w:t>B类重点消防地区各类建设项目须按相关法律法规、技术规范进行规划、设计、施工。行政、文化、教育、医疗机构及商业服务区等人员密集的公共场所，至少应设置两个出入口与城区主要道路相连，且出入口处应留有适当疏散场地。</w:t>
      </w:r>
    </w:p>
    <w:p>
      <w:pPr>
        <w:spacing w:before="190" w:after="190"/>
        <w:ind w:firstLine="560"/>
        <w:rPr>
          <w:rFonts w:ascii="宋体" w:hAnsi="宋体"/>
        </w:rPr>
      </w:pPr>
      <w:r>
        <w:rPr>
          <w:rFonts w:hint="eastAsia" w:ascii="宋体" w:hAnsi="宋体"/>
        </w:rPr>
        <w:t>C类重点消防地区：以地下空间和对外交通用地、市政公用设施用地为主的重点消防地区。</w:t>
      </w:r>
    </w:p>
    <w:p>
      <w:pPr>
        <w:spacing w:before="190" w:after="190"/>
        <w:ind w:firstLine="560"/>
        <w:rPr>
          <w:rFonts w:ascii="宋体" w:hAnsi="宋体"/>
        </w:rPr>
      </w:pPr>
      <w:r>
        <w:rPr>
          <w:rFonts w:hint="eastAsia" w:ascii="宋体" w:hAnsi="宋体"/>
        </w:rPr>
        <w:t>规划C类重点消防地区包括汽车站、加油加气站、水厂、污水处理厂、供热站等。</w:t>
      </w:r>
    </w:p>
    <w:p>
      <w:pPr>
        <w:spacing w:before="190" w:after="190"/>
        <w:ind w:firstLine="560"/>
        <w:rPr>
          <w:rFonts w:ascii="宋体" w:hAnsi="宋体"/>
        </w:rPr>
      </w:pPr>
      <w:r>
        <w:rPr>
          <w:rFonts w:hint="eastAsia" w:ascii="宋体" w:hAnsi="宋体"/>
        </w:rPr>
        <w:t>C类重点消防地区规划新建的易燃易爆危险品生产、储存场所的选址应位于城区常年最小风频的上风向，与人员密集的公共场所保持规范规定的防火安全距离。</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城市重点消防地区用地分类表</w:t>
      </w:r>
    </w:p>
    <w:tbl>
      <w:tblPr>
        <w:tblStyle w:val="10"/>
        <w:tblW w:w="4571" w:type="pct"/>
        <w:tblInd w:w="392"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528"/>
        <w:gridCol w:w="6268"/>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blHeader/>
        </w:trPr>
        <w:tc>
          <w:tcPr>
            <w:tcW w:w="980"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hint="eastAsia" w:ascii="仿宋" w:hAnsi="仿宋" w:eastAsia="仿宋"/>
                <w:b/>
                <w:sz w:val="24"/>
              </w:rPr>
              <w:t>用地类别代码</w:t>
            </w:r>
          </w:p>
        </w:tc>
        <w:tc>
          <w:tcPr>
            <w:tcW w:w="4020" w:type="pct"/>
            <w:shd w:val="clear" w:color="auto" w:fill="A8D08D"/>
            <w:noWrap w:val="0"/>
            <w:vAlign w:val="center"/>
          </w:tcPr>
          <w:p>
            <w:pPr>
              <w:spacing w:before="0" w:beforeLines="0" w:after="0" w:afterLines="0" w:line="240" w:lineRule="auto"/>
              <w:ind w:firstLine="0" w:firstLineChars="0"/>
              <w:jc w:val="center"/>
              <w:rPr>
                <w:rFonts w:ascii="仿宋" w:hAnsi="仿宋" w:eastAsia="仿宋"/>
                <w:b/>
                <w:sz w:val="24"/>
              </w:rPr>
            </w:pPr>
            <w:r>
              <w:rPr>
                <w:rFonts w:hint="eastAsia" w:ascii="仿宋" w:hAnsi="仿宋" w:eastAsia="仿宋"/>
                <w:b/>
                <w:sz w:val="24"/>
              </w:rPr>
              <w:t>用地类别名称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R2</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二类居住用地中以高层住宅为主的用地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R3</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三类居住用地中住宅与生产易燃易爆物品工业等用地</w:t>
            </w:r>
          </w:p>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混合交叉的用地或棚户区等易燃建筑密集地区</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A1</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行政办公用地中市属办公用地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A2</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文化活动用地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A3</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教育科研设计用地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A4</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体育用地中体育场馆用地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A5</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医疗卫生用地中急救设施用地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A7</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文物古迹用地中重要古建筑等用地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B1、B2、B3</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商业、商务及娱乐用地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M2</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二类工业用地中纺织工业等用地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M3</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三类工业用地中化学工业、造纸工业、建材工业等用地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W3</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危险品仓库用地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S3</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铁路客货运站、公路长途客运站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H25</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管道运输用地中石油、天然气等管道运输用地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H24</w:t>
            </w:r>
          </w:p>
        </w:tc>
        <w:tc>
          <w:tcPr>
            <w:tcW w:w="4020" w:type="pct"/>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机场用地中航站区等用地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top"/>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U1</w:t>
            </w:r>
          </w:p>
        </w:tc>
        <w:tc>
          <w:tcPr>
            <w:tcW w:w="4020" w:type="pct"/>
            <w:shd w:val="clear" w:color="auto" w:fill="E2EFD9"/>
            <w:noWrap w:val="0"/>
            <w:vAlign w:val="top"/>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供应设施用地中重要电力、燃气、通信枢纽用地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top"/>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B41</w:t>
            </w:r>
          </w:p>
        </w:tc>
        <w:tc>
          <w:tcPr>
            <w:tcW w:w="4020" w:type="pct"/>
            <w:shd w:val="clear" w:color="auto" w:fill="E2EFD9"/>
            <w:noWrap w:val="0"/>
            <w:vAlign w:val="top"/>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公用设施营业网点中加油加气站等用地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top"/>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H41</w:t>
            </w:r>
          </w:p>
        </w:tc>
        <w:tc>
          <w:tcPr>
            <w:tcW w:w="4020" w:type="pct"/>
            <w:shd w:val="clear" w:color="auto" w:fill="E2EFD9"/>
            <w:noWrap w:val="0"/>
            <w:vAlign w:val="top"/>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军事用地中重要设施用地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980" w:type="pct"/>
            <w:shd w:val="clear" w:color="auto" w:fill="E2EFD9"/>
            <w:noWrap w:val="0"/>
            <w:vAlign w:val="top"/>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bCs/>
                <w:color w:val="000000"/>
                <w:sz w:val="24"/>
              </w:rPr>
              <w:t>H42</w:t>
            </w:r>
          </w:p>
        </w:tc>
        <w:tc>
          <w:tcPr>
            <w:tcW w:w="4020" w:type="pct"/>
            <w:shd w:val="clear" w:color="auto" w:fill="E2EFD9"/>
            <w:noWrap w:val="0"/>
            <w:vAlign w:val="top"/>
          </w:tcPr>
          <w:p>
            <w:pPr>
              <w:spacing w:before="0" w:beforeLines="0" w:after="0" w:afterLines="0" w:line="240" w:lineRule="auto"/>
              <w:ind w:firstLine="0" w:firstLineChars="0"/>
              <w:jc w:val="center"/>
              <w:rPr>
                <w:rFonts w:ascii="仿宋" w:hAnsi="仿宋" w:eastAsia="仿宋"/>
                <w:color w:val="000000"/>
                <w:sz w:val="24"/>
              </w:rPr>
            </w:pPr>
            <w:r>
              <w:rPr>
                <w:rFonts w:hint="eastAsia" w:ascii="仿宋" w:hAnsi="仿宋" w:eastAsia="仿宋"/>
                <w:color w:val="000000"/>
                <w:sz w:val="24"/>
              </w:rPr>
              <w:t>安保用地</w:t>
            </w:r>
          </w:p>
        </w:tc>
      </w:tr>
    </w:tbl>
    <w:p>
      <w:pPr>
        <w:pStyle w:val="3"/>
        <w:spacing w:before="190" w:after="190"/>
        <w:rPr>
          <w:rFonts w:ascii="宋体" w:hAnsi="宋体"/>
          <w:szCs w:val="32"/>
        </w:rPr>
      </w:pPr>
      <w:bookmarkStart w:id="322" w:name="_Toc14779"/>
      <w:bookmarkStart w:id="323" w:name="_Toc20483"/>
      <w:bookmarkStart w:id="324" w:name="_Toc250"/>
      <w:r>
        <w:rPr>
          <w:rFonts w:hint="eastAsia" w:ascii="宋体" w:hAnsi="宋体"/>
          <w:szCs w:val="32"/>
        </w:rPr>
        <w:t>4.4防火隔离带及避难疏散场地</w:t>
      </w:r>
      <w:bookmarkEnd w:id="322"/>
      <w:bookmarkEnd w:id="323"/>
      <w:bookmarkEnd w:id="324"/>
    </w:p>
    <w:p>
      <w:pPr>
        <w:spacing w:before="190" w:after="190"/>
        <w:ind w:firstLine="560"/>
        <w:rPr>
          <w:rFonts w:ascii="宋体" w:hAnsi="宋体"/>
        </w:rPr>
      </w:pPr>
      <w:r>
        <w:rPr>
          <w:rFonts w:hint="eastAsia" w:ascii="宋体" w:hAnsi="宋体"/>
        </w:rPr>
        <w:t>城市防火隔离带是指为阻止城市大面积火灾延烧，起着保护生命、财产、城市功能作用的隔离空间和相关设施。</w:t>
      </w:r>
    </w:p>
    <w:p>
      <w:pPr>
        <w:spacing w:before="190" w:after="190"/>
        <w:ind w:firstLine="560"/>
        <w:rPr>
          <w:rFonts w:ascii="宋体" w:hAnsi="宋体"/>
        </w:rPr>
      </w:pPr>
      <w:r>
        <w:rPr>
          <w:rFonts w:hint="eastAsia" w:ascii="宋体" w:hAnsi="宋体"/>
        </w:rPr>
        <w:t>规划防火隔离带包括青银高速、民族街、北环路、盐川大道、东顺路、五原路、凝萃街等主干道路防护绿地。</w:t>
      </w:r>
    </w:p>
    <w:p>
      <w:pPr>
        <w:spacing w:before="190" w:after="190"/>
        <w:ind w:firstLine="560"/>
        <w:rPr>
          <w:rFonts w:ascii="宋体" w:hAnsi="宋体"/>
        </w:rPr>
      </w:pPr>
      <w:r>
        <w:rPr>
          <w:rFonts w:hint="eastAsia" w:ascii="宋体" w:hAnsi="宋体"/>
        </w:rPr>
        <w:t>防灾避难疏散场地是指为优先保护人员生命安全而设置的、专用或兼用的城市公共开敞空间和设施。</w:t>
      </w:r>
    </w:p>
    <w:p>
      <w:pPr>
        <w:spacing w:before="190" w:after="190"/>
        <w:ind w:firstLine="560"/>
        <w:rPr>
          <w:rFonts w:ascii="宋体" w:hAnsi="宋体"/>
        </w:rPr>
      </w:pPr>
      <w:r>
        <w:rPr>
          <w:rFonts w:hint="eastAsia" w:ascii="宋体" w:hAnsi="宋体"/>
        </w:rPr>
        <w:t>规划避难疏散场地包括长城公园、行政中心广场、中小学操场及其它公园绿地、广场等。</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防火隔离带及避难疏散场地用地分类表</w:t>
      </w:r>
    </w:p>
    <w:tbl>
      <w:tblPr>
        <w:tblStyle w:val="10"/>
        <w:tblW w:w="4571" w:type="pct"/>
        <w:tblInd w:w="392"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869"/>
        <w:gridCol w:w="5927"/>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1199" w:type="pct"/>
            <w:shd w:val="clear" w:color="auto" w:fill="A8D08D"/>
            <w:noWrap w:val="0"/>
            <w:vAlign w:val="center"/>
          </w:tcPr>
          <w:p>
            <w:pPr>
              <w:spacing w:before="0" w:beforeLines="0" w:after="0" w:afterLines="0" w:line="240" w:lineRule="auto"/>
              <w:ind w:firstLine="0" w:firstLineChars="0"/>
              <w:jc w:val="center"/>
              <w:rPr>
                <w:rFonts w:ascii="仿宋" w:hAnsi="仿宋" w:eastAsia="仿宋" w:cs="Calibri"/>
                <w:b/>
                <w:sz w:val="24"/>
              </w:rPr>
            </w:pPr>
            <w:r>
              <w:rPr>
                <w:rFonts w:hint="eastAsia" w:ascii="仿宋" w:hAnsi="仿宋" w:eastAsia="仿宋" w:cs="Calibri"/>
                <w:b/>
                <w:sz w:val="24"/>
              </w:rPr>
              <w:t>用地类别代码</w:t>
            </w:r>
          </w:p>
        </w:tc>
        <w:tc>
          <w:tcPr>
            <w:tcW w:w="3801" w:type="pct"/>
            <w:shd w:val="clear" w:color="auto" w:fill="A8D08D"/>
            <w:noWrap w:val="0"/>
            <w:vAlign w:val="center"/>
          </w:tcPr>
          <w:p>
            <w:pPr>
              <w:spacing w:before="0" w:beforeLines="0" w:after="0" w:afterLines="0" w:line="240" w:lineRule="auto"/>
              <w:ind w:firstLine="0" w:firstLineChars="0"/>
              <w:jc w:val="center"/>
              <w:rPr>
                <w:rFonts w:ascii="仿宋" w:hAnsi="仿宋" w:eastAsia="仿宋" w:cs="Calibri"/>
                <w:b/>
                <w:sz w:val="24"/>
              </w:rPr>
            </w:pPr>
            <w:r>
              <w:rPr>
                <w:rFonts w:hint="eastAsia" w:ascii="仿宋" w:hAnsi="仿宋" w:eastAsia="仿宋" w:cs="Calibri"/>
                <w:b/>
                <w:sz w:val="24"/>
              </w:rPr>
              <w:t>用地类别名称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1199" w:type="pct"/>
            <w:shd w:val="clear" w:color="auto" w:fill="E2EFD9"/>
            <w:noWrap w:val="0"/>
            <w:vAlign w:val="center"/>
          </w:tcPr>
          <w:p>
            <w:pPr>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bCs/>
                <w:sz w:val="24"/>
              </w:rPr>
              <w:t>T</w:t>
            </w:r>
          </w:p>
        </w:tc>
        <w:tc>
          <w:tcPr>
            <w:tcW w:w="3801" w:type="pct"/>
            <w:shd w:val="clear" w:color="auto" w:fill="E2EFD9"/>
            <w:noWrap w:val="0"/>
            <w:vAlign w:val="center"/>
          </w:tcPr>
          <w:p>
            <w:pPr>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对外交通用地中的线路等用地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1199" w:type="pct"/>
            <w:shd w:val="clear" w:color="auto" w:fill="E2EFD9"/>
            <w:noWrap w:val="0"/>
            <w:vAlign w:val="center"/>
          </w:tcPr>
          <w:p>
            <w:pPr>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bCs/>
                <w:sz w:val="24"/>
              </w:rPr>
              <w:t>S</w:t>
            </w:r>
          </w:p>
        </w:tc>
        <w:tc>
          <w:tcPr>
            <w:tcW w:w="3801" w:type="pct"/>
            <w:shd w:val="clear" w:color="auto" w:fill="E2EFD9"/>
            <w:noWrap w:val="0"/>
            <w:vAlign w:val="center"/>
          </w:tcPr>
          <w:p>
            <w:pPr>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道路广场用地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1199" w:type="pct"/>
            <w:shd w:val="clear" w:color="auto" w:fill="E2EFD9"/>
            <w:noWrap w:val="0"/>
            <w:vAlign w:val="center"/>
          </w:tcPr>
          <w:p>
            <w:pPr>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bCs/>
                <w:sz w:val="24"/>
              </w:rPr>
              <w:t>G</w:t>
            </w:r>
          </w:p>
        </w:tc>
        <w:tc>
          <w:tcPr>
            <w:tcW w:w="3801" w:type="pct"/>
            <w:shd w:val="clear" w:color="auto" w:fill="E2EFD9"/>
            <w:noWrap w:val="0"/>
            <w:vAlign w:val="center"/>
          </w:tcPr>
          <w:p>
            <w:pPr>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绿地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rPr>
        <w:tc>
          <w:tcPr>
            <w:tcW w:w="1199" w:type="pct"/>
            <w:shd w:val="clear" w:color="auto" w:fill="E2EFD9"/>
            <w:noWrap w:val="0"/>
            <w:vAlign w:val="center"/>
          </w:tcPr>
          <w:p>
            <w:pPr>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bCs/>
                <w:sz w:val="24"/>
              </w:rPr>
              <w:t>E</w:t>
            </w:r>
          </w:p>
        </w:tc>
        <w:tc>
          <w:tcPr>
            <w:tcW w:w="3801" w:type="pct"/>
            <w:shd w:val="clear" w:color="auto" w:fill="E2EFD9"/>
            <w:noWrap w:val="0"/>
            <w:vAlign w:val="center"/>
          </w:tcPr>
          <w:p>
            <w:pPr>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水域和其它用地中水域、耕地</w:t>
            </w:r>
          </w:p>
        </w:tc>
      </w:tr>
    </w:tbl>
    <w:p>
      <w:pPr>
        <w:pStyle w:val="3"/>
        <w:spacing w:before="190" w:after="190"/>
        <w:rPr>
          <w:rFonts w:ascii="宋体" w:hAnsi="宋体"/>
          <w:szCs w:val="32"/>
        </w:rPr>
      </w:pPr>
      <w:bookmarkStart w:id="325" w:name="_Toc5435"/>
      <w:bookmarkStart w:id="326" w:name="_Toc29145"/>
      <w:bookmarkStart w:id="327" w:name="_Toc24915"/>
      <w:r>
        <w:rPr>
          <w:rFonts w:hint="eastAsia" w:ascii="宋体" w:hAnsi="宋体"/>
          <w:szCs w:val="32"/>
        </w:rPr>
        <w:t>4.5一般消防地区</w:t>
      </w:r>
      <w:bookmarkEnd w:id="325"/>
      <w:bookmarkEnd w:id="326"/>
      <w:bookmarkEnd w:id="327"/>
    </w:p>
    <w:p>
      <w:pPr>
        <w:spacing w:before="190" w:after="190"/>
        <w:ind w:firstLine="560"/>
        <w:rPr>
          <w:rFonts w:ascii="宋体" w:hAnsi="宋体"/>
        </w:rPr>
      </w:pPr>
      <w:r>
        <w:rPr>
          <w:rFonts w:hint="eastAsia" w:ascii="宋体" w:hAnsi="宋体"/>
        </w:rPr>
        <w:t>城市一般消防地区是指城市规划建成区内除城市重点消防地区、防火隔离带及避难疏散场地以外的地区，主要包括包括城市高层住宅以外的其它居住用地等。</w:t>
      </w:r>
    </w:p>
    <w:p>
      <w:pPr>
        <w:spacing w:before="190" w:after="190"/>
        <w:ind w:firstLine="0" w:firstLineChars="0"/>
        <w:jc w:val="center"/>
        <w:rPr>
          <w:rFonts w:hint="eastAsia" w:ascii="宋体" w:hAnsi="宋体"/>
        </w:rPr>
      </w:pPr>
      <w:r>
        <w:rPr>
          <w:rFonts w:ascii="宋体" w:hAnsi="宋体"/>
        </w:rPr>
        <w:drawing>
          <wp:inline distT="0" distB="0" distL="114300" distR="114300">
            <wp:extent cx="5426710" cy="3938270"/>
            <wp:effectExtent l="0" t="0" r="2540" b="5080"/>
            <wp:docPr id="2" name="图片 14" descr="11-城市建设用地消防分区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4" descr="11-城市建设用地消防分区图"/>
                    <pic:cNvPicPr>
                      <a:picLocks noChangeAspect="true"/>
                    </pic:cNvPicPr>
                  </pic:nvPicPr>
                  <pic:blipFill>
                    <a:blip r:embed="rId29"/>
                    <a:srcRect l="2998"/>
                    <a:stretch>
                      <a:fillRect/>
                    </a:stretch>
                  </pic:blipFill>
                  <pic:spPr>
                    <a:xfrm>
                      <a:off x="0" y="0"/>
                      <a:ext cx="5426710" cy="3938270"/>
                    </a:xfrm>
                    <a:prstGeom prst="rect">
                      <a:avLst/>
                    </a:prstGeom>
                    <a:noFill/>
                    <a:ln>
                      <a:noFill/>
                    </a:ln>
                  </pic:spPr>
                </pic:pic>
              </a:graphicData>
            </a:graphic>
          </wp:inline>
        </w:drawing>
      </w:r>
    </w:p>
    <w:p>
      <w:pPr>
        <w:pStyle w:val="2"/>
        <w:numPr>
          <w:ilvl w:val="0"/>
          <w:numId w:val="3"/>
        </w:numPr>
        <w:spacing w:before="190" w:after="190"/>
        <w:ind w:firstLine="0"/>
        <w:jc w:val="center"/>
        <w:rPr>
          <w:rFonts w:ascii="宋体" w:hAnsi="宋体"/>
          <w:b/>
        </w:rPr>
      </w:pPr>
      <w:bookmarkStart w:id="328" w:name="_Toc23033"/>
      <w:bookmarkStart w:id="329" w:name="_Toc24369"/>
      <w:bookmarkStart w:id="330" w:name="_Toc21478"/>
      <w:r>
        <w:rPr>
          <w:rFonts w:ascii="宋体" w:hAnsi="宋体"/>
          <w:b/>
        </w:rPr>
        <w:br w:type="column"/>
      </w:r>
      <w:r>
        <w:rPr>
          <w:rFonts w:hint="eastAsia" w:ascii="宋体" w:hAnsi="宋体"/>
          <w:b/>
        </w:rPr>
        <w:t>县域消防规划指引</w:t>
      </w:r>
      <w:bookmarkEnd w:id="328"/>
      <w:bookmarkEnd w:id="329"/>
      <w:bookmarkEnd w:id="330"/>
    </w:p>
    <w:p>
      <w:pPr>
        <w:pStyle w:val="3"/>
        <w:spacing w:before="190" w:after="190"/>
        <w:rPr>
          <w:rFonts w:ascii="宋体" w:hAnsi="宋体"/>
          <w:szCs w:val="32"/>
        </w:rPr>
      </w:pPr>
      <w:bookmarkStart w:id="331" w:name="_Toc29466"/>
      <w:bookmarkStart w:id="332" w:name="_Toc20223"/>
      <w:bookmarkStart w:id="333" w:name="_Toc22261"/>
      <w:r>
        <w:rPr>
          <w:rFonts w:hint="eastAsia" w:ascii="宋体" w:hAnsi="宋体"/>
          <w:szCs w:val="32"/>
        </w:rPr>
        <w:t>5.1县域消防体系规划</w:t>
      </w:r>
      <w:bookmarkEnd w:id="331"/>
      <w:bookmarkEnd w:id="332"/>
      <w:bookmarkEnd w:id="333"/>
    </w:p>
    <w:p>
      <w:pPr>
        <w:spacing w:before="190" w:after="190"/>
        <w:ind w:firstLine="560"/>
        <w:rPr>
          <w:rFonts w:ascii="宋体" w:hAnsi="宋体"/>
        </w:rPr>
      </w:pPr>
      <w:r>
        <w:rPr>
          <w:rFonts w:hint="eastAsia" w:ascii="宋体" w:hAnsi="宋体"/>
        </w:rPr>
        <w:t>以县城消防站为全县消防救援的核心力量，优化县域和乡村救援资源，推进小型、多样、流动消防站建设，消除县域消防力量配置的“空白点”。根据县域乡镇、村庄及重大危险源集中地区、工业园区和交通事故多发区等重点消防救援区域，合理配置救援资源，优化救援力量布局，形成全地域、全天候、全覆盖的城乡救援网络。</w:t>
      </w:r>
    </w:p>
    <w:p>
      <w:pPr>
        <w:spacing w:before="190" w:after="190"/>
        <w:ind w:firstLine="560"/>
        <w:rPr>
          <w:rFonts w:hint="eastAsia" w:ascii="宋体" w:hAnsi="宋体"/>
        </w:rPr>
      </w:pPr>
      <w:r>
        <w:rPr>
          <w:rFonts w:hint="eastAsia" w:ascii="宋体" w:hAnsi="宋体"/>
        </w:rPr>
        <w:t>依据国家相关法律法规，结合盐池县总体规划等相关上位规划，按照县城消防站责任区面积不大于7平方公里、独立工矿区消防站责任区面积不大于15平方公里、建制镇设置乡镇专职消防队、乡村设置志愿消防队，同时依托周边城镇提供消防安全服务，构建以盐池县消防救援大队为主体，政府专职消防队、企业事业单位专职消防队、乡镇专职消防队、志愿消防队等多种形式消防队伍为基础，全面覆盖城乡，有效控制各类火灾及突发灾害事件的盐池县域消防救援力量体系。各级人民政府应当将消防规划纳入城镇总体规划，编制年度实施计划，负责组织实施，加快城乡消防站、消防水源、消防装备、消防车通道等公共消防设施建设。农村公共消防设施要纳入社会主义新农村建设，根据需要，应与村庄整治和人居环境改造等配套建设、同步实施。</w:t>
      </w:r>
    </w:p>
    <w:p>
      <w:pPr>
        <w:keepNext w:val="0"/>
        <w:keepLines w:val="0"/>
        <w:pageBreakBefore w:val="0"/>
        <w:widowControl w:val="0"/>
        <w:kinsoku/>
        <w:wordWrap/>
        <w:overflowPunct/>
        <w:topLinePunct w:val="0"/>
        <w:autoSpaceDE/>
        <w:autoSpaceDN/>
        <w:bidi w:val="0"/>
        <w:adjustRightInd/>
        <w:snapToGrid/>
        <w:spacing w:before="190" w:after="190"/>
        <w:ind w:firstLine="0" w:firstLineChars="0"/>
        <w:jc w:val="left"/>
        <w:textAlignment w:val="auto"/>
        <w:rPr>
          <w:rFonts w:hint="eastAsia" w:ascii="宋体" w:hAnsi="宋体"/>
        </w:rPr>
      </w:pPr>
      <w:r>
        <w:rPr>
          <w:rFonts w:ascii="宋体" w:hAnsi="宋体"/>
        </w:rPr>
        <w:drawing>
          <wp:inline distT="0" distB="0" distL="114300" distR="114300">
            <wp:extent cx="5912485" cy="8014335"/>
            <wp:effectExtent l="0" t="0" r="12065" b="5715"/>
            <wp:docPr id="18" name="图片 15" descr="09-县域消防规划(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5" descr="09-县域消防规划(1)(1)"/>
                    <pic:cNvPicPr>
                      <a:picLocks noChangeAspect="true"/>
                    </pic:cNvPicPr>
                  </pic:nvPicPr>
                  <pic:blipFill>
                    <a:blip r:embed="rId30"/>
                    <a:srcRect t="4214"/>
                    <a:stretch>
                      <a:fillRect/>
                    </a:stretch>
                  </pic:blipFill>
                  <pic:spPr>
                    <a:xfrm>
                      <a:off x="0" y="0"/>
                      <a:ext cx="5912485" cy="8014335"/>
                    </a:xfrm>
                    <a:prstGeom prst="rect">
                      <a:avLst/>
                    </a:prstGeom>
                    <a:noFill/>
                    <a:ln>
                      <a:noFill/>
                    </a:ln>
                  </pic:spPr>
                </pic:pic>
              </a:graphicData>
            </a:graphic>
          </wp:inline>
        </w:drawing>
      </w:r>
    </w:p>
    <w:p>
      <w:pPr>
        <w:pStyle w:val="3"/>
        <w:spacing w:before="190" w:after="190"/>
        <w:rPr>
          <w:rFonts w:ascii="宋体" w:hAnsi="宋体"/>
          <w:szCs w:val="32"/>
        </w:rPr>
      </w:pPr>
      <w:bookmarkStart w:id="334" w:name="_Toc25822"/>
      <w:bookmarkStart w:id="335" w:name="_Toc15506"/>
      <w:bookmarkStart w:id="336" w:name="_Toc3205"/>
      <w:r>
        <w:rPr>
          <w:rFonts w:hint="eastAsia" w:ascii="宋体" w:hAnsi="宋体"/>
          <w:szCs w:val="32"/>
        </w:rPr>
        <w:t>5.2县域专职消防队（站）规划</w:t>
      </w:r>
      <w:bookmarkEnd w:id="334"/>
      <w:bookmarkEnd w:id="335"/>
      <w:bookmarkEnd w:id="336"/>
    </w:p>
    <w:p>
      <w:pPr>
        <w:spacing w:before="190" w:after="190"/>
        <w:ind w:firstLine="560"/>
        <w:rPr>
          <w:rFonts w:ascii="宋体" w:hAnsi="宋体"/>
        </w:rPr>
      </w:pPr>
      <w:r>
        <w:rPr>
          <w:rFonts w:hint="eastAsia" w:ascii="宋体" w:hAnsi="宋体"/>
        </w:rPr>
        <w:t>随着社会经济发展和城镇化进程的进一步加快，城乡建设已经进入快速、健康发展的轨道。消防救援工作是城乡公共安全和防灾体系的重要组成部分，加强各级消防站的建设是保障全县消防安全的重要基础。</w:t>
      </w:r>
    </w:p>
    <w:p>
      <w:pPr>
        <w:pStyle w:val="4"/>
        <w:spacing w:before="0" w:beforeLines="0" w:after="0" w:afterLines="0" w:line="240" w:lineRule="auto"/>
        <w:rPr>
          <w:rFonts w:ascii="宋体" w:hAnsi="宋体"/>
          <w:szCs w:val="30"/>
        </w:rPr>
      </w:pPr>
      <w:bookmarkStart w:id="337" w:name="_Toc18527"/>
      <w:bookmarkStart w:id="338" w:name="_Toc1989"/>
      <w:bookmarkStart w:id="339" w:name="_Toc16401"/>
      <w:r>
        <w:rPr>
          <w:rFonts w:ascii="宋体" w:hAnsi="宋体"/>
          <w:szCs w:val="30"/>
        </w:rPr>
        <w:t>5.2.1政府专职消防救援站</w:t>
      </w:r>
      <w:bookmarkEnd w:id="337"/>
      <w:bookmarkEnd w:id="338"/>
      <w:bookmarkEnd w:id="339"/>
    </w:p>
    <w:p>
      <w:pPr>
        <w:spacing w:before="190" w:after="190"/>
        <w:ind w:firstLine="560"/>
        <w:rPr>
          <w:rFonts w:ascii="宋体" w:hAnsi="宋体"/>
        </w:rPr>
      </w:pPr>
      <w:r>
        <w:rPr>
          <w:rFonts w:hint="eastAsia" w:ascii="宋体" w:hAnsi="宋体"/>
        </w:rPr>
        <w:t>现状已建成东顺路政府专职消防救援站和高沙窝政府专职消防救援站，规划予以保留并逐步完善政府专职消防救援站人员、车辆装备建设。</w:t>
      </w:r>
    </w:p>
    <w:p>
      <w:pPr>
        <w:spacing w:before="190" w:after="190"/>
        <w:ind w:firstLine="560"/>
        <w:rPr>
          <w:rFonts w:ascii="宋体" w:hAnsi="宋体"/>
        </w:rPr>
      </w:pPr>
      <w:r>
        <w:rPr>
          <w:rFonts w:hint="eastAsia" w:ascii="宋体" w:hAnsi="宋体"/>
        </w:rPr>
        <w:t>（1）东顺路政府专职消防救援站</w:t>
      </w:r>
    </w:p>
    <w:p>
      <w:pPr>
        <w:spacing w:before="190" w:after="190"/>
        <w:ind w:firstLine="560"/>
        <w:rPr>
          <w:rFonts w:ascii="宋体" w:hAnsi="宋体"/>
        </w:rPr>
      </w:pPr>
      <w:r>
        <w:rPr>
          <w:rFonts w:hint="eastAsia" w:ascii="宋体" w:hAnsi="宋体"/>
        </w:rPr>
        <w:t>位于县城东部工业园区，距离金裕海化工约1公里处，2020年10月成立，实现大中队一体化，现有消防队员8人，其中现役消防员2人，配备3台消防车辆，分别为5吨水罐车、23吨水罐车、23吨泡沫消防车（21吨水+2吨泡沫），责任区范围主要为县城东部工业园区。</w:t>
      </w:r>
    </w:p>
    <w:p>
      <w:pPr>
        <w:spacing w:before="190" w:after="190"/>
        <w:ind w:firstLine="560"/>
        <w:rPr>
          <w:rFonts w:hint="eastAsia" w:ascii="宋体" w:hAnsi="宋体"/>
        </w:rPr>
      </w:pPr>
      <w:r>
        <w:rPr>
          <w:rFonts w:ascii="宋体" w:hAnsi="宋体"/>
        </w:rPr>
        <w:t>规划期内</w:t>
      </w:r>
      <w:r>
        <w:rPr>
          <w:rFonts w:hint="eastAsia" w:ascii="宋体" w:hAnsi="宋体"/>
        </w:rPr>
        <w:t>，东顺路政府专职消防救援站逐步完善人员、车辆装备，达到二级普通消防站标准，责任区范围主要为县城东部工业园区并兼顾县城及周边乡镇消防救援。</w:t>
      </w:r>
    </w:p>
    <w:p>
      <w:pPr>
        <w:spacing w:before="190" w:after="190"/>
        <w:ind w:firstLine="560"/>
        <w:rPr>
          <w:rFonts w:ascii="宋体" w:hAnsi="宋体"/>
        </w:rPr>
      </w:pPr>
      <w:r>
        <w:rPr>
          <w:rFonts w:hint="eastAsia" w:ascii="宋体" w:hAnsi="宋体"/>
        </w:rPr>
        <w:t>（2）高沙窝政府专职消防救援站</w:t>
      </w:r>
    </w:p>
    <w:p>
      <w:pPr>
        <w:spacing w:before="190" w:after="190"/>
        <w:ind w:firstLine="560"/>
        <w:rPr>
          <w:rFonts w:ascii="宋体" w:hAnsi="宋体"/>
        </w:rPr>
      </w:pPr>
      <w:r>
        <w:rPr>
          <w:rFonts w:hint="eastAsia" w:ascii="宋体" w:hAnsi="宋体"/>
        </w:rPr>
        <w:t>位于高沙窝工业园区，盐池县政府于2017年投资建设，2020年10月14日，盐池县政府正式移交县消防救援大队，并更名盐池县高沙窝政府专职消防救援站；现有消防队员12人，其中现役消防员3人，配备5台消防车辆，分别为23吨水罐车、8吨水罐车、23吨泡沫车（20 吨水+3吨泡沫）、抢险救援车、压缩空气泡沫水罐车（5吨水+2.4吨泡沫），各类装备器材736件套。</w:t>
      </w:r>
    </w:p>
    <w:p>
      <w:pPr>
        <w:spacing w:before="190" w:after="190"/>
        <w:ind w:firstLine="560"/>
        <w:rPr>
          <w:rFonts w:ascii="宋体" w:hAnsi="宋体"/>
        </w:rPr>
      </w:pPr>
      <w:r>
        <w:rPr>
          <w:rFonts w:hint="eastAsia" w:ascii="宋体" w:hAnsi="宋体"/>
        </w:rPr>
        <w:t>规划期内，高沙窝政府专职消防救援站逐步完善人员、车辆装备，达到一级普通消防站标准，责任区范围以高沙窝镇区、工业园区为主，兼顾县域草原消防救援。</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政府专职消防救援站车辆、人员配置一览表</w:t>
      </w:r>
    </w:p>
    <w:tbl>
      <w:tblPr>
        <w:tblStyle w:val="10"/>
        <w:tblW w:w="5000"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390"/>
        <w:gridCol w:w="1180"/>
        <w:gridCol w:w="3427"/>
        <w:gridCol w:w="1922"/>
        <w:gridCol w:w="609"/>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815"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名称</w:t>
            </w:r>
          </w:p>
        </w:tc>
        <w:tc>
          <w:tcPr>
            <w:tcW w:w="69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消防站</w:t>
            </w:r>
          </w:p>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等级</w:t>
            </w:r>
          </w:p>
        </w:tc>
        <w:tc>
          <w:tcPr>
            <w:tcW w:w="2009" w:type="pct"/>
            <w:shd w:val="clear" w:color="auto" w:fill="A8D08D"/>
            <w:noWrap w:val="0"/>
            <w:vAlign w:val="center"/>
          </w:tcPr>
          <w:p>
            <w:pPr>
              <w:spacing w:before="0" w:beforeLines="0" w:after="0" w:afterLines="0" w:line="240" w:lineRule="auto"/>
              <w:ind w:firstLine="0" w:firstLineChars="0"/>
              <w:jc w:val="center"/>
              <w:rPr>
                <w:rFonts w:hint="eastAsia" w:ascii="仿宋" w:hAnsi="仿宋" w:eastAsia="仿宋"/>
                <w:b/>
                <w:bCs/>
                <w:sz w:val="24"/>
              </w:rPr>
            </w:pPr>
            <w:r>
              <w:rPr>
                <w:rFonts w:hint="eastAsia" w:ascii="仿宋" w:hAnsi="仿宋" w:eastAsia="仿宋"/>
                <w:b/>
                <w:bCs/>
                <w:sz w:val="24"/>
              </w:rPr>
              <w:t>消防车辆</w:t>
            </w:r>
          </w:p>
        </w:tc>
        <w:tc>
          <w:tcPr>
            <w:tcW w:w="1127" w:type="pct"/>
            <w:shd w:val="clear" w:color="auto" w:fill="A8D08D"/>
            <w:noWrap w:val="0"/>
            <w:vAlign w:val="center"/>
          </w:tcPr>
          <w:p>
            <w:pPr>
              <w:spacing w:before="0" w:beforeLines="0" w:after="0" w:afterLines="0" w:line="240" w:lineRule="auto"/>
              <w:ind w:firstLine="0" w:firstLineChars="0"/>
              <w:jc w:val="center"/>
              <w:rPr>
                <w:rFonts w:hint="eastAsia" w:ascii="仿宋" w:hAnsi="仿宋" w:eastAsia="仿宋"/>
                <w:b/>
                <w:bCs/>
                <w:sz w:val="24"/>
              </w:rPr>
            </w:pPr>
            <w:r>
              <w:rPr>
                <w:rFonts w:hint="eastAsia" w:ascii="仿宋" w:hAnsi="仿宋" w:eastAsia="仿宋"/>
                <w:b/>
                <w:bCs/>
                <w:sz w:val="24"/>
              </w:rPr>
              <w:t>消防人员</w:t>
            </w:r>
          </w:p>
        </w:tc>
        <w:tc>
          <w:tcPr>
            <w:tcW w:w="35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81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东顺路政府专职消防救援站</w:t>
            </w:r>
          </w:p>
        </w:tc>
        <w:tc>
          <w:tcPr>
            <w:tcW w:w="69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二级普通消防站</w:t>
            </w:r>
          </w:p>
        </w:tc>
        <w:tc>
          <w:tcPr>
            <w:tcW w:w="2009" w:type="pct"/>
            <w:shd w:val="clear" w:color="auto" w:fill="E2EFD9"/>
            <w:noWrap w:val="0"/>
            <w:vAlign w:val="center"/>
          </w:tcPr>
          <w:p>
            <w:pPr>
              <w:spacing w:before="0" w:beforeLines="0" w:after="0" w:afterLines="0" w:line="240" w:lineRule="auto"/>
              <w:ind w:firstLine="0" w:firstLineChars="0"/>
              <w:jc w:val="left"/>
              <w:rPr>
                <w:rFonts w:ascii="仿宋" w:hAnsi="仿宋" w:eastAsia="仿宋"/>
                <w:sz w:val="24"/>
              </w:rPr>
            </w:pPr>
            <w:r>
              <w:rPr>
                <w:rFonts w:hint="eastAsia" w:ascii="仿宋" w:hAnsi="仿宋" w:eastAsia="仿宋"/>
                <w:sz w:val="24"/>
              </w:rPr>
              <w:t>现状：23吨水罐车+5吨水罐车+23吨泡沫消防车；规划新增化学事故抢险救援消防车或泡沫干粉联用消防车。</w:t>
            </w:r>
          </w:p>
        </w:tc>
        <w:tc>
          <w:tcPr>
            <w:tcW w:w="112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现状</w:t>
            </w:r>
            <w:r>
              <w:rPr>
                <w:rFonts w:hint="eastAsia" w:ascii="仿宋" w:hAnsi="仿宋" w:eastAsia="仿宋"/>
                <w:sz w:val="24"/>
              </w:rPr>
              <w:t>8人，规划期内达到1</w:t>
            </w:r>
            <w:r>
              <w:rPr>
                <w:rFonts w:ascii="仿宋" w:hAnsi="仿宋" w:eastAsia="仿宋"/>
                <w:sz w:val="24"/>
              </w:rPr>
              <w:t>5人</w:t>
            </w:r>
            <w:r>
              <w:rPr>
                <w:rFonts w:hint="eastAsia" w:ascii="仿宋" w:hAnsi="仿宋" w:eastAsia="仿宋"/>
                <w:sz w:val="24"/>
              </w:rPr>
              <w:t>。</w:t>
            </w:r>
          </w:p>
        </w:tc>
        <w:tc>
          <w:tcPr>
            <w:tcW w:w="3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81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高沙窝政府专职消防救援站</w:t>
            </w:r>
          </w:p>
        </w:tc>
        <w:tc>
          <w:tcPr>
            <w:tcW w:w="69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一级普通消防站</w:t>
            </w:r>
          </w:p>
        </w:tc>
        <w:tc>
          <w:tcPr>
            <w:tcW w:w="2009" w:type="pct"/>
            <w:shd w:val="clear" w:color="auto" w:fill="E2EFD9"/>
            <w:noWrap w:val="0"/>
            <w:vAlign w:val="center"/>
          </w:tcPr>
          <w:p>
            <w:pPr>
              <w:spacing w:before="0" w:beforeLines="0" w:after="0" w:afterLines="0" w:line="240" w:lineRule="auto"/>
              <w:ind w:firstLine="0" w:firstLineChars="0"/>
              <w:jc w:val="left"/>
              <w:rPr>
                <w:rFonts w:ascii="仿宋" w:hAnsi="仿宋" w:eastAsia="仿宋"/>
                <w:sz w:val="24"/>
              </w:rPr>
            </w:pPr>
            <w:r>
              <w:rPr>
                <w:rFonts w:hint="eastAsia" w:ascii="仿宋" w:hAnsi="仿宋" w:eastAsia="仿宋"/>
                <w:sz w:val="24"/>
              </w:rPr>
              <w:t>现状：23吨水罐车+8吨水罐车+23吨泡沫车+抢险救援车+压缩空气泡沫水罐车；</w:t>
            </w:r>
            <w:r>
              <w:rPr>
                <w:rFonts w:ascii="仿宋" w:hAnsi="仿宋" w:eastAsia="仿宋"/>
                <w:sz w:val="24"/>
              </w:rPr>
              <w:t>规划新增</w:t>
            </w:r>
            <w:r>
              <w:rPr>
                <w:rFonts w:hint="eastAsia" w:ascii="仿宋" w:hAnsi="仿宋" w:eastAsia="仿宋"/>
                <w:sz w:val="24"/>
              </w:rPr>
              <w:t>2台草原消防水罐车。</w:t>
            </w:r>
          </w:p>
        </w:tc>
        <w:tc>
          <w:tcPr>
            <w:tcW w:w="112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现状12人，规划期内达到</w:t>
            </w:r>
            <w:r>
              <w:rPr>
                <w:rFonts w:ascii="仿宋" w:hAnsi="仿宋" w:eastAsia="仿宋"/>
                <w:sz w:val="24"/>
              </w:rPr>
              <w:t>30</w:t>
            </w:r>
            <w:r>
              <w:rPr>
                <w:rFonts w:hint="eastAsia" w:ascii="仿宋" w:hAnsi="仿宋" w:eastAsia="仿宋"/>
                <w:sz w:val="24"/>
              </w:rPr>
              <w:t>人。</w:t>
            </w:r>
          </w:p>
        </w:tc>
        <w:tc>
          <w:tcPr>
            <w:tcW w:w="35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bl>
    <w:p>
      <w:pPr>
        <w:pStyle w:val="4"/>
        <w:spacing w:before="0" w:beforeLines="0" w:after="0" w:afterLines="0" w:line="240" w:lineRule="auto"/>
        <w:rPr>
          <w:rFonts w:hint="eastAsia" w:ascii="宋体" w:hAnsi="宋体"/>
          <w:szCs w:val="30"/>
        </w:rPr>
      </w:pPr>
      <w:bookmarkStart w:id="340" w:name="_Toc25261"/>
      <w:bookmarkStart w:id="341" w:name="_Toc22144"/>
      <w:bookmarkStart w:id="342" w:name="_Toc10929"/>
      <w:r>
        <w:rPr>
          <w:rFonts w:hint="eastAsia" w:ascii="宋体" w:hAnsi="宋体"/>
          <w:szCs w:val="30"/>
        </w:rPr>
        <w:t>5</w:t>
      </w:r>
      <w:r>
        <w:rPr>
          <w:rFonts w:ascii="宋体" w:hAnsi="宋体"/>
          <w:szCs w:val="30"/>
        </w:rPr>
        <w:t>.2.2乡镇专职消防队</w:t>
      </w:r>
      <w:bookmarkEnd w:id="340"/>
      <w:bookmarkEnd w:id="341"/>
      <w:bookmarkEnd w:id="342"/>
    </w:p>
    <w:p>
      <w:pPr>
        <w:spacing w:before="190" w:after="190"/>
        <w:ind w:firstLine="560"/>
        <w:rPr>
          <w:rFonts w:ascii="宋体" w:hAnsi="宋体"/>
        </w:rPr>
      </w:pPr>
      <w:r>
        <w:rPr>
          <w:rFonts w:hint="eastAsia" w:ascii="宋体" w:hAnsi="宋体"/>
        </w:rPr>
        <w:t>县域范围乡镇规划建设1个小型消防站、</w:t>
      </w:r>
      <w:r>
        <w:rPr>
          <w:rFonts w:ascii="宋体" w:hAnsi="宋体"/>
        </w:rPr>
        <w:t>4</w:t>
      </w:r>
      <w:r>
        <w:rPr>
          <w:rFonts w:hint="eastAsia" w:ascii="宋体" w:hAnsi="宋体"/>
        </w:rPr>
        <w:t>个乡镇专职（志愿）消防队，其中大水坑镇建设1个小型消防站，惠安堡镇在现有基础上提升为一级乡镇专职消防队，冯记沟乡在现有基础上提升为二级乡镇专职消防队，麻黄山乡、青山乡、王乐井乡新建乡镇志愿消防队。</w:t>
      </w:r>
      <w:bookmarkStart w:id="343" w:name="_Toc59386333"/>
    </w:p>
    <w:p>
      <w:pPr>
        <w:spacing w:before="190" w:after="190"/>
        <w:ind w:firstLine="560"/>
        <w:rPr>
          <w:rFonts w:ascii="宋体" w:hAnsi="宋体"/>
        </w:rPr>
      </w:pPr>
      <w:r>
        <w:rPr>
          <w:rFonts w:hint="eastAsia" w:ascii="宋体" w:hAnsi="宋体"/>
        </w:rPr>
        <w:t>（1）</w:t>
      </w:r>
      <w:r>
        <w:rPr>
          <w:rFonts w:hint="eastAsia" w:ascii="宋体" w:hAnsi="宋体"/>
          <w:szCs w:val="30"/>
        </w:rPr>
        <w:t>选址要求</w:t>
      </w:r>
      <w:bookmarkEnd w:id="343"/>
    </w:p>
    <w:p>
      <w:pPr>
        <w:spacing w:before="190" w:after="190"/>
        <w:ind w:firstLine="560"/>
        <w:rPr>
          <w:rFonts w:ascii="宋体" w:hAnsi="宋体"/>
        </w:rPr>
      </w:pPr>
      <w:r>
        <w:rPr>
          <w:rFonts w:hint="eastAsia" w:ascii="宋体" w:hAnsi="宋体"/>
        </w:rPr>
        <w:t>小型消防站、乡镇消防队</w:t>
      </w:r>
      <w:r>
        <w:rPr>
          <w:rFonts w:ascii="宋体" w:hAnsi="宋体"/>
        </w:rPr>
        <w:t>应设在辖区内的适中位置和便于车辆迅速出动的临街地段，消防车辆出入口宜设置交通信号灯、</w:t>
      </w:r>
      <w:r>
        <w:rPr>
          <w:rFonts w:hint="eastAsia" w:ascii="宋体" w:hAnsi="宋体"/>
        </w:rPr>
        <w:t>标</w:t>
      </w:r>
      <w:r>
        <w:rPr>
          <w:rFonts w:ascii="宋体" w:hAnsi="宋体"/>
        </w:rPr>
        <w:t>志、标线或隔离设施</w:t>
      </w:r>
      <w:r>
        <w:rPr>
          <w:rFonts w:hint="eastAsia" w:ascii="宋体" w:hAnsi="宋体"/>
        </w:rPr>
        <w:t>；</w:t>
      </w:r>
      <w:r>
        <w:rPr>
          <w:rFonts w:ascii="宋体" w:hAnsi="宋体"/>
        </w:rPr>
        <w:t>距医院、学校、幼儿园、托儿所、影</w:t>
      </w:r>
      <w:r>
        <w:rPr>
          <w:rFonts w:hint="eastAsia" w:ascii="宋体" w:hAnsi="宋体"/>
        </w:rPr>
        <w:t>剧</w:t>
      </w:r>
      <w:r>
        <w:rPr>
          <w:rFonts w:ascii="宋体" w:hAnsi="宋体"/>
        </w:rPr>
        <w:t>院、商场、体育场馆等公共建筑的主要疏散出口不应小于</w:t>
      </w:r>
      <w:r>
        <w:rPr>
          <w:rFonts w:hint="eastAsia" w:ascii="宋体" w:hAnsi="宋体"/>
        </w:rPr>
        <w:t>50</w:t>
      </w:r>
      <w:r>
        <w:rPr>
          <w:rFonts w:ascii="宋体" w:hAnsi="宋体"/>
        </w:rPr>
        <w:t>米</w:t>
      </w:r>
      <w:r>
        <w:rPr>
          <w:rFonts w:hint="eastAsia" w:ascii="宋体" w:hAnsi="宋体"/>
        </w:rPr>
        <w:t>；</w:t>
      </w:r>
      <w:r>
        <w:rPr>
          <w:rFonts w:ascii="宋体" w:hAnsi="宋体"/>
        </w:rPr>
        <w:t>辖区内有生产、贮在危险化学品单位的</w:t>
      </w:r>
      <w:r>
        <w:rPr>
          <w:rFonts w:hint="eastAsia" w:ascii="宋体" w:hAnsi="宋体"/>
        </w:rPr>
        <w:t>，</w:t>
      </w:r>
      <w:r>
        <w:rPr>
          <w:rFonts w:ascii="宋体" w:hAnsi="宋体"/>
        </w:rPr>
        <w:t>乡镇</w:t>
      </w:r>
      <w:r>
        <w:rPr>
          <w:rFonts w:hint="eastAsia" w:ascii="宋体" w:hAnsi="宋体"/>
        </w:rPr>
        <w:t>消防队</w:t>
      </w:r>
      <w:r>
        <w:rPr>
          <w:rFonts w:ascii="宋体" w:hAnsi="宋体"/>
        </w:rPr>
        <w:t>应设置在常年主导风向的上风或侧风处，其边界距上述危险部位不宜小于200米。</w:t>
      </w:r>
      <w:bookmarkStart w:id="344" w:name="_Toc59386334"/>
    </w:p>
    <w:p>
      <w:pPr>
        <w:spacing w:before="190" w:after="190"/>
        <w:ind w:firstLine="560"/>
        <w:rPr>
          <w:rFonts w:ascii="宋体" w:hAnsi="宋体"/>
        </w:rPr>
      </w:pPr>
      <w:r>
        <w:rPr>
          <w:rFonts w:hint="eastAsia" w:ascii="宋体" w:hAnsi="宋体"/>
        </w:rPr>
        <w:t>（2）</w:t>
      </w:r>
      <w:r>
        <w:rPr>
          <w:rFonts w:hint="eastAsia" w:ascii="宋体" w:hAnsi="宋体"/>
          <w:szCs w:val="30"/>
        </w:rPr>
        <w:t>装备及人员配置</w:t>
      </w:r>
      <w:bookmarkEnd w:id="344"/>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乡镇专职（志愿）消防队车辆、人员配置一览表</w:t>
      </w:r>
    </w:p>
    <w:tbl>
      <w:tblPr>
        <w:tblStyle w:val="10"/>
        <w:tblW w:w="5000"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028"/>
        <w:gridCol w:w="810"/>
        <w:gridCol w:w="1301"/>
        <w:gridCol w:w="2000"/>
        <w:gridCol w:w="820"/>
        <w:gridCol w:w="819"/>
        <w:gridCol w:w="1293"/>
        <w:gridCol w:w="457"/>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0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乡镇名称</w:t>
            </w:r>
          </w:p>
        </w:tc>
        <w:tc>
          <w:tcPr>
            <w:tcW w:w="479"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乡镇</w:t>
            </w:r>
          </w:p>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等级</w:t>
            </w:r>
          </w:p>
        </w:tc>
        <w:tc>
          <w:tcPr>
            <w:tcW w:w="76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消防站等级</w:t>
            </w:r>
          </w:p>
        </w:tc>
        <w:tc>
          <w:tcPr>
            <w:tcW w:w="1177"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水罐车或泡沫消防车</w:t>
            </w:r>
          </w:p>
        </w:tc>
        <w:tc>
          <w:tcPr>
            <w:tcW w:w="485"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消防摩托车</w:t>
            </w:r>
          </w:p>
        </w:tc>
        <w:tc>
          <w:tcPr>
            <w:tcW w:w="484" w:type="pct"/>
            <w:shd w:val="clear" w:color="auto" w:fill="A8D08D"/>
            <w:noWrap w:val="0"/>
            <w:vAlign w:val="center"/>
          </w:tcPr>
          <w:p>
            <w:pPr>
              <w:spacing w:before="0" w:beforeLines="0" w:after="0" w:afterLines="0" w:line="240" w:lineRule="auto"/>
              <w:ind w:firstLine="0" w:firstLineChars="0"/>
              <w:jc w:val="center"/>
              <w:rPr>
                <w:rFonts w:hint="eastAsia" w:ascii="仿宋" w:hAnsi="仿宋" w:eastAsia="仿宋"/>
                <w:b/>
                <w:bCs/>
                <w:sz w:val="24"/>
              </w:rPr>
            </w:pPr>
            <w:r>
              <w:rPr>
                <w:rFonts w:hint="eastAsia" w:ascii="仿宋" w:hAnsi="仿宋" w:eastAsia="仿宋"/>
                <w:b/>
                <w:bCs/>
                <w:sz w:val="24"/>
              </w:rPr>
              <w:t>消防员</w:t>
            </w:r>
          </w:p>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总人数</w:t>
            </w:r>
          </w:p>
        </w:tc>
        <w:tc>
          <w:tcPr>
            <w:tcW w:w="762"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其中专职消防员人数</w:t>
            </w:r>
          </w:p>
        </w:tc>
        <w:tc>
          <w:tcPr>
            <w:tcW w:w="239" w:type="pct"/>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大水坑镇</w:t>
            </w:r>
          </w:p>
        </w:tc>
        <w:tc>
          <w:tcPr>
            <w:tcW w:w="4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重点镇</w:t>
            </w:r>
          </w:p>
        </w:tc>
        <w:tc>
          <w:tcPr>
            <w:tcW w:w="76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小型消防站</w:t>
            </w:r>
          </w:p>
        </w:tc>
        <w:tc>
          <w:tcPr>
            <w:tcW w:w="11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≥3（不小于3吨）</w:t>
            </w:r>
          </w:p>
        </w:tc>
        <w:tc>
          <w:tcPr>
            <w:tcW w:w="48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48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7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23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惠安堡镇</w:t>
            </w:r>
          </w:p>
        </w:tc>
        <w:tc>
          <w:tcPr>
            <w:tcW w:w="4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重点镇</w:t>
            </w:r>
          </w:p>
        </w:tc>
        <w:tc>
          <w:tcPr>
            <w:tcW w:w="76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一级乡镇专职消防队</w:t>
            </w:r>
          </w:p>
        </w:tc>
        <w:tc>
          <w:tcPr>
            <w:tcW w:w="11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≥2（不小于1.5吨）</w:t>
            </w:r>
          </w:p>
        </w:tc>
        <w:tc>
          <w:tcPr>
            <w:tcW w:w="48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48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≥15</w:t>
            </w:r>
          </w:p>
        </w:tc>
        <w:tc>
          <w:tcPr>
            <w:tcW w:w="7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23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07" w:type="pct"/>
            <w:tcBorders>
              <w:left w:val="single" w:color="auto" w:sz="4" w:space="0"/>
              <w:right w:val="single" w:color="auto" w:sz="4"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冯记沟乡</w:t>
            </w:r>
          </w:p>
        </w:tc>
        <w:tc>
          <w:tcPr>
            <w:tcW w:w="479" w:type="pct"/>
            <w:tcBorders>
              <w:left w:val="single" w:color="auto" w:sz="4"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w:t>
            </w:r>
          </w:p>
        </w:tc>
        <w:tc>
          <w:tcPr>
            <w:tcW w:w="76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二级乡镇专职消防队</w:t>
            </w:r>
          </w:p>
        </w:tc>
        <w:tc>
          <w:tcPr>
            <w:tcW w:w="11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≥1（不小于1.5吨）</w:t>
            </w:r>
          </w:p>
        </w:tc>
        <w:tc>
          <w:tcPr>
            <w:tcW w:w="48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48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≥10</w:t>
            </w:r>
          </w:p>
        </w:tc>
        <w:tc>
          <w:tcPr>
            <w:tcW w:w="7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≥5</w:t>
            </w:r>
          </w:p>
        </w:tc>
        <w:tc>
          <w:tcPr>
            <w:tcW w:w="23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麻黄山乡</w:t>
            </w:r>
          </w:p>
        </w:tc>
        <w:tc>
          <w:tcPr>
            <w:tcW w:w="4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w:t>
            </w:r>
          </w:p>
        </w:tc>
        <w:tc>
          <w:tcPr>
            <w:tcW w:w="76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乡镇志愿消防队</w:t>
            </w:r>
          </w:p>
        </w:tc>
        <w:tc>
          <w:tcPr>
            <w:tcW w:w="11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≥1（不小于1.5吨）</w:t>
            </w:r>
          </w:p>
        </w:tc>
        <w:tc>
          <w:tcPr>
            <w:tcW w:w="48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48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7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23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青山乡</w:t>
            </w:r>
          </w:p>
        </w:tc>
        <w:tc>
          <w:tcPr>
            <w:tcW w:w="4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w:t>
            </w:r>
          </w:p>
        </w:tc>
        <w:tc>
          <w:tcPr>
            <w:tcW w:w="76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乡镇志愿消防队</w:t>
            </w:r>
          </w:p>
        </w:tc>
        <w:tc>
          <w:tcPr>
            <w:tcW w:w="11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≥1（不小于1.5吨）</w:t>
            </w:r>
          </w:p>
        </w:tc>
        <w:tc>
          <w:tcPr>
            <w:tcW w:w="48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w:t>
            </w:r>
          </w:p>
        </w:tc>
        <w:tc>
          <w:tcPr>
            <w:tcW w:w="48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7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23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60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王乐井乡</w:t>
            </w:r>
          </w:p>
        </w:tc>
        <w:tc>
          <w:tcPr>
            <w:tcW w:w="4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一般</w:t>
            </w:r>
          </w:p>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w:t>
            </w:r>
          </w:p>
        </w:tc>
        <w:tc>
          <w:tcPr>
            <w:tcW w:w="76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乡镇志愿消防队</w:t>
            </w:r>
          </w:p>
        </w:tc>
        <w:tc>
          <w:tcPr>
            <w:tcW w:w="1177"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≥1（不小于1.5吨）</w:t>
            </w:r>
          </w:p>
        </w:tc>
        <w:tc>
          <w:tcPr>
            <w:tcW w:w="485"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w:t>
            </w:r>
          </w:p>
        </w:tc>
        <w:tc>
          <w:tcPr>
            <w:tcW w:w="48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≥8</w:t>
            </w:r>
          </w:p>
        </w:tc>
        <w:tc>
          <w:tcPr>
            <w:tcW w:w="76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≥2</w:t>
            </w:r>
          </w:p>
        </w:tc>
        <w:tc>
          <w:tcPr>
            <w:tcW w:w="23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5000" w:type="pct"/>
            <w:gridSpan w:val="8"/>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乡镇消防队车辆、人员配置要求可根据当地实际情况进行调整</w:t>
            </w:r>
          </w:p>
        </w:tc>
      </w:tr>
    </w:tbl>
    <w:p>
      <w:pPr>
        <w:spacing w:before="190" w:after="190"/>
        <w:ind w:firstLine="560"/>
        <w:rPr>
          <w:rFonts w:ascii="宋体" w:hAnsi="宋体"/>
        </w:rPr>
      </w:pPr>
      <w:bookmarkStart w:id="345" w:name="_Toc59386335"/>
      <w:r>
        <w:rPr>
          <w:rFonts w:hint="eastAsia" w:ascii="宋体" w:hAnsi="宋体"/>
        </w:rPr>
        <w:t>（3）建设用地面积</w:t>
      </w:r>
      <w:bookmarkEnd w:id="345"/>
    </w:p>
    <w:p>
      <w:pPr>
        <w:spacing w:before="190" w:after="190"/>
        <w:ind w:firstLine="560"/>
        <w:rPr>
          <w:rFonts w:ascii="宋体" w:hAnsi="宋体"/>
        </w:rPr>
      </w:pPr>
      <w:r>
        <w:rPr>
          <w:rFonts w:hint="eastAsia" w:ascii="宋体" w:hAnsi="宋体"/>
        </w:rPr>
        <w:t>乡镇消防队的建设用地指标，应符合下列规定：</w:t>
      </w:r>
    </w:p>
    <w:p>
      <w:pPr>
        <w:spacing w:before="190" w:after="190"/>
        <w:ind w:firstLine="560"/>
        <w:rPr>
          <w:rFonts w:hint="eastAsia" w:ascii="宋体" w:hAnsi="宋体"/>
        </w:rPr>
      </w:pPr>
      <w:r>
        <w:rPr>
          <w:rFonts w:hint="eastAsia" w:ascii="宋体" w:hAnsi="宋体"/>
        </w:rPr>
        <w:t>1) 小型消防站1500平方米</w:t>
      </w:r>
    </w:p>
    <w:p>
      <w:pPr>
        <w:spacing w:before="190" w:after="190"/>
        <w:ind w:firstLine="560"/>
        <w:rPr>
          <w:rFonts w:ascii="宋体" w:hAnsi="宋体"/>
        </w:rPr>
      </w:pPr>
      <w:r>
        <w:rPr>
          <w:rFonts w:hint="eastAsia" w:ascii="宋体" w:hAnsi="宋体"/>
        </w:rPr>
        <w:t>2)一级乡镇专职消防队1000 平方米～1200平方米；</w:t>
      </w:r>
    </w:p>
    <w:p>
      <w:pPr>
        <w:spacing w:before="190" w:after="190"/>
        <w:ind w:firstLine="560"/>
        <w:rPr>
          <w:rFonts w:ascii="宋体" w:hAnsi="宋体"/>
        </w:rPr>
      </w:pPr>
      <w:r>
        <w:rPr>
          <w:rFonts w:hint="eastAsia" w:ascii="宋体" w:hAnsi="宋体"/>
        </w:rPr>
        <w:t>3)二级乡镇专职消防队700平方米～850平方米；</w:t>
      </w:r>
    </w:p>
    <w:p>
      <w:pPr>
        <w:spacing w:before="190" w:after="190"/>
        <w:ind w:firstLine="560"/>
        <w:rPr>
          <w:rFonts w:ascii="宋体" w:hAnsi="宋体"/>
        </w:rPr>
      </w:pPr>
      <w:r>
        <w:rPr>
          <w:rFonts w:hint="eastAsia" w:ascii="宋体" w:hAnsi="宋体"/>
        </w:rPr>
        <w:t>4)乡镇志愿消防队350 平方米～500 平方米。</w:t>
      </w:r>
    </w:p>
    <w:p>
      <w:pPr>
        <w:spacing w:before="190" w:after="190"/>
        <w:ind w:firstLine="560"/>
        <w:rPr>
          <w:rFonts w:hint="eastAsia" w:ascii="宋体" w:hAnsi="宋体"/>
        </w:rPr>
      </w:pPr>
      <w:r>
        <w:rPr>
          <w:rFonts w:hint="eastAsia" w:ascii="宋体" w:hAnsi="宋体"/>
        </w:rPr>
        <w:t>（4）</w:t>
      </w:r>
      <w:r>
        <w:rPr>
          <w:rFonts w:hint="eastAsia" w:ascii="宋体" w:hAnsi="宋体"/>
          <w:szCs w:val="30"/>
        </w:rPr>
        <w:t>建筑面积</w:t>
      </w:r>
    </w:p>
    <w:p>
      <w:pPr>
        <w:spacing w:before="190" w:after="190"/>
        <w:ind w:firstLine="560"/>
        <w:rPr>
          <w:rFonts w:hint="eastAsia"/>
        </w:rPr>
      </w:pPr>
      <w:r>
        <w:rPr>
          <w:rFonts w:hint="eastAsia"/>
        </w:rPr>
        <w:t>乡镇消防队的建筑面积指标，应符合下列规定：</w:t>
      </w:r>
    </w:p>
    <w:p>
      <w:pPr>
        <w:spacing w:before="190" w:after="190"/>
        <w:ind w:firstLine="560"/>
        <w:rPr>
          <w:rFonts w:hint="eastAsia"/>
        </w:rPr>
      </w:pPr>
      <w:r>
        <w:rPr>
          <w:rFonts w:hint="eastAsia" w:ascii="宋体" w:hAnsi="宋体"/>
        </w:rPr>
        <w:t>1)</w:t>
      </w:r>
      <w:r>
        <w:rPr>
          <w:rFonts w:hint="eastAsia"/>
        </w:rPr>
        <w:t>小型消防站1</w:t>
      </w:r>
      <w:r>
        <w:t>0</w:t>
      </w:r>
      <w:r>
        <w:rPr>
          <w:rFonts w:hint="eastAsia"/>
        </w:rPr>
        <w:t>00平方米</w:t>
      </w:r>
    </w:p>
    <w:p>
      <w:pPr>
        <w:spacing w:before="190" w:after="190"/>
        <w:ind w:firstLine="560"/>
        <w:rPr>
          <w:rFonts w:hint="eastAsia" w:ascii="宋体" w:hAnsi="宋体"/>
        </w:rPr>
      </w:pPr>
      <w:r>
        <w:rPr>
          <w:rFonts w:hint="eastAsia" w:ascii="宋体" w:hAnsi="宋体"/>
        </w:rPr>
        <w:t>2)一级乡镇专职消防队600 平方米～700平方米；</w:t>
      </w:r>
    </w:p>
    <w:p>
      <w:pPr>
        <w:spacing w:before="190" w:after="190"/>
        <w:ind w:firstLine="560"/>
        <w:rPr>
          <w:rFonts w:hint="eastAsia" w:ascii="宋体" w:hAnsi="宋体"/>
        </w:rPr>
      </w:pPr>
      <w:r>
        <w:rPr>
          <w:rFonts w:hint="eastAsia" w:ascii="宋体" w:hAnsi="宋体"/>
        </w:rPr>
        <w:t>3)二级乡镇专职消防队400平方米～500平方米；</w:t>
      </w:r>
    </w:p>
    <w:p>
      <w:pPr>
        <w:spacing w:before="190" w:after="190"/>
        <w:ind w:firstLine="560"/>
        <w:rPr>
          <w:rFonts w:ascii="宋体" w:hAnsi="宋体"/>
        </w:rPr>
      </w:pPr>
      <w:r>
        <w:rPr>
          <w:rFonts w:hint="eastAsia" w:ascii="宋体" w:hAnsi="宋体"/>
        </w:rPr>
        <w:t>4)乡镇志愿消防队200 平方米～250 平方米。</w:t>
      </w:r>
    </w:p>
    <w:p>
      <w:pPr>
        <w:pStyle w:val="4"/>
        <w:spacing w:before="0" w:beforeLines="0" w:after="0" w:afterLines="0" w:line="240" w:lineRule="auto"/>
        <w:rPr>
          <w:rFonts w:ascii="宋体" w:hAnsi="宋体"/>
          <w:szCs w:val="30"/>
        </w:rPr>
      </w:pPr>
      <w:bookmarkStart w:id="346" w:name="_Toc598"/>
      <w:bookmarkStart w:id="347" w:name="_Toc13983"/>
      <w:bookmarkStart w:id="348" w:name="_Toc26814"/>
      <w:r>
        <w:rPr>
          <w:rFonts w:hint="eastAsia" w:ascii="宋体" w:hAnsi="宋体"/>
          <w:szCs w:val="30"/>
        </w:rPr>
        <w:t>5</w:t>
      </w:r>
      <w:r>
        <w:rPr>
          <w:rFonts w:ascii="宋体" w:hAnsi="宋体"/>
          <w:szCs w:val="30"/>
        </w:rPr>
        <w:t>.2.3企业专职消防队</w:t>
      </w:r>
      <w:bookmarkEnd w:id="346"/>
      <w:bookmarkEnd w:id="347"/>
      <w:bookmarkEnd w:id="348"/>
    </w:p>
    <w:p>
      <w:pPr>
        <w:spacing w:before="190" w:after="190"/>
        <w:ind w:firstLine="560"/>
        <w:rPr>
          <w:rFonts w:ascii="宋体" w:hAnsi="宋体"/>
        </w:rPr>
      </w:pPr>
      <w:r>
        <w:rPr>
          <w:rFonts w:hint="eastAsia" w:ascii="宋体" w:hAnsi="宋体"/>
        </w:rPr>
        <w:t>企业专职消防队既保障本单位的消防安全，也是城市消防救援的一支辅助力量。企业专职消防队建设应按照《企业事业单位专职消防队组织条例》的要求执行，针对盐池县工业园区以石油化工为主导产业的特点，企业专职消防队的建设应符合相关规范标准。</w:t>
      </w:r>
    </w:p>
    <w:p>
      <w:pPr>
        <w:spacing w:before="190" w:after="190"/>
        <w:ind w:firstLine="560"/>
        <w:rPr>
          <w:rFonts w:ascii="宋体" w:hAnsi="宋体"/>
        </w:rPr>
      </w:pPr>
      <w:r>
        <w:rPr>
          <w:rFonts w:hint="eastAsia" w:ascii="宋体" w:hAnsi="宋体"/>
        </w:rPr>
        <w:t>现有宁夏宁鲁石化、宁夏金裕海化工已建设企业专职消防队，应不断规范队、站建设，更新灭火装备，加强消防救援训练，不断提高灭火作战能力。</w:t>
      </w:r>
    </w:p>
    <w:p>
      <w:pPr>
        <w:spacing w:before="190" w:after="190"/>
        <w:ind w:firstLine="560"/>
        <w:rPr>
          <w:rFonts w:ascii="宋体" w:hAnsi="宋体"/>
        </w:rPr>
      </w:pPr>
      <w:r>
        <w:rPr>
          <w:rFonts w:hint="eastAsia" w:ascii="宋体" w:hAnsi="宋体"/>
        </w:rPr>
        <w:t>今后凡属新建火灾危险性较大、距城市消防站较远的大型企事业单位和大型专用仓库、储油储气基地等单位及城市消防救援部门认为需要建立专职消防队的其他单位，均应建立专职消防队。</w:t>
      </w:r>
    </w:p>
    <w:p>
      <w:pPr>
        <w:spacing w:before="190" w:after="190"/>
        <w:ind w:firstLine="560"/>
        <w:rPr>
          <w:rFonts w:ascii="仿宋" w:hAnsi="仿宋" w:eastAsia="仿宋"/>
          <w:b/>
          <w:bCs/>
          <w:sz w:val="24"/>
        </w:rPr>
      </w:pPr>
      <w:r>
        <w:rPr>
          <w:rFonts w:hint="eastAsia" w:ascii="宋体" w:hAnsi="宋体"/>
        </w:rPr>
        <w:t>专职消防队应接受城市消防救援部门的业务指导，发生火灾时接受城市消防救援机构的现场指挥。</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企业、政府专职消防队一览表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514"/>
        <w:gridCol w:w="1494"/>
        <w:gridCol w:w="1624"/>
        <w:gridCol w:w="945"/>
        <w:gridCol w:w="1063"/>
        <w:gridCol w:w="2364"/>
        <w:gridCol w:w="524"/>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jc w:val="center"/>
        </w:trPr>
        <w:tc>
          <w:tcPr>
            <w:tcW w:w="30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序号</w:t>
            </w:r>
          </w:p>
        </w:tc>
        <w:tc>
          <w:tcPr>
            <w:tcW w:w="87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名称</w:t>
            </w:r>
          </w:p>
        </w:tc>
        <w:tc>
          <w:tcPr>
            <w:tcW w:w="95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规划性质</w:t>
            </w:r>
          </w:p>
        </w:tc>
        <w:tc>
          <w:tcPr>
            <w:tcW w:w="55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地址</w:t>
            </w:r>
          </w:p>
        </w:tc>
        <w:tc>
          <w:tcPr>
            <w:tcW w:w="62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消防人员（人）</w:t>
            </w:r>
          </w:p>
        </w:tc>
        <w:tc>
          <w:tcPr>
            <w:tcW w:w="138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消防车辆（台）</w:t>
            </w:r>
          </w:p>
        </w:tc>
        <w:tc>
          <w:tcPr>
            <w:tcW w:w="307"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jc w:val="center"/>
        </w:trPr>
        <w:tc>
          <w:tcPr>
            <w:tcW w:w="30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1</w:t>
            </w:r>
          </w:p>
        </w:tc>
        <w:tc>
          <w:tcPr>
            <w:tcW w:w="87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宁夏宁鲁石化企业消防队</w:t>
            </w:r>
          </w:p>
        </w:tc>
        <w:tc>
          <w:tcPr>
            <w:tcW w:w="95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企业专职消防队</w:t>
            </w:r>
          </w:p>
        </w:tc>
        <w:tc>
          <w:tcPr>
            <w:tcW w:w="55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工业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园区</w:t>
            </w:r>
          </w:p>
        </w:tc>
        <w:tc>
          <w:tcPr>
            <w:tcW w:w="6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34人</w:t>
            </w:r>
          </w:p>
        </w:tc>
        <w:tc>
          <w:tcPr>
            <w:tcW w:w="138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3台（水15吨+泡沫10吨+干粉2吨）</w:t>
            </w:r>
          </w:p>
        </w:tc>
        <w:tc>
          <w:tcPr>
            <w:tcW w:w="30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jc w:val="center"/>
        </w:trPr>
        <w:tc>
          <w:tcPr>
            <w:tcW w:w="30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2</w:t>
            </w:r>
          </w:p>
        </w:tc>
        <w:tc>
          <w:tcPr>
            <w:tcW w:w="87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宁夏金裕海化工企业消防队</w:t>
            </w:r>
          </w:p>
        </w:tc>
        <w:tc>
          <w:tcPr>
            <w:tcW w:w="95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企业专职消防队</w:t>
            </w:r>
          </w:p>
        </w:tc>
        <w:tc>
          <w:tcPr>
            <w:tcW w:w="55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工业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园区</w:t>
            </w:r>
          </w:p>
        </w:tc>
        <w:tc>
          <w:tcPr>
            <w:tcW w:w="6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34人</w:t>
            </w:r>
          </w:p>
        </w:tc>
        <w:tc>
          <w:tcPr>
            <w:tcW w:w="138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1台（水10吨+泡沫2吨）</w:t>
            </w:r>
          </w:p>
        </w:tc>
        <w:tc>
          <w:tcPr>
            <w:tcW w:w="30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r>
    </w:tbl>
    <w:p>
      <w:pPr>
        <w:pStyle w:val="3"/>
        <w:spacing w:before="190" w:after="190"/>
        <w:rPr>
          <w:rFonts w:ascii="宋体" w:hAnsi="宋体"/>
          <w:szCs w:val="32"/>
        </w:rPr>
      </w:pPr>
      <w:bookmarkStart w:id="349" w:name="_Toc22893"/>
      <w:bookmarkStart w:id="350" w:name="_Toc11599"/>
      <w:bookmarkStart w:id="351" w:name="_Toc32476"/>
      <w:r>
        <w:rPr>
          <w:rFonts w:hint="eastAsia" w:ascii="宋体" w:hAnsi="宋体"/>
          <w:szCs w:val="32"/>
        </w:rPr>
        <w:t>5.3县域消防供水规划</w:t>
      </w:r>
      <w:bookmarkEnd w:id="349"/>
      <w:bookmarkEnd w:id="350"/>
      <w:bookmarkEnd w:id="351"/>
    </w:p>
    <w:p>
      <w:pPr>
        <w:spacing w:before="190" w:after="190"/>
        <w:ind w:firstLine="560"/>
        <w:rPr>
          <w:rFonts w:ascii="宋体" w:hAnsi="宋体"/>
        </w:rPr>
      </w:pPr>
      <w:r>
        <w:rPr>
          <w:rFonts w:hint="eastAsia" w:ascii="宋体" w:hAnsi="宋体"/>
        </w:rPr>
        <w:t>县域内的各乡镇、工矿区、村庄应结合生产、生活供水设施建设，同步建设消防供水设施，并尽量采用消防、生产、生活合一的给水系统。同时，应充分利用河流、湖泊、堰塘、水渠等天然水源，条件允许的乡镇可考虑建设消防应急水源。</w:t>
      </w:r>
    </w:p>
    <w:p>
      <w:pPr>
        <w:spacing w:before="190" w:after="190"/>
        <w:ind w:firstLine="560"/>
        <w:rPr>
          <w:rFonts w:ascii="宋体" w:hAnsi="宋体"/>
        </w:rPr>
      </w:pPr>
      <w:r>
        <w:rPr>
          <w:rFonts w:hint="eastAsia" w:ascii="宋体" w:hAnsi="宋体"/>
        </w:rPr>
        <w:t>无条件建设消防给水设施的村镇，应从实际出发、因地制宜，采取提高建筑耐火等级、增大建筑间距、加强防火安全管理等措施，确保安全。</w:t>
      </w:r>
    </w:p>
    <w:p>
      <w:pPr>
        <w:pStyle w:val="3"/>
        <w:spacing w:before="190" w:after="190"/>
        <w:rPr>
          <w:rFonts w:ascii="宋体" w:hAnsi="宋体"/>
          <w:szCs w:val="32"/>
        </w:rPr>
      </w:pPr>
      <w:bookmarkStart w:id="352" w:name="_Toc24371"/>
      <w:bookmarkStart w:id="353" w:name="_Toc6722"/>
      <w:bookmarkStart w:id="354" w:name="_Toc28894"/>
      <w:r>
        <w:rPr>
          <w:rFonts w:hint="eastAsia" w:ascii="宋体" w:hAnsi="宋体"/>
          <w:szCs w:val="32"/>
        </w:rPr>
        <w:t>5.4县域消防通信规划</w:t>
      </w:r>
      <w:bookmarkEnd w:id="352"/>
      <w:bookmarkEnd w:id="353"/>
      <w:bookmarkEnd w:id="354"/>
    </w:p>
    <w:p>
      <w:pPr>
        <w:spacing w:before="190" w:after="190"/>
        <w:ind w:firstLine="560"/>
        <w:rPr>
          <w:rFonts w:ascii="宋体" w:hAnsi="宋体"/>
        </w:rPr>
      </w:pPr>
      <w:r>
        <w:rPr>
          <w:rFonts w:hint="eastAsia" w:ascii="宋体" w:hAnsi="宋体"/>
        </w:rPr>
        <w:t>县消防通信指挥中心设于中心城区，县域消防通信采取集中接警方式。</w:t>
      </w:r>
    </w:p>
    <w:p>
      <w:pPr>
        <w:spacing w:before="190" w:after="190"/>
        <w:ind w:firstLine="560"/>
        <w:rPr>
          <w:rFonts w:ascii="宋体" w:hAnsi="宋体"/>
        </w:rPr>
      </w:pPr>
      <w:r>
        <w:rPr>
          <w:rFonts w:hint="eastAsia" w:ascii="宋体" w:hAnsi="宋体"/>
        </w:rPr>
        <w:t>消防指挥中心与各乡镇专职消防队之间设1对火警调度专用线，与各有关单位（供水、供电、供气、医疗急救、交通管理、气象、电信、地震、环保等单位）之间设1对联络专线，与各消防重点单位之间设1对119火灾报警专用线。</w:t>
      </w:r>
    </w:p>
    <w:p>
      <w:pPr>
        <w:pStyle w:val="3"/>
        <w:spacing w:before="190" w:after="190"/>
        <w:rPr>
          <w:rFonts w:ascii="宋体" w:hAnsi="宋体"/>
          <w:szCs w:val="32"/>
        </w:rPr>
      </w:pPr>
      <w:bookmarkStart w:id="355" w:name="_Toc9893"/>
      <w:bookmarkStart w:id="356" w:name="_Toc7229"/>
      <w:bookmarkStart w:id="357" w:name="_Toc20042"/>
      <w:r>
        <w:rPr>
          <w:rFonts w:hint="eastAsia" w:ascii="宋体" w:hAnsi="宋体"/>
          <w:szCs w:val="32"/>
        </w:rPr>
        <w:t>5.5县域消防通道规划</w:t>
      </w:r>
      <w:bookmarkEnd w:id="355"/>
      <w:bookmarkEnd w:id="356"/>
      <w:bookmarkEnd w:id="357"/>
    </w:p>
    <w:p>
      <w:pPr>
        <w:spacing w:before="190" w:after="190"/>
        <w:ind w:firstLine="560"/>
        <w:rPr>
          <w:rFonts w:ascii="宋体" w:hAnsi="宋体"/>
        </w:rPr>
      </w:pPr>
      <w:r>
        <w:rPr>
          <w:rFonts w:ascii="宋体" w:hAnsi="宋体"/>
        </w:rPr>
        <w:t>县域内各级公路是消防站执行任务及县域消防力量相互支援的主要通道，同时也是远距离安全疏散的主要通道，应根据</w:t>
      </w:r>
      <w:r>
        <w:rPr>
          <w:rFonts w:hint="eastAsia" w:ascii="宋体" w:hAnsi="宋体"/>
        </w:rPr>
        <w:t>《盐池县城市总体规划（2010-2030）》</w:t>
      </w:r>
      <w:r>
        <w:rPr>
          <w:rFonts w:ascii="宋体" w:hAnsi="宋体"/>
        </w:rPr>
        <w:t>中关于县域道路交通规划的规定进行建设，并加强日常维护管理，保持良好技术状态。</w:t>
      </w:r>
    </w:p>
    <w:p>
      <w:pPr>
        <w:spacing w:before="190" w:after="190"/>
        <w:ind w:firstLine="560"/>
        <w:rPr>
          <w:rFonts w:ascii="宋体" w:hAnsi="宋体"/>
        </w:rPr>
      </w:pPr>
      <w:r>
        <w:rPr>
          <w:rFonts w:hint="eastAsia" w:ascii="宋体" w:hAnsi="宋体"/>
        </w:rPr>
        <w:t>县域危险品运输线路由国道211、国道307、省道304、县道盐惠路等组成。</w:t>
      </w:r>
    </w:p>
    <w:p>
      <w:pPr>
        <w:pStyle w:val="3"/>
        <w:spacing w:before="190" w:after="190"/>
        <w:rPr>
          <w:rFonts w:ascii="宋体" w:hAnsi="宋体"/>
          <w:szCs w:val="32"/>
        </w:rPr>
      </w:pPr>
      <w:bookmarkStart w:id="358" w:name="_Toc7455"/>
      <w:bookmarkStart w:id="359" w:name="_Toc15930"/>
      <w:bookmarkStart w:id="360" w:name="_Toc28477"/>
      <w:r>
        <w:rPr>
          <w:rFonts w:hint="eastAsia" w:ascii="宋体" w:hAnsi="宋体"/>
          <w:szCs w:val="32"/>
        </w:rPr>
        <w:t>5</w:t>
      </w:r>
      <w:r>
        <w:rPr>
          <w:rFonts w:ascii="宋体" w:hAnsi="宋体"/>
          <w:szCs w:val="32"/>
        </w:rPr>
        <w:t>.6花马池镇域</w:t>
      </w:r>
      <w:r>
        <w:rPr>
          <w:rFonts w:hint="eastAsia" w:ascii="宋体" w:hAnsi="宋体"/>
          <w:szCs w:val="32"/>
        </w:rPr>
        <w:t>农村</w:t>
      </w:r>
      <w:r>
        <w:rPr>
          <w:rFonts w:ascii="宋体" w:hAnsi="宋体"/>
          <w:szCs w:val="32"/>
        </w:rPr>
        <w:t>消防规划</w:t>
      </w:r>
      <w:bookmarkEnd w:id="358"/>
      <w:bookmarkEnd w:id="359"/>
      <w:bookmarkEnd w:id="360"/>
    </w:p>
    <w:p>
      <w:pPr>
        <w:widowControl/>
        <w:spacing w:before="190" w:after="190"/>
        <w:ind w:firstLine="560"/>
        <w:jc w:val="left"/>
        <w:rPr>
          <w:rFonts w:hint="eastAsia" w:ascii="宋体" w:hAnsi="宋体" w:cs="宋体"/>
          <w:szCs w:val="28"/>
        </w:rPr>
      </w:pPr>
      <w:r>
        <w:rPr>
          <w:rFonts w:hint="eastAsia" w:ascii="宋体" w:hAnsi="宋体" w:cs="宋体"/>
          <w:szCs w:val="28"/>
        </w:rPr>
        <w:t>镇域农村消防安全规划应当符合国家消防安全技术规范和标准的要求。消防安全布局、消防水源、消防车通道建设应当纳入村庄建设规划。</w:t>
      </w:r>
    </w:p>
    <w:p>
      <w:pPr>
        <w:pStyle w:val="4"/>
        <w:spacing w:before="0" w:beforeLines="0" w:after="0" w:afterLines="0" w:line="240" w:lineRule="auto"/>
        <w:rPr>
          <w:rFonts w:hint="eastAsia" w:ascii="宋体" w:hAnsi="宋体"/>
          <w:szCs w:val="30"/>
        </w:rPr>
      </w:pPr>
      <w:bookmarkStart w:id="361" w:name="_Toc14080"/>
      <w:bookmarkStart w:id="362" w:name="_Toc11252"/>
      <w:bookmarkStart w:id="363" w:name="_Toc14421"/>
      <w:bookmarkStart w:id="364" w:name="_Toc24045"/>
      <w:bookmarkStart w:id="365" w:name="_Toc896"/>
      <w:r>
        <w:rPr>
          <w:rFonts w:hint="eastAsia" w:ascii="宋体" w:hAnsi="宋体"/>
          <w:szCs w:val="30"/>
        </w:rPr>
        <w:t>5.</w:t>
      </w:r>
      <w:r>
        <w:rPr>
          <w:rFonts w:ascii="宋体" w:hAnsi="宋体"/>
          <w:szCs w:val="30"/>
        </w:rPr>
        <w:t>6.1镇域</w:t>
      </w:r>
      <w:r>
        <w:rPr>
          <w:rFonts w:hint="eastAsia" w:ascii="宋体" w:hAnsi="宋体"/>
          <w:szCs w:val="30"/>
        </w:rPr>
        <w:t>农村</w:t>
      </w:r>
      <w:r>
        <w:rPr>
          <w:rFonts w:ascii="宋体" w:hAnsi="宋体"/>
          <w:szCs w:val="30"/>
        </w:rPr>
        <w:t>消防安全</w:t>
      </w:r>
      <w:r>
        <w:rPr>
          <w:rFonts w:hint="eastAsia" w:ascii="宋体" w:hAnsi="宋体"/>
          <w:szCs w:val="30"/>
        </w:rPr>
        <w:t>体系建设</w:t>
      </w:r>
      <w:bookmarkEnd w:id="361"/>
      <w:bookmarkEnd w:id="362"/>
      <w:bookmarkEnd w:id="363"/>
      <w:bookmarkEnd w:id="364"/>
    </w:p>
    <w:p>
      <w:pPr>
        <w:spacing w:before="0" w:beforeLines="0" w:after="0" w:afterLines="0"/>
        <w:ind w:firstLine="560"/>
        <w:jc w:val="left"/>
        <w:rPr>
          <w:rFonts w:ascii="宋体" w:hAnsi="宋体" w:cs="宋体"/>
          <w:szCs w:val="28"/>
        </w:rPr>
      </w:pPr>
      <w:r>
        <w:rPr>
          <w:rFonts w:hint="eastAsia" w:ascii="宋体" w:hAnsi="宋体" w:cs="宋体"/>
          <w:szCs w:val="28"/>
        </w:rPr>
        <w:t>（1）长城村、沟沿村、佟记圈村、四墩子村、田记掌村、八岔梁村、郭记沟村、柳杨堡村、皖记沟村、沙边子村、东塘村、冒寨子村、李记沟村、红沟梁村、高利乌苏村、苏步井村、李华台村、芨芨沟村、硝池子村19个行政村依托村委会建立村民志愿消防队，村民志愿消防队为群众性的不脱产消防队伍，由村委会负责组织领导和管理，业务上接受盐池县花马池消防救援站的指导。</w:t>
      </w:r>
    </w:p>
    <w:p>
      <w:pPr>
        <w:spacing w:before="0" w:beforeLines="0" w:after="0" w:afterLines="0"/>
        <w:ind w:firstLine="560"/>
        <w:jc w:val="left"/>
        <w:rPr>
          <w:rFonts w:ascii="宋体" w:hAnsi="宋体" w:cs="宋体"/>
          <w:szCs w:val="28"/>
        </w:rPr>
      </w:pPr>
      <w:r>
        <w:rPr>
          <w:rFonts w:hint="eastAsia" w:ascii="宋体" w:hAnsi="宋体" w:cs="宋体"/>
          <w:szCs w:val="28"/>
        </w:rPr>
        <w:t>（2）村民志愿消防队责任范围为各村行政区划范围。</w:t>
      </w:r>
    </w:p>
    <w:p>
      <w:pPr>
        <w:spacing w:before="0" w:beforeLines="0" w:after="0" w:afterLines="0"/>
        <w:ind w:firstLine="560"/>
        <w:jc w:val="left"/>
        <w:rPr>
          <w:rFonts w:hint="eastAsia" w:ascii="宋体" w:hAnsi="宋体" w:cs="宋体"/>
          <w:szCs w:val="28"/>
        </w:rPr>
      </w:pPr>
      <w:r>
        <w:rPr>
          <w:rFonts w:hint="eastAsia" w:ascii="宋体" w:hAnsi="宋体" w:cs="宋体"/>
          <w:szCs w:val="28"/>
        </w:rPr>
        <w:t>（3）村民志愿消防队装备按微型消防站标准配备，有条件的村庄可配备1辆消防摩托。</w:t>
      </w:r>
    </w:p>
    <w:p>
      <w:pPr>
        <w:spacing w:before="0" w:beforeLines="0" w:after="0" w:afterLines="0"/>
        <w:ind w:firstLine="560"/>
        <w:jc w:val="left"/>
        <w:rPr>
          <w:rFonts w:hint="eastAsia" w:ascii="宋体" w:hAnsi="宋体" w:cs="宋体"/>
          <w:szCs w:val="28"/>
        </w:rPr>
      </w:pPr>
      <w:r>
        <w:rPr>
          <w:rFonts w:hint="eastAsia" w:ascii="宋体" w:hAnsi="宋体" w:cs="宋体"/>
          <w:szCs w:val="28"/>
        </w:rPr>
        <w:t>（</w:t>
      </w:r>
      <w:r>
        <w:rPr>
          <w:rFonts w:ascii="宋体" w:hAnsi="宋体" w:cs="宋体"/>
          <w:szCs w:val="28"/>
        </w:rPr>
        <w:t>3</w:t>
      </w:r>
      <w:r>
        <w:rPr>
          <w:rFonts w:hint="eastAsia" w:ascii="宋体" w:hAnsi="宋体" w:cs="宋体"/>
          <w:szCs w:val="28"/>
        </w:rPr>
        <w:t>）镇域范围形成以花马池消防救援站为主，村民志愿消防队为辅的镇域消防安全体系。</w:t>
      </w:r>
    </w:p>
    <w:p>
      <w:pPr>
        <w:spacing w:before="0" w:beforeLines="0" w:after="0" w:afterLines="0"/>
        <w:ind w:firstLine="0" w:firstLineChars="0"/>
        <w:jc w:val="center"/>
        <w:rPr>
          <w:rFonts w:hint="eastAsia" w:ascii="仿宋" w:hAnsi="仿宋" w:eastAsia="仿宋"/>
          <w:b/>
          <w:bCs/>
          <w:sz w:val="24"/>
        </w:rPr>
      </w:pPr>
      <w:r>
        <w:rPr>
          <w:rFonts w:hint="eastAsia" w:ascii="仿宋" w:hAnsi="仿宋" w:eastAsia="仿宋"/>
          <w:b/>
          <w:bCs/>
          <w:sz w:val="24"/>
        </w:rPr>
        <w:t>镇域消防队伍建设一览表</w:t>
      </w:r>
    </w:p>
    <w:tbl>
      <w:tblPr>
        <w:tblStyle w:val="10"/>
        <w:tblW w:w="5000"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843"/>
        <w:gridCol w:w="2983"/>
        <w:gridCol w:w="1741"/>
        <w:gridCol w:w="2113"/>
        <w:gridCol w:w="848"/>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trPr>
        <w:tc>
          <w:tcPr>
            <w:tcW w:w="494" w:type="pct"/>
            <w:shd w:val="clear" w:color="auto" w:fill="A8D08D"/>
            <w:noWrap w:val="0"/>
            <w:vAlign w:val="top"/>
          </w:tcPr>
          <w:p>
            <w:pPr>
              <w:spacing w:before="0" w:beforeLines="0" w:after="0" w:afterLines="0" w:line="240" w:lineRule="auto"/>
              <w:ind w:firstLine="0" w:firstLineChars="0"/>
              <w:jc w:val="center"/>
              <w:rPr>
                <w:rFonts w:ascii="仿宋" w:hAnsi="仿宋" w:eastAsia="仿宋"/>
                <w:b/>
                <w:bCs/>
                <w:kern w:val="0"/>
                <w:sz w:val="24"/>
                <w:lang w:eastAsia="en-US"/>
              </w:rPr>
            </w:pPr>
            <w:r>
              <w:rPr>
                <w:rFonts w:ascii="仿宋" w:hAnsi="仿宋" w:eastAsia="仿宋"/>
                <w:b/>
                <w:bCs/>
                <w:kern w:val="0"/>
                <w:sz w:val="24"/>
                <w:lang w:eastAsia="en-US"/>
              </w:rPr>
              <w:t>序号</w:t>
            </w:r>
          </w:p>
        </w:tc>
        <w:tc>
          <w:tcPr>
            <w:tcW w:w="1749" w:type="pct"/>
            <w:shd w:val="clear" w:color="auto" w:fill="A8D08D"/>
            <w:noWrap w:val="0"/>
            <w:vAlign w:val="top"/>
          </w:tcPr>
          <w:p>
            <w:pPr>
              <w:spacing w:before="0" w:beforeLines="0" w:after="0" w:afterLines="0" w:line="240" w:lineRule="auto"/>
              <w:ind w:firstLine="0" w:firstLineChars="0"/>
              <w:jc w:val="center"/>
              <w:rPr>
                <w:rFonts w:ascii="仿宋" w:hAnsi="仿宋" w:eastAsia="仿宋"/>
                <w:b/>
                <w:bCs/>
                <w:kern w:val="0"/>
                <w:sz w:val="24"/>
                <w:lang w:eastAsia="en-US"/>
              </w:rPr>
            </w:pPr>
            <w:r>
              <w:rPr>
                <w:rFonts w:ascii="仿宋" w:hAnsi="仿宋" w:eastAsia="仿宋"/>
                <w:b/>
                <w:bCs/>
                <w:kern w:val="0"/>
                <w:sz w:val="24"/>
                <w:lang w:eastAsia="en-US"/>
              </w:rPr>
              <w:t>名称</w:t>
            </w:r>
          </w:p>
        </w:tc>
        <w:tc>
          <w:tcPr>
            <w:tcW w:w="1021" w:type="pct"/>
            <w:shd w:val="clear" w:color="auto" w:fill="A8D08D"/>
            <w:noWrap w:val="0"/>
            <w:vAlign w:val="top"/>
          </w:tcPr>
          <w:p>
            <w:pPr>
              <w:spacing w:before="0" w:beforeLines="0" w:after="0" w:afterLines="0" w:line="240" w:lineRule="auto"/>
              <w:ind w:firstLine="0" w:firstLineChars="0"/>
              <w:jc w:val="center"/>
              <w:rPr>
                <w:rFonts w:ascii="仿宋" w:hAnsi="仿宋" w:eastAsia="仿宋"/>
                <w:b/>
                <w:bCs/>
                <w:kern w:val="0"/>
                <w:sz w:val="24"/>
              </w:rPr>
            </w:pPr>
            <w:r>
              <w:rPr>
                <w:rFonts w:hint="eastAsia" w:ascii="仿宋" w:hAnsi="仿宋" w:eastAsia="仿宋"/>
                <w:b/>
                <w:bCs/>
                <w:kern w:val="0"/>
                <w:sz w:val="24"/>
              </w:rPr>
              <w:t>性质</w:t>
            </w:r>
          </w:p>
        </w:tc>
        <w:tc>
          <w:tcPr>
            <w:tcW w:w="1239" w:type="pct"/>
            <w:shd w:val="clear" w:color="auto" w:fill="A8D08D"/>
            <w:noWrap w:val="0"/>
            <w:vAlign w:val="top"/>
          </w:tcPr>
          <w:p>
            <w:pPr>
              <w:spacing w:before="0" w:beforeLines="0" w:after="0" w:afterLines="0" w:line="240" w:lineRule="auto"/>
              <w:ind w:firstLine="0" w:firstLineChars="0"/>
              <w:jc w:val="center"/>
              <w:rPr>
                <w:rFonts w:ascii="仿宋" w:hAnsi="仿宋" w:eastAsia="仿宋"/>
                <w:b/>
                <w:bCs/>
                <w:kern w:val="0"/>
                <w:sz w:val="24"/>
              </w:rPr>
            </w:pPr>
            <w:r>
              <w:rPr>
                <w:rFonts w:hint="eastAsia" w:ascii="仿宋" w:hAnsi="仿宋" w:eastAsia="仿宋"/>
                <w:b/>
                <w:bCs/>
                <w:kern w:val="0"/>
                <w:sz w:val="24"/>
              </w:rPr>
              <w:t>责任区</w:t>
            </w:r>
          </w:p>
        </w:tc>
        <w:tc>
          <w:tcPr>
            <w:tcW w:w="497" w:type="pct"/>
            <w:shd w:val="clear" w:color="auto" w:fill="A8D08D"/>
            <w:noWrap w:val="0"/>
            <w:vAlign w:val="top"/>
          </w:tcPr>
          <w:p>
            <w:pPr>
              <w:spacing w:before="0" w:beforeLines="0" w:after="0" w:afterLines="0" w:line="240" w:lineRule="auto"/>
              <w:ind w:firstLine="0" w:firstLineChars="0"/>
              <w:jc w:val="center"/>
              <w:rPr>
                <w:rFonts w:hint="eastAsia" w:ascii="仿宋" w:hAnsi="仿宋" w:eastAsia="仿宋"/>
                <w:b/>
                <w:bCs/>
                <w:kern w:val="0"/>
                <w:sz w:val="24"/>
                <w:lang w:eastAsia="en-US"/>
              </w:rPr>
            </w:pPr>
            <w:r>
              <w:rPr>
                <w:rFonts w:hint="eastAsia" w:ascii="仿宋" w:hAnsi="仿宋" w:eastAsia="仿宋"/>
                <w:b/>
                <w:bCs/>
                <w:kern w:val="0"/>
                <w:sz w:val="24"/>
                <w:lang w:eastAsia="en-US"/>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ascii="仿宋" w:hAnsi="仿宋" w:eastAsia="仿宋"/>
                <w:kern w:val="0"/>
                <w:sz w:val="24"/>
                <w:lang w:eastAsia="en-US"/>
              </w:rPr>
              <w:t>1</w:t>
            </w:r>
          </w:p>
        </w:tc>
        <w:tc>
          <w:tcPr>
            <w:tcW w:w="174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rPr>
            </w:pPr>
            <w:r>
              <w:rPr>
                <w:rFonts w:hint="eastAsia" w:ascii="仿宋" w:hAnsi="仿宋" w:eastAsia="仿宋"/>
                <w:kern w:val="0"/>
                <w:sz w:val="24"/>
              </w:rPr>
              <w:t>长城村村民志愿消防队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长城村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ascii="仿宋" w:hAnsi="仿宋" w:eastAsia="仿宋"/>
                <w:kern w:val="0"/>
                <w:sz w:val="24"/>
                <w:lang w:eastAsia="en-US"/>
              </w:rPr>
              <w:t>2</w:t>
            </w:r>
          </w:p>
        </w:tc>
        <w:tc>
          <w:tcPr>
            <w:tcW w:w="174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rPr>
            </w:pPr>
            <w:r>
              <w:rPr>
                <w:rFonts w:hint="eastAsia" w:ascii="仿宋" w:hAnsi="仿宋" w:eastAsia="仿宋"/>
                <w:kern w:val="0"/>
                <w:sz w:val="24"/>
              </w:rPr>
              <w:t>沟沿村村民志愿消防队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沟沿村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ascii="仿宋" w:hAnsi="仿宋" w:eastAsia="仿宋"/>
                <w:kern w:val="0"/>
                <w:sz w:val="24"/>
                <w:lang w:eastAsia="en-US"/>
              </w:rPr>
              <w:t>3</w:t>
            </w:r>
          </w:p>
        </w:tc>
        <w:tc>
          <w:tcPr>
            <w:tcW w:w="174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rPr>
            </w:pPr>
            <w:r>
              <w:rPr>
                <w:rFonts w:hint="eastAsia" w:ascii="仿宋" w:hAnsi="仿宋" w:eastAsia="仿宋"/>
                <w:kern w:val="0"/>
                <w:sz w:val="24"/>
              </w:rPr>
              <w:t>佟记圈村村民志愿消防队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佟记圈村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ascii="仿宋" w:hAnsi="仿宋" w:eastAsia="仿宋"/>
                <w:kern w:val="0"/>
                <w:sz w:val="24"/>
                <w:lang w:eastAsia="en-US"/>
              </w:rPr>
              <w:t>4</w:t>
            </w:r>
          </w:p>
        </w:tc>
        <w:tc>
          <w:tcPr>
            <w:tcW w:w="174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rPr>
            </w:pPr>
            <w:r>
              <w:rPr>
                <w:rFonts w:hint="eastAsia" w:ascii="仿宋" w:hAnsi="仿宋" w:eastAsia="仿宋"/>
                <w:kern w:val="0"/>
                <w:sz w:val="24"/>
              </w:rPr>
              <w:t>四墩子村村民志愿消防队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四墩子村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ascii="仿宋" w:hAnsi="仿宋" w:eastAsia="仿宋"/>
                <w:kern w:val="0"/>
                <w:sz w:val="24"/>
                <w:lang w:eastAsia="en-US"/>
              </w:rPr>
              <w:t>5</w:t>
            </w:r>
          </w:p>
        </w:tc>
        <w:tc>
          <w:tcPr>
            <w:tcW w:w="174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rPr>
            </w:pPr>
            <w:r>
              <w:rPr>
                <w:rFonts w:hint="eastAsia" w:ascii="仿宋" w:hAnsi="仿宋" w:eastAsia="仿宋"/>
                <w:kern w:val="0"/>
                <w:sz w:val="24"/>
              </w:rPr>
              <w:t>田记掌村村民志愿消防队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ascii="仿宋" w:hAnsi="仿宋" w:eastAsia="仿宋"/>
                <w:kern w:val="0"/>
                <w:sz w:val="24"/>
                <w:lang w:eastAsia="en-US"/>
              </w:rPr>
            </w:pPr>
            <w:r>
              <w:rPr>
                <w:rFonts w:hint="eastAsia" w:ascii="仿宋" w:hAnsi="仿宋" w:eastAsia="仿宋"/>
                <w:kern w:val="0"/>
                <w:sz w:val="24"/>
                <w:lang w:eastAsia="en-US"/>
              </w:rPr>
              <w:t>田记掌村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6</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八岔梁村村民志愿消防队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八岔梁村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7</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郭记沟村村民志愿消防队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郭记沟村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8</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柳杨堡村村民志愿消防队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柳杨堡村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9</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皖记沟村村民志愿消防队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皖记沟村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0</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沙边子村村民志愿消防队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沙边子村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1</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东塘村村民志愿消防队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东塘村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2</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冒寨子村村民志愿消防队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冒寨子村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3</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李记沟村村民志愿消防队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李记沟村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4</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红沟梁村村民志愿消防队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红沟梁村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5</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高利乌苏村村民志愿消防队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高利乌苏村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6</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苏步井村村民志愿消防队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苏步井村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7</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李华台村村民志愿消防队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李华台村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8</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芨芨沟村村民志愿消防队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芨芨沟村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494"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1</w:t>
            </w:r>
            <w:r>
              <w:rPr>
                <w:rFonts w:ascii="仿宋" w:hAnsi="仿宋" w:eastAsia="仿宋"/>
                <w:kern w:val="0"/>
                <w:sz w:val="24"/>
              </w:rPr>
              <w:t>9</w:t>
            </w:r>
          </w:p>
        </w:tc>
        <w:tc>
          <w:tcPr>
            <w:tcW w:w="174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硝池子村村民志愿消防队</w:t>
            </w:r>
          </w:p>
        </w:tc>
        <w:tc>
          <w:tcPr>
            <w:tcW w:w="1021"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rPr>
            </w:pPr>
            <w:r>
              <w:rPr>
                <w:rFonts w:hint="eastAsia" w:ascii="仿宋" w:hAnsi="仿宋" w:eastAsia="仿宋"/>
                <w:kern w:val="0"/>
                <w:sz w:val="24"/>
              </w:rPr>
              <w:t>村民志愿</w:t>
            </w:r>
          </w:p>
        </w:tc>
        <w:tc>
          <w:tcPr>
            <w:tcW w:w="1239"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r>
              <w:rPr>
                <w:rFonts w:hint="eastAsia" w:ascii="仿宋" w:hAnsi="仿宋" w:eastAsia="仿宋"/>
                <w:kern w:val="0"/>
                <w:sz w:val="24"/>
                <w:lang w:eastAsia="en-US"/>
              </w:rPr>
              <w:t>硝池子村</w:t>
            </w:r>
          </w:p>
        </w:tc>
        <w:tc>
          <w:tcPr>
            <w:tcW w:w="497" w:type="pct"/>
            <w:shd w:val="clear" w:color="auto" w:fill="E2EFD9"/>
            <w:noWrap w:val="0"/>
            <w:vAlign w:val="top"/>
          </w:tcPr>
          <w:p>
            <w:pPr>
              <w:spacing w:before="0" w:beforeLines="0" w:after="0" w:afterLines="0" w:line="240" w:lineRule="auto"/>
              <w:ind w:firstLine="0" w:firstLineChars="0"/>
              <w:jc w:val="center"/>
              <w:rPr>
                <w:rFonts w:hint="eastAsia" w:ascii="仿宋" w:hAnsi="仿宋" w:eastAsia="仿宋"/>
                <w:kern w:val="0"/>
                <w:sz w:val="24"/>
                <w:lang w:eastAsia="en-US"/>
              </w:rPr>
            </w:pPr>
          </w:p>
        </w:tc>
      </w:tr>
    </w:tbl>
    <w:p>
      <w:pPr>
        <w:pStyle w:val="4"/>
        <w:spacing w:before="0" w:beforeLines="0" w:after="0" w:afterLines="0" w:line="240" w:lineRule="auto"/>
        <w:rPr>
          <w:rFonts w:hint="eastAsia" w:ascii="宋体" w:hAnsi="宋体"/>
          <w:szCs w:val="30"/>
        </w:rPr>
      </w:pPr>
      <w:bookmarkStart w:id="366" w:name="_Toc3347"/>
      <w:bookmarkStart w:id="367" w:name="_Toc13680"/>
      <w:bookmarkStart w:id="368" w:name="_Toc13685"/>
      <w:bookmarkStart w:id="369" w:name="_Toc25395"/>
      <w:r>
        <w:rPr>
          <w:rFonts w:hint="eastAsia" w:ascii="宋体" w:hAnsi="宋体"/>
          <w:szCs w:val="30"/>
        </w:rPr>
        <w:t>5.</w:t>
      </w:r>
      <w:r>
        <w:rPr>
          <w:rFonts w:ascii="宋体" w:hAnsi="宋体"/>
          <w:szCs w:val="30"/>
        </w:rPr>
        <w:t>6.</w:t>
      </w:r>
      <w:r>
        <w:rPr>
          <w:rFonts w:hint="eastAsia" w:ascii="宋体" w:hAnsi="宋体"/>
          <w:szCs w:val="30"/>
        </w:rPr>
        <w:t>2镇域农村消防安全指引</w:t>
      </w:r>
      <w:bookmarkEnd w:id="366"/>
      <w:bookmarkEnd w:id="367"/>
      <w:bookmarkEnd w:id="368"/>
      <w:bookmarkEnd w:id="369"/>
    </w:p>
    <w:p>
      <w:pPr>
        <w:spacing w:before="0" w:beforeLines="0" w:after="0" w:afterLines="0"/>
        <w:ind w:firstLine="560"/>
        <w:jc w:val="left"/>
        <w:rPr>
          <w:rFonts w:hint="eastAsia" w:ascii="宋体" w:hAnsi="宋体" w:cs="宋体"/>
          <w:szCs w:val="28"/>
        </w:rPr>
      </w:pPr>
      <w:r>
        <w:rPr>
          <w:rFonts w:hint="eastAsia" w:ascii="宋体" w:hAnsi="宋体" w:cs="宋体"/>
          <w:szCs w:val="28"/>
        </w:rPr>
        <w:t>（1）结合美丽村庄规划建设整治，计划地逐步改造建筑耐火等级低、防火间距小、房屋连片集中、火灾隐患大的村庄，改善消防安全条件。</w:t>
      </w:r>
    </w:p>
    <w:p>
      <w:pPr>
        <w:spacing w:before="0" w:beforeLines="0" w:after="0" w:afterLines="0"/>
        <w:ind w:firstLine="560"/>
        <w:jc w:val="left"/>
        <w:rPr>
          <w:rFonts w:hint="eastAsia" w:ascii="宋体" w:hAnsi="宋体" w:cs="宋体"/>
          <w:szCs w:val="28"/>
        </w:rPr>
      </w:pPr>
      <w:r>
        <w:rPr>
          <w:rFonts w:hint="eastAsia" w:ascii="宋体" w:hAnsi="宋体" w:cs="宋体"/>
          <w:szCs w:val="28"/>
        </w:rPr>
        <w:t>（2）利用村庄宣传栏、标语墙等宣传平台，加强农村消防安全知识宣传教育，切实提高村民消防安全意识。</w:t>
      </w:r>
    </w:p>
    <w:p>
      <w:pPr>
        <w:spacing w:before="0" w:beforeLines="0" w:after="0" w:afterLines="0"/>
        <w:ind w:firstLine="560"/>
        <w:jc w:val="left"/>
        <w:rPr>
          <w:rFonts w:hint="eastAsia" w:ascii="宋体" w:hAnsi="宋体" w:cs="宋体"/>
          <w:szCs w:val="28"/>
        </w:rPr>
      </w:pPr>
      <w:r>
        <w:rPr>
          <w:rFonts w:hint="eastAsia" w:ascii="宋体" w:hAnsi="宋体" w:cs="宋体"/>
          <w:szCs w:val="28"/>
        </w:rPr>
        <w:t>（3）引导村民规范堆放草垛、农作物秸秆等易燃物品，并与农宅保持一定的消防安全距离。</w:t>
      </w:r>
    </w:p>
    <w:p>
      <w:pPr>
        <w:spacing w:before="0" w:beforeLines="0" w:after="0" w:afterLines="0"/>
        <w:ind w:firstLine="560"/>
        <w:jc w:val="left"/>
        <w:rPr>
          <w:rFonts w:hint="eastAsia" w:ascii="宋体" w:hAnsi="宋体" w:cs="宋体"/>
          <w:szCs w:val="28"/>
        </w:rPr>
      </w:pPr>
      <w:r>
        <w:rPr>
          <w:rFonts w:hint="eastAsia" w:ascii="宋体" w:hAnsi="宋体" w:cs="宋体"/>
          <w:szCs w:val="28"/>
        </w:rPr>
        <w:t>（4）定期普及农村安全用火、用电常识，禁止农村随意焚烧农作物秸秆，杜绝焚烧秸秆引起的农村火灾。</w:t>
      </w:r>
    </w:p>
    <w:p>
      <w:pPr>
        <w:spacing w:before="0" w:beforeLines="0" w:after="0" w:afterLines="0"/>
        <w:ind w:firstLine="560"/>
        <w:jc w:val="left"/>
        <w:rPr>
          <w:rFonts w:hint="eastAsia" w:ascii="宋体" w:hAnsi="宋体" w:cs="宋体"/>
          <w:szCs w:val="28"/>
        </w:rPr>
      </w:pPr>
      <w:r>
        <w:rPr>
          <w:rFonts w:hint="eastAsia" w:ascii="宋体" w:hAnsi="宋体" w:cs="宋体"/>
          <w:szCs w:val="28"/>
        </w:rPr>
        <w:t>（5）提高农宅房屋的耐火等级，对房屋的节能保温材料、室内装修材料、电器线路等，通过制定指导性标准《村民防火公约》和乡规民约，加以规范和监管。</w:t>
      </w:r>
    </w:p>
    <w:p>
      <w:pPr>
        <w:spacing w:before="0" w:beforeLines="0" w:after="0" w:afterLines="0"/>
        <w:ind w:firstLine="560"/>
        <w:jc w:val="left"/>
        <w:rPr>
          <w:rFonts w:hint="eastAsia" w:ascii="宋体" w:hAnsi="宋体" w:cs="宋体"/>
          <w:szCs w:val="28"/>
        </w:rPr>
      </w:pPr>
      <w:r>
        <w:rPr>
          <w:rFonts w:hint="eastAsia" w:ascii="宋体" w:hAnsi="宋体" w:cs="宋体"/>
          <w:szCs w:val="28"/>
        </w:rPr>
        <w:t>（6）积极推广太阳能、沼气等清洁能源的使用，逐步消除因村民宅院大量堆放柴草及农作物秸秆带来的消防安全隐患。</w:t>
      </w:r>
    </w:p>
    <w:p>
      <w:pPr>
        <w:spacing w:before="0" w:beforeLines="0" w:after="0" w:afterLines="0"/>
        <w:ind w:firstLine="560"/>
        <w:jc w:val="left"/>
        <w:rPr>
          <w:rFonts w:hint="eastAsia" w:ascii="宋体" w:hAnsi="宋体" w:cs="宋体"/>
          <w:szCs w:val="28"/>
        </w:rPr>
      </w:pPr>
      <w:r>
        <w:rPr>
          <w:rFonts w:hint="eastAsia" w:ascii="宋体" w:hAnsi="宋体" w:cs="宋体"/>
          <w:szCs w:val="28"/>
        </w:rPr>
        <w:t>（7）在农业收获季节、重大节假日，以及农村庙会、各种集会期间，应当组织人员加强消防安全检查，落实各项防火措施。</w:t>
      </w:r>
    </w:p>
    <w:p>
      <w:pPr>
        <w:spacing w:before="0" w:beforeLines="0" w:after="0" w:afterLines="0"/>
        <w:ind w:firstLine="560"/>
        <w:jc w:val="left"/>
        <w:rPr>
          <w:rFonts w:hint="eastAsia" w:ascii="宋体" w:hAnsi="宋体" w:cs="宋体"/>
          <w:szCs w:val="28"/>
        </w:rPr>
      </w:pPr>
      <w:r>
        <w:rPr>
          <w:rFonts w:hint="eastAsia" w:ascii="宋体" w:hAnsi="宋体" w:cs="宋体"/>
          <w:szCs w:val="28"/>
        </w:rPr>
        <w:t>（8）农村加油站、燃气充气站点、易燃易爆化学危险品储存场所、以及粮食、秸杆等农产品场院和仓库，应当符合国家有关消防安全的规定，有针对性地制定和落实消防安全措施。</w:t>
      </w:r>
    </w:p>
    <w:p>
      <w:pPr>
        <w:spacing w:before="0" w:beforeLines="0" w:after="0" w:afterLines="0"/>
        <w:ind w:firstLine="560"/>
        <w:jc w:val="left"/>
        <w:rPr>
          <w:rFonts w:hint="eastAsia" w:ascii="宋体" w:hAnsi="宋体" w:cs="宋体"/>
          <w:szCs w:val="28"/>
        </w:rPr>
      </w:pPr>
      <w:r>
        <w:rPr>
          <w:rFonts w:hint="eastAsia" w:ascii="宋体" w:hAnsi="宋体" w:cs="宋体"/>
          <w:szCs w:val="28"/>
        </w:rPr>
        <w:t>（9）农村学校、</w:t>
      </w:r>
      <w:r>
        <w:rPr>
          <w:rFonts w:ascii="宋体" w:hAnsi="宋体" w:cs="宋体"/>
          <w:szCs w:val="28"/>
        </w:rPr>
        <w:t>卫生所、歌舞厅、网吧、旅馆、商店等公共场所和企事业单位，应当按照公安部《机关、团体、企业、事业单位消防安全管理规定》，落实消防安全责任制，明确岗位消防安全职责，确定消防安全责任人，保证消防安全。</w:t>
      </w:r>
    </w:p>
    <w:p>
      <w:pPr>
        <w:pStyle w:val="4"/>
        <w:spacing w:before="0" w:beforeLines="0" w:after="0" w:afterLines="0" w:line="240" w:lineRule="auto"/>
        <w:rPr>
          <w:rFonts w:hint="eastAsia" w:ascii="宋体" w:hAnsi="宋体"/>
          <w:szCs w:val="30"/>
        </w:rPr>
      </w:pPr>
      <w:bookmarkStart w:id="370" w:name="_Toc28565"/>
      <w:bookmarkStart w:id="371" w:name="_Toc2635"/>
      <w:bookmarkStart w:id="372" w:name="_Toc3397"/>
      <w:bookmarkStart w:id="373" w:name="_Toc6349"/>
      <w:r>
        <w:rPr>
          <w:rFonts w:hint="eastAsia" w:ascii="宋体" w:hAnsi="宋体"/>
          <w:szCs w:val="30"/>
        </w:rPr>
        <w:t>5.</w:t>
      </w:r>
      <w:r>
        <w:rPr>
          <w:rFonts w:ascii="宋体" w:hAnsi="宋体"/>
          <w:szCs w:val="30"/>
        </w:rPr>
        <w:t>6.</w:t>
      </w:r>
      <w:r>
        <w:rPr>
          <w:rFonts w:hint="eastAsia" w:ascii="宋体" w:hAnsi="宋体"/>
          <w:szCs w:val="30"/>
        </w:rPr>
        <w:t>3农村消防水源</w:t>
      </w:r>
      <w:bookmarkEnd w:id="365"/>
      <w:r>
        <w:rPr>
          <w:rFonts w:hint="eastAsia" w:ascii="宋体" w:hAnsi="宋体"/>
          <w:szCs w:val="30"/>
        </w:rPr>
        <w:t>规划</w:t>
      </w:r>
      <w:bookmarkEnd w:id="370"/>
      <w:bookmarkEnd w:id="371"/>
      <w:bookmarkEnd w:id="372"/>
      <w:bookmarkEnd w:id="373"/>
    </w:p>
    <w:p>
      <w:pPr>
        <w:widowControl/>
        <w:spacing w:before="190" w:after="190"/>
        <w:ind w:firstLine="560"/>
        <w:jc w:val="left"/>
        <w:rPr>
          <w:rFonts w:hint="eastAsia" w:ascii="宋体" w:hAnsi="宋体" w:cs="宋体"/>
          <w:szCs w:val="28"/>
        </w:rPr>
      </w:pPr>
      <w:r>
        <w:rPr>
          <w:rFonts w:hint="eastAsia" w:ascii="宋体" w:hAnsi="宋体" w:cs="宋体"/>
          <w:szCs w:val="28"/>
        </w:rPr>
        <w:t>加强农村消防水源建设。供水部门在建设农村给水管网时，应当同时建设公共消火栓，并满足消防用水的需要。没有给水管网的，可以利用河流、湖泊、水渠等天然水源设置消防取水点等取水设施。天然水源缺乏的村庄，可以结合农村节水灌溉和人畜饮水工程统一规划，因地制宜设置消防替代水源。</w:t>
      </w:r>
    </w:p>
    <w:p>
      <w:pPr>
        <w:widowControl/>
        <w:spacing w:before="190" w:after="190"/>
        <w:ind w:firstLine="560"/>
        <w:jc w:val="left"/>
        <w:rPr>
          <w:rFonts w:hint="eastAsia" w:ascii="宋体" w:hAnsi="宋体" w:cs="宋体"/>
          <w:szCs w:val="28"/>
        </w:rPr>
      </w:pPr>
      <w:r>
        <w:rPr>
          <w:rFonts w:hint="eastAsia" w:ascii="宋体" w:hAnsi="宋体" w:cs="宋体"/>
          <w:szCs w:val="28"/>
        </w:rPr>
        <w:t>规划每个中心村建设一处消防应急水源，具体建设形式应针对不同村庄情况确定。</w:t>
      </w:r>
    </w:p>
    <w:p>
      <w:pPr>
        <w:pStyle w:val="4"/>
        <w:spacing w:before="0" w:beforeLines="0" w:after="0" w:afterLines="0" w:line="240" w:lineRule="auto"/>
        <w:rPr>
          <w:rFonts w:hint="eastAsia" w:ascii="宋体" w:hAnsi="宋体"/>
          <w:szCs w:val="30"/>
        </w:rPr>
      </w:pPr>
      <w:bookmarkStart w:id="374" w:name="_Toc9239"/>
      <w:bookmarkStart w:id="375" w:name="_Toc29391"/>
      <w:bookmarkStart w:id="376" w:name="_Toc1626"/>
      <w:bookmarkStart w:id="377" w:name="_Toc13921"/>
      <w:r>
        <w:rPr>
          <w:rFonts w:hint="eastAsia" w:ascii="宋体" w:hAnsi="宋体"/>
          <w:szCs w:val="30"/>
        </w:rPr>
        <w:t>5.</w:t>
      </w:r>
      <w:r>
        <w:rPr>
          <w:rFonts w:ascii="宋体" w:hAnsi="宋体"/>
          <w:szCs w:val="30"/>
        </w:rPr>
        <w:t>6.</w:t>
      </w:r>
      <w:r>
        <w:rPr>
          <w:rFonts w:hint="eastAsia" w:ascii="宋体" w:hAnsi="宋体"/>
          <w:szCs w:val="30"/>
        </w:rPr>
        <w:t>4农村消防通道规划</w:t>
      </w:r>
      <w:bookmarkEnd w:id="374"/>
      <w:bookmarkEnd w:id="375"/>
      <w:bookmarkEnd w:id="376"/>
      <w:bookmarkEnd w:id="377"/>
    </w:p>
    <w:p>
      <w:pPr>
        <w:spacing w:before="0" w:beforeLines="0" w:after="0" w:afterLines="0"/>
        <w:ind w:firstLine="560"/>
        <w:jc w:val="left"/>
        <w:rPr>
          <w:rFonts w:hint="eastAsia" w:ascii="宋体" w:hAnsi="宋体" w:cs="宋体"/>
          <w:szCs w:val="28"/>
        </w:rPr>
      </w:pPr>
      <w:r>
        <w:rPr>
          <w:rFonts w:hint="eastAsia" w:ascii="宋体" w:hAnsi="宋体" w:cs="宋体"/>
          <w:szCs w:val="28"/>
        </w:rPr>
        <w:t>现状村庄道路大多狭窄并设置限高杆，消防车辆无法及时通过，灭火救援力量无法及时到达现场；一些村庄道路转弯半径较小、路面宽度与路面硬化程度达不到消防车通过要求。</w:t>
      </w:r>
    </w:p>
    <w:p>
      <w:pPr>
        <w:spacing w:before="0" w:beforeLines="0" w:after="0" w:afterLines="0"/>
        <w:ind w:firstLine="560"/>
        <w:jc w:val="left"/>
        <w:rPr>
          <w:rFonts w:hint="eastAsia" w:ascii="宋体" w:hAnsi="宋体" w:cs="宋体"/>
          <w:szCs w:val="28"/>
        </w:rPr>
      </w:pPr>
      <w:r>
        <w:rPr>
          <w:rFonts w:hint="eastAsia" w:ascii="宋体" w:hAnsi="宋体" w:cs="宋体"/>
          <w:szCs w:val="28"/>
        </w:rPr>
        <w:t>规划结合村庄建设整治，逐步改善村庄道路交通条件，满足消防灭火车辆通行。</w:t>
      </w:r>
    </w:p>
    <w:p>
      <w:pPr>
        <w:pStyle w:val="2"/>
        <w:numPr>
          <w:ilvl w:val="0"/>
          <w:numId w:val="3"/>
        </w:numPr>
        <w:spacing w:before="190" w:after="190"/>
        <w:ind w:firstLine="0"/>
        <w:jc w:val="center"/>
        <w:rPr>
          <w:rFonts w:ascii="宋体" w:hAnsi="宋体"/>
          <w:b/>
        </w:rPr>
        <w:sectPr>
          <w:pgSz w:w="11906" w:h="16838"/>
          <w:pgMar w:top="1440" w:right="1797" w:bottom="1440" w:left="1797" w:header="851" w:footer="992" w:gutter="0"/>
          <w:cols w:space="720" w:num="1"/>
          <w:docGrid w:type="lines" w:linePitch="381" w:charSpace="0"/>
        </w:sectPr>
      </w:pPr>
    </w:p>
    <w:p>
      <w:pPr>
        <w:pStyle w:val="2"/>
        <w:numPr>
          <w:ilvl w:val="0"/>
          <w:numId w:val="3"/>
        </w:numPr>
        <w:spacing w:before="190" w:after="190"/>
        <w:ind w:firstLine="0"/>
        <w:jc w:val="center"/>
        <w:rPr>
          <w:rFonts w:ascii="宋体" w:hAnsi="宋体"/>
          <w:b/>
        </w:rPr>
      </w:pPr>
      <w:bookmarkStart w:id="378" w:name="_Toc5699"/>
      <w:bookmarkStart w:id="379" w:name="_Toc28661"/>
      <w:bookmarkStart w:id="380" w:name="_Toc15719"/>
      <w:r>
        <w:rPr>
          <w:rFonts w:hint="eastAsia" w:ascii="宋体" w:hAnsi="宋体"/>
          <w:b/>
        </w:rPr>
        <w:t>城市消防安全布局规划</w:t>
      </w:r>
      <w:bookmarkEnd w:id="378"/>
      <w:bookmarkEnd w:id="379"/>
      <w:bookmarkEnd w:id="380"/>
    </w:p>
    <w:p>
      <w:pPr>
        <w:spacing w:before="190" w:after="190"/>
        <w:ind w:firstLine="560"/>
        <w:rPr>
          <w:rFonts w:ascii="宋体" w:hAnsi="宋体"/>
        </w:rPr>
      </w:pPr>
      <w:r>
        <w:rPr>
          <w:rFonts w:hint="eastAsia" w:ascii="宋体" w:hAnsi="宋体"/>
        </w:rPr>
        <w:t>城市消防安全布局是指城市中生产、储存和装卸易燃易爆危险品的场所及其它火灾危险性大的场所，应设置在安全、合理的位置，与周围建筑物或场所保持规定的防火间距；对需要重点保护的对象，提出规划意见和安全控制措施。城市消防安全布局规划是城市整体消防的重要环节，是消防安全保障的基础。</w:t>
      </w:r>
    </w:p>
    <w:p>
      <w:pPr>
        <w:pStyle w:val="3"/>
        <w:spacing w:before="190" w:after="190"/>
        <w:rPr>
          <w:rFonts w:ascii="宋体" w:hAnsi="宋体"/>
          <w:szCs w:val="32"/>
        </w:rPr>
      </w:pPr>
      <w:bookmarkStart w:id="381" w:name="_Toc15766"/>
      <w:bookmarkStart w:id="382" w:name="_Toc7131"/>
      <w:bookmarkStart w:id="383" w:name="_Toc25633"/>
      <w:r>
        <w:rPr>
          <w:rFonts w:hint="eastAsia" w:ascii="宋体" w:hAnsi="宋体"/>
          <w:szCs w:val="32"/>
        </w:rPr>
        <w:t>6.1规划原则</w:t>
      </w:r>
      <w:bookmarkEnd w:id="381"/>
      <w:bookmarkEnd w:id="382"/>
      <w:bookmarkEnd w:id="383"/>
    </w:p>
    <w:p>
      <w:pPr>
        <w:spacing w:before="190" w:after="190"/>
        <w:ind w:firstLine="560"/>
        <w:rPr>
          <w:rFonts w:ascii="宋体" w:hAnsi="宋体"/>
        </w:rPr>
      </w:pPr>
      <w:r>
        <w:rPr>
          <w:rFonts w:hint="eastAsia"/>
        </w:rPr>
        <w:t>（</w:t>
      </w:r>
      <w:r>
        <w:rPr>
          <w:rFonts w:hint="eastAsia" w:ascii="宋体" w:hAnsi="宋体"/>
        </w:rPr>
        <w:t>1）城市功能分区安全布局原则</w:t>
      </w:r>
    </w:p>
    <w:p>
      <w:pPr>
        <w:spacing w:before="190" w:after="190"/>
        <w:ind w:firstLine="560"/>
        <w:rPr>
          <w:rFonts w:ascii="宋体" w:hAnsi="宋体"/>
        </w:rPr>
      </w:pPr>
      <w:r>
        <w:rPr>
          <w:rFonts w:hint="eastAsia" w:ascii="宋体" w:hAnsi="宋体"/>
        </w:rPr>
        <w:t>城市消防安全布局中，应将生产、储存易燃易爆化学危险品的工厂、仓库设在城市边缘的独立安全地区，并与人口密集的公共建筑保持规定的防火安全间距，对于旧城区布局不合理、影响城市消防安全的工厂和仓库，应纳入近期改造规划，有计划、有步骤地采取限期搬迁或改变生产使用性质等措施。</w:t>
      </w:r>
    </w:p>
    <w:p>
      <w:pPr>
        <w:spacing w:before="190" w:after="190"/>
        <w:ind w:firstLine="560"/>
        <w:rPr>
          <w:rFonts w:ascii="宋体" w:hAnsi="宋体"/>
        </w:rPr>
      </w:pPr>
      <w:r>
        <w:rPr>
          <w:rFonts w:hint="eastAsia" w:ascii="宋体" w:hAnsi="宋体"/>
        </w:rPr>
        <w:t>（2）危险品站库安全布局原则</w:t>
      </w:r>
    </w:p>
    <w:p>
      <w:pPr>
        <w:spacing w:before="190" w:after="190"/>
        <w:ind w:firstLine="560"/>
        <w:rPr>
          <w:rFonts w:ascii="宋体" w:hAnsi="宋体"/>
        </w:rPr>
      </w:pPr>
      <w:r>
        <w:rPr>
          <w:rFonts w:hint="eastAsia" w:ascii="宋体" w:hAnsi="宋体"/>
        </w:rPr>
        <w:t>应合理选择汽车加油加气站、城市燃气调压站的位置，使之符合规范要求，并采取有效消防措施，确保安全。</w:t>
      </w:r>
    </w:p>
    <w:p>
      <w:pPr>
        <w:spacing w:before="190" w:after="190"/>
        <w:ind w:firstLine="560"/>
        <w:rPr>
          <w:rFonts w:ascii="宋体" w:hAnsi="宋体"/>
        </w:rPr>
      </w:pPr>
      <w:r>
        <w:rPr>
          <w:rFonts w:hint="eastAsia" w:ascii="宋体" w:hAnsi="宋体"/>
        </w:rPr>
        <w:t>（3）人员密集场所安全布局原则</w:t>
      </w:r>
    </w:p>
    <w:p>
      <w:pPr>
        <w:spacing w:before="190" w:after="190"/>
        <w:ind w:firstLine="560"/>
        <w:rPr>
          <w:rFonts w:ascii="宋体" w:hAnsi="宋体"/>
        </w:rPr>
      </w:pPr>
      <w:r>
        <w:rPr>
          <w:rFonts w:hint="eastAsia" w:ascii="宋体" w:hAnsi="宋体"/>
        </w:rPr>
        <w:t>城市设置物流中心、集贸市场或商业网点时，应注意不得堵塞消防车通道和影响消火栓的使用，人员密集场所如火车站、公路长途客运站、公交枢纽等应考虑方便旅客等候和快速疏散的广场和通道。</w:t>
      </w:r>
    </w:p>
    <w:p>
      <w:pPr>
        <w:spacing w:before="190" w:after="190"/>
        <w:ind w:firstLine="560"/>
        <w:rPr>
          <w:rFonts w:ascii="宋体" w:hAnsi="宋体"/>
        </w:rPr>
      </w:pPr>
      <w:r>
        <w:rPr>
          <w:rFonts w:hint="eastAsia" w:ascii="宋体" w:hAnsi="宋体"/>
        </w:rPr>
        <w:t>（4）城市建筑消防安全布局原则</w:t>
      </w:r>
    </w:p>
    <w:p>
      <w:pPr>
        <w:spacing w:before="190" w:after="190"/>
        <w:ind w:firstLine="560"/>
        <w:rPr>
          <w:rFonts w:ascii="宋体" w:hAnsi="宋体"/>
        </w:rPr>
      </w:pPr>
      <w:r>
        <w:rPr>
          <w:rFonts w:hint="eastAsia" w:ascii="宋体" w:hAnsi="宋体"/>
        </w:rPr>
        <w:t>城市各类建筑物，应以一级、二级耐火等级建筑为主，限制三级耐火等级的建筑，严格禁止修建永久性的四级耐火等级的建筑，避免造成新的不安全因素。城市中原有耐火等级低、相互毗连的建筑密度区，应采取防火隔离、提高耐火能力、开辟防护间距和消防车通道等措施。</w:t>
      </w:r>
    </w:p>
    <w:p>
      <w:pPr>
        <w:pStyle w:val="3"/>
        <w:spacing w:before="190" w:after="190"/>
        <w:rPr>
          <w:rFonts w:ascii="宋体" w:hAnsi="宋体"/>
          <w:szCs w:val="32"/>
        </w:rPr>
      </w:pPr>
      <w:bookmarkStart w:id="384" w:name="_Toc4362"/>
      <w:bookmarkStart w:id="385" w:name="_Toc15202"/>
      <w:bookmarkStart w:id="386" w:name="_Toc23442"/>
      <w:r>
        <w:rPr>
          <w:rFonts w:hint="eastAsia" w:ascii="宋体" w:hAnsi="宋体"/>
          <w:szCs w:val="32"/>
        </w:rPr>
        <w:t>6.2城市工业、仓储用地消防安全布局规划</w:t>
      </w:r>
      <w:bookmarkEnd w:id="384"/>
      <w:bookmarkEnd w:id="385"/>
      <w:bookmarkEnd w:id="386"/>
    </w:p>
    <w:p>
      <w:pPr>
        <w:pStyle w:val="4"/>
        <w:spacing w:before="0" w:beforeLines="0" w:after="0" w:afterLines="0" w:line="240" w:lineRule="auto"/>
        <w:rPr>
          <w:rFonts w:ascii="宋体" w:hAnsi="宋体"/>
          <w:szCs w:val="30"/>
        </w:rPr>
      </w:pPr>
      <w:bookmarkStart w:id="387" w:name="_Toc4054"/>
      <w:bookmarkStart w:id="388" w:name="_Toc59386342"/>
      <w:bookmarkStart w:id="389" w:name="_Toc29971"/>
      <w:bookmarkStart w:id="390" w:name="_Toc26071"/>
      <w:bookmarkStart w:id="391" w:name="_Toc36114537"/>
      <w:r>
        <w:rPr>
          <w:rFonts w:hint="eastAsia" w:ascii="宋体" w:hAnsi="宋体"/>
          <w:szCs w:val="30"/>
        </w:rPr>
        <w:t>6.2.1城市工业用地消防安全布局规划</w:t>
      </w:r>
      <w:bookmarkEnd w:id="387"/>
      <w:bookmarkEnd w:id="388"/>
      <w:bookmarkEnd w:id="389"/>
      <w:bookmarkEnd w:id="390"/>
      <w:bookmarkEnd w:id="391"/>
    </w:p>
    <w:p>
      <w:pPr>
        <w:spacing w:before="190" w:after="190"/>
        <w:ind w:firstLine="560"/>
        <w:rPr>
          <w:rFonts w:ascii="宋体" w:hAnsi="宋体"/>
        </w:rPr>
      </w:pPr>
      <w:r>
        <w:rPr>
          <w:rFonts w:hint="eastAsia" w:ascii="宋体" w:hAnsi="宋体"/>
        </w:rPr>
        <w:t>位于老城区影响城市消防安全的工厂、仓库，采取限期迁移或改变生产使用性质等措施，消除不安全因素。规划工业用地集中布置于城区东部，在工业区东部主要布置二类、三类工业用地，形成以宁鲁石化等能源化工企业为主的产业园区；工业区延川大道以西至东顺路，主要布置一类工业用地。</w:t>
      </w:r>
    </w:p>
    <w:p>
      <w:pPr>
        <w:spacing w:before="190" w:after="190"/>
        <w:ind w:firstLine="560"/>
        <w:rPr>
          <w:rFonts w:ascii="宋体" w:hAnsi="宋体"/>
        </w:rPr>
      </w:pPr>
      <w:r>
        <w:rPr>
          <w:rFonts w:hint="eastAsia" w:ascii="宋体" w:hAnsi="宋体"/>
        </w:rPr>
        <w:t>新建工业企业全部集中布置在城市东部工业用地集中区内，控制危化企业入驻规模，工业区与城市居民区之间配置一定安全距离的隔离带，阻止火灾蔓延。</w:t>
      </w:r>
    </w:p>
    <w:p>
      <w:pPr>
        <w:spacing w:before="190" w:after="190"/>
        <w:ind w:firstLine="560"/>
        <w:rPr>
          <w:rFonts w:ascii="宋体" w:hAnsi="宋体"/>
        </w:rPr>
      </w:pPr>
      <w:r>
        <w:rPr>
          <w:rFonts w:hint="eastAsia" w:ascii="宋体" w:hAnsi="宋体"/>
        </w:rPr>
        <w:t>规划期内城市东部工业园区西侧新增1座一级普通兼化工特勤站，以保障工业园区并兼顾县城的消防救援需要。</w:t>
      </w:r>
    </w:p>
    <w:p>
      <w:pPr>
        <w:spacing w:before="190" w:after="190"/>
        <w:ind w:firstLine="0" w:firstLineChars="0"/>
        <w:jc w:val="center"/>
        <w:rPr>
          <w:rFonts w:hint="eastAsia" w:ascii="宋体" w:hAnsi="宋体"/>
        </w:rPr>
      </w:pPr>
      <w:r>
        <w:rPr>
          <w:rFonts w:ascii="宋体" w:hAnsi="宋体"/>
        </w:rPr>
        <w:drawing>
          <wp:inline distT="0" distB="0" distL="114300" distR="114300">
            <wp:extent cx="5384165" cy="3938270"/>
            <wp:effectExtent l="0" t="0" r="6985" b="5080"/>
            <wp:docPr id="10" name="图片 16" descr="10-远期用地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6" descr="10-远期用地规划图"/>
                    <pic:cNvPicPr>
                      <a:picLocks noChangeAspect="true"/>
                    </pic:cNvPicPr>
                  </pic:nvPicPr>
                  <pic:blipFill>
                    <a:blip r:embed="rId31"/>
                    <a:srcRect l="3351"/>
                    <a:stretch>
                      <a:fillRect/>
                    </a:stretch>
                  </pic:blipFill>
                  <pic:spPr>
                    <a:xfrm>
                      <a:off x="0" y="0"/>
                      <a:ext cx="5384165" cy="3938270"/>
                    </a:xfrm>
                    <a:prstGeom prst="rect">
                      <a:avLst/>
                    </a:prstGeom>
                    <a:noFill/>
                    <a:ln>
                      <a:noFill/>
                    </a:ln>
                  </pic:spPr>
                </pic:pic>
              </a:graphicData>
            </a:graphic>
          </wp:inline>
        </w:drawing>
      </w:r>
    </w:p>
    <w:p>
      <w:pPr>
        <w:pStyle w:val="4"/>
        <w:spacing w:before="0" w:beforeLines="0" w:after="0" w:afterLines="0" w:line="240" w:lineRule="auto"/>
        <w:rPr>
          <w:rFonts w:ascii="宋体" w:hAnsi="宋体"/>
          <w:szCs w:val="30"/>
        </w:rPr>
      </w:pPr>
      <w:bookmarkStart w:id="392" w:name="_Toc8179"/>
      <w:bookmarkStart w:id="393" w:name="_Toc59386343"/>
      <w:bookmarkStart w:id="394" w:name="_Toc15806"/>
      <w:bookmarkStart w:id="395" w:name="_Toc24143"/>
      <w:r>
        <w:rPr>
          <w:rFonts w:hint="eastAsia" w:ascii="宋体" w:hAnsi="宋体"/>
          <w:szCs w:val="30"/>
        </w:rPr>
        <w:t>6.2.2城市仓储用地消防安全布局规划</w:t>
      </w:r>
      <w:bookmarkEnd w:id="392"/>
      <w:bookmarkEnd w:id="393"/>
      <w:bookmarkEnd w:id="394"/>
      <w:bookmarkEnd w:id="395"/>
    </w:p>
    <w:p>
      <w:pPr>
        <w:spacing w:before="190" w:after="190"/>
        <w:ind w:firstLine="560"/>
        <w:rPr>
          <w:rFonts w:ascii="宋体" w:hAnsi="宋体"/>
        </w:rPr>
      </w:pPr>
      <w:r>
        <w:rPr>
          <w:rFonts w:hint="eastAsia" w:ascii="宋体" w:hAnsi="宋体"/>
        </w:rPr>
        <w:t>坚持易燃易爆化学危险物品仓库布置在城市边缘独立安全地带的原则，不同类型货物分类集中存放，合理布置功能分区，满足消防要求；危险品仓储区的外部距离、仓储区总平面布置和内部距离、仓库区防护屏障的设置应满足有关规范标准要求；危险品仓储区的建筑、结构、电器设备、防雷设施等应满足有关消防技术规范要求。</w:t>
      </w:r>
    </w:p>
    <w:p>
      <w:pPr>
        <w:spacing w:before="190" w:after="190"/>
        <w:ind w:firstLine="560"/>
        <w:rPr>
          <w:rFonts w:hint="eastAsia" w:ascii="宋体" w:hAnsi="宋体"/>
        </w:rPr>
      </w:pPr>
      <w:r>
        <w:rPr>
          <w:rFonts w:hint="eastAsia" w:ascii="宋体" w:hAnsi="宋体"/>
        </w:rPr>
        <w:t>大型危险品仓库应配备企业专职消防队。规划在城市东部工业园区南部集中布置为工业服务的仓储区，在高速公路以北建设综合物流园区。</w:t>
      </w:r>
    </w:p>
    <w:tbl>
      <w:tblPr>
        <w:tblStyle w:val="10"/>
        <w:tblW w:w="4893" w:type="pct"/>
        <w:jc w:val="center"/>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Layout w:type="autofit"/>
        <w:tblCellMar>
          <w:top w:w="0" w:type="dxa"/>
          <w:left w:w="108" w:type="dxa"/>
          <w:bottom w:w="0" w:type="dxa"/>
          <w:right w:w="108" w:type="dxa"/>
        </w:tblCellMar>
      </w:tblPr>
      <w:tblGrid>
        <w:gridCol w:w="954"/>
        <w:gridCol w:w="456"/>
        <w:gridCol w:w="899"/>
        <w:gridCol w:w="585"/>
        <w:gridCol w:w="707"/>
        <w:gridCol w:w="858"/>
        <w:gridCol w:w="563"/>
        <w:gridCol w:w="590"/>
        <w:gridCol w:w="696"/>
        <w:gridCol w:w="833"/>
        <w:gridCol w:w="590"/>
        <w:gridCol w:w="615"/>
      </w:tblGrid>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000" w:type="pct"/>
            <w:gridSpan w:val="12"/>
            <w:shd w:val="clear" w:color="auto" w:fill="A8D08D"/>
            <w:noWrap/>
            <w:vAlign w:val="center"/>
          </w:tcPr>
          <w:p>
            <w:pPr>
              <w:widowControl/>
              <w:spacing w:before="0" w:beforeLines="0" w:after="0" w:afterLines="0" w:line="240" w:lineRule="auto"/>
              <w:ind w:firstLine="0" w:firstLineChars="0"/>
              <w:jc w:val="center"/>
              <w:textAlignment w:val="center"/>
              <w:rPr>
                <w:rFonts w:ascii="仿宋" w:hAnsi="仿宋" w:eastAsia="仿宋"/>
                <w:b/>
                <w:bCs/>
                <w:color w:val="000000"/>
                <w:sz w:val="24"/>
              </w:rPr>
            </w:pPr>
            <w:r>
              <w:rPr>
                <w:rFonts w:hint="eastAsia" w:ascii="仿宋" w:hAnsi="仿宋" w:eastAsia="仿宋"/>
                <w:b/>
                <w:kern w:val="0"/>
                <w:sz w:val="24"/>
                <w:lang w:bidi="ar"/>
              </w:rPr>
              <w:t>厂房之间及其与乙、丙、丁、戊类仓库、民用建筑等之间的防火间距（m）</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1376" w:type="pct"/>
            <w:gridSpan w:val="3"/>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名称</w:t>
            </w:r>
          </w:p>
        </w:tc>
        <w:tc>
          <w:tcPr>
            <w:tcW w:w="359"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甲类厂房</w:t>
            </w:r>
          </w:p>
        </w:tc>
        <w:tc>
          <w:tcPr>
            <w:tcW w:w="432"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单层、多层乙类厂房（仓库）</w:t>
            </w:r>
          </w:p>
        </w:tc>
        <w:tc>
          <w:tcPr>
            <w:tcW w:w="1228"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单层、多层丙、丁、戊类厂房（仓库）</w:t>
            </w:r>
          </w:p>
        </w:tc>
        <w:tc>
          <w:tcPr>
            <w:tcW w:w="361"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高层厂房（仓库）</w:t>
            </w:r>
          </w:p>
        </w:tc>
        <w:tc>
          <w:tcPr>
            <w:tcW w:w="1244"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民用建筑</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1376" w:type="pct"/>
            <w:gridSpan w:val="3"/>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359"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432"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1228"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耐火等级</w:t>
            </w:r>
          </w:p>
        </w:tc>
        <w:tc>
          <w:tcPr>
            <w:tcW w:w="361"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1244"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耐火等级</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1376" w:type="pct"/>
            <w:gridSpan w:val="3"/>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359"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432"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2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一、二级</w:t>
            </w:r>
          </w:p>
        </w:tc>
        <w:tc>
          <w:tcPr>
            <w:tcW w:w="3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三级</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四级</w:t>
            </w:r>
          </w:p>
        </w:tc>
        <w:tc>
          <w:tcPr>
            <w:tcW w:w="361"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0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一、二级</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三级</w:t>
            </w:r>
          </w:p>
        </w:tc>
        <w:tc>
          <w:tcPr>
            <w:tcW w:w="37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四级</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1376"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甲类厂房</w:t>
            </w:r>
          </w:p>
        </w:tc>
        <w:tc>
          <w:tcPr>
            <w:tcW w:w="3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43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52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3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16</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13</w:t>
            </w:r>
          </w:p>
        </w:tc>
        <w:tc>
          <w:tcPr>
            <w:tcW w:w="1244"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1376"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单层、多层乙类厂房</w:t>
            </w:r>
          </w:p>
        </w:tc>
        <w:tc>
          <w:tcPr>
            <w:tcW w:w="3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43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w:t>
            </w:r>
          </w:p>
        </w:tc>
        <w:tc>
          <w:tcPr>
            <w:tcW w:w="52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w:t>
            </w:r>
          </w:p>
        </w:tc>
        <w:tc>
          <w:tcPr>
            <w:tcW w:w="3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13</w:t>
            </w:r>
          </w:p>
        </w:tc>
        <w:tc>
          <w:tcPr>
            <w:tcW w:w="1244"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80"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单层、多层丙、丁类厂房</w:t>
            </w:r>
          </w:p>
        </w:tc>
        <w:tc>
          <w:tcPr>
            <w:tcW w:w="249"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耐火等级</w:t>
            </w:r>
          </w:p>
        </w:tc>
        <w:tc>
          <w:tcPr>
            <w:tcW w:w="547" w:type="pct"/>
            <w:shd w:val="clear" w:color="auto" w:fill="E2EFD9"/>
            <w:noWrap w:val="0"/>
            <w:vAlign w:val="center"/>
          </w:tcPr>
          <w:p>
            <w:pPr>
              <w:widowControl/>
              <w:spacing w:before="0" w:beforeLines="0" w:after="0" w:afterLines="0" w:line="240" w:lineRule="auto"/>
              <w:ind w:firstLine="0" w:firstLineChars="0"/>
              <w:jc w:val="center"/>
              <w:textAlignment w:val="top"/>
              <w:rPr>
                <w:rFonts w:ascii="仿宋" w:hAnsi="仿宋" w:eastAsia="仿宋"/>
                <w:color w:val="000000"/>
                <w:sz w:val="24"/>
              </w:rPr>
            </w:pPr>
            <w:r>
              <w:rPr>
                <w:rFonts w:hint="eastAsia" w:ascii="仿宋" w:hAnsi="仿宋" w:eastAsia="仿宋"/>
                <w:color w:val="000000"/>
                <w:kern w:val="0"/>
                <w:sz w:val="24"/>
                <w:lang w:bidi="ar"/>
              </w:rPr>
              <w:t>一、二级</w:t>
            </w:r>
          </w:p>
        </w:tc>
        <w:tc>
          <w:tcPr>
            <w:tcW w:w="3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43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w:t>
            </w:r>
          </w:p>
        </w:tc>
        <w:tc>
          <w:tcPr>
            <w:tcW w:w="52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w:t>
            </w:r>
          </w:p>
        </w:tc>
        <w:tc>
          <w:tcPr>
            <w:tcW w:w="3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13</w:t>
            </w:r>
          </w:p>
        </w:tc>
        <w:tc>
          <w:tcPr>
            <w:tcW w:w="50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37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80"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bCs/>
                <w:color w:val="000000"/>
                <w:sz w:val="24"/>
              </w:rPr>
            </w:pPr>
          </w:p>
        </w:tc>
        <w:tc>
          <w:tcPr>
            <w:tcW w:w="249"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4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三级</w:t>
            </w:r>
          </w:p>
        </w:tc>
        <w:tc>
          <w:tcPr>
            <w:tcW w:w="3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43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52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3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16</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15</w:t>
            </w:r>
          </w:p>
        </w:tc>
        <w:tc>
          <w:tcPr>
            <w:tcW w:w="50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7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16</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80"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bCs/>
                <w:color w:val="000000"/>
                <w:sz w:val="24"/>
              </w:rPr>
            </w:pPr>
          </w:p>
        </w:tc>
        <w:tc>
          <w:tcPr>
            <w:tcW w:w="249"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47" w:type="pct"/>
            <w:shd w:val="clear" w:color="auto" w:fill="E2EFD9"/>
            <w:noWrap w:val="0"/>
            <w:vAlign w:val="center"/>
          </w:tcPr>
          <w:p>
            <w:pPr>
              <w:widowControl/>
              <w:spacing w:before="0" w:beforeLines="0" w:after="0" w:afterLines="0" w:line="240" w:lineRule="auto"/>
              <w:ind w:firstLine="0" w:firstLineChars="0"/>
              <w:jc w:val="center"/>
              <w:textAlignment w:val="top"/>
              <w:rPr>
                <w:rFonts w:ascii="仿宋" w:hAnsi="仿宋" w:eastAsia="仿宋"/>
                <w:color w:val="000000"/>
                <w:sz w:val="24"/>
              </w:rPr>
            </w:pPr>
            <w:r>
              <w:rPr>
                <w:rFonts w:hint="eastAsia" w:ascii="仿宋" w:hAnsi="仿宋" w:eastAsia="仿宋"/>
                <w:color w:val="000000"/>
                <w:kern w:val="0"/>
                <w:sz w:val="24"/>
                <w:lang w:bidi="ar"/>
              </w:rPr>
              <w:t>四级</w:t>
            </w:r>
          </w:p>
        </w:tc>
        <w:tc>
          <w:tcPr>
            <w:tcW w:w="3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16</w:t>
            </w:r>
          </w:p>
        </w:tc>
        <w:tc>
          <w:tcPr>
            <w:tcW w:w="43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52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16</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18</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17</w:t>
            </w:r>
          </w:p>
        </w:tc>
        <w:tc>
          <w:tcPr>
            <w:tcW w:w="50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16</w:t>
            </w:r>
          </w:p>
        </w:tc>
        <w:tc>
          <w:tcPr>
            <w:tcW w:w="37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18</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80"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单层、多层戊类厂房</w:t>
            </w:r>
          </w:p>
        </w:tc>
        <w:tc>
          <w:tcPr>
            <w:tcW w:w="249"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47" w:type="pct"/>
            <w:shd w:val="clear" w:color="auto" w:fill="E2EFD9"/>
            <w:noWrap w:val="0"/>
            <w:vAlign w:val="center"/>
          </w:tcPr>
          <w:p>
            <w:pPr>
              <w:widowControl/>
              <w:spacing w:before="0" w:beforeLines="0" w:after="0" w:afterLines="0" w:line="240" w:lineRule="auto"/>
              <w:ind w:firstLine="0" w:firstLineChars="0"/>
              <w:jc w:val="center"/>
              <w:textAlignment w:val="top"/>
              <w:rPr>
                <w:rFonts w:ascii="仿宋" w:hAnsi="仿宋" w:eastAsia="仿宋"/>
                <w:color w:val="000000"/>
                <w:sz w:val="24"/>
              </w:rPr>
            </w:pPr>
            <w:r>
              <w:rPr>
                <w:rFonts w:hint="eastAsia" w:ascii="仿宋" w:hAnsi="仿宋" w:eastAsia="仿宋"/>
                <w:color w:val="000000"/>
                <w:kern w:val="0"/>
                <w:sz w:val="24"/>
                <w:lang w:bidi="ar"/>
              </w:rPr>
              <w:t>一、二级</w:t>
            </w:r>
          </w:p>
        </w:tc>
        <w:tc>
          <w:tcPr>
            <w:tcW w:w="3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43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w:t>
            </w:r>
          </w:p>
        </w:tc>
        <w:tc>
          <w:tcPr>
            <w:tcW w:w="52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w:t>
            </w:r>
          </w:p>
        </w:tc>
        <w:tc>
          <w:tcPr>
            <w:tcW w:w="3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top"/>
              <w:rPr>
                <w:rFonts w:ascii="仿宋" w:hAnsi="仿宋" w:eastAsia="仿宋"/>
                <w:color w:val="000000"/>
                <w:sz w:val="24"/>
              </w:rPr>
            </w:pPr>
            <w:r>
              <w:rPr>
                <w:rFonts w:ascii="仿宋" w:hAnsi="仿宋" w:eastAsia="仿宋"/>
                <w:color w:val="000000"/>
                <w:kern w:val="0"/>
                <w:sz w:val="24"/>
                <w:lang w:bidi="ar"/>
              </w:rPr>
              <w:t>13</w:t>
            </w:r>
          </w:p>
        </w:tc>
        <w:tc>
          <w:tcPr>
            <w:tcW w:w="50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6</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7</w:t>
            </w:r>
          </w:p>
        </w:tc>
        <w:tc>
          <w:tcPr>
            <w:tcW w:w="37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9</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80"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249"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4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三级</w:t>
            </w:r>
          </w:p>
        </w:tc>
        <w:tc>
          <w:tcPr>
            <w:tcW w:w="3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43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52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3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16</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15</w:t>
            </w:r>
          </w:p>
        </w:tc>
        <w:tc>
          <w:tcPr>
            <w:tcW w:w="50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7</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8</w:t>
            </w:r>
          </w:p>
        </w:tc>
        <w:tc>
          <w:tcPr>
            <w:tcW w:w="37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80"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249"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47" w:type="pct"/>
            <w:shd w:val="clear" w:color="auto" w:fill="E2EFD9"/>
            <w:noWrap w:val="0"/>
            <w:vAlign w:val="center"/>
          </w:tcPr>
          <w:p>
            <w:pPr>
              <w:widowControl/>
              <w:spacing w:before="0" w:beforeLines="0" w:after="0" w:afterLines="0" w:line="240" w:lineRule="auto"/>
              <w:ind w:firstLine="0" w:firstLineChars="0"/>
              <w:jc w:val="center"/>
              <w:textAlignment w:val="top"/>
              <w:rPr>
                <w:rFonts w:ascii="仿宋" w:hAnsi="仿宋" w:eastAsia="仿宋"/>
                <w:color w:val="000000"/>
                <w:sz w:val="24"/>
              </w:rPr>
            </w:pPr>
            <w:r>
              <w:rPr>
                <w:rFonts w:hint="eastAsia" w:ascii="仿宋" w:hAnsi="仿宋" w:eastAsia="仿宋"/>
                <w:color w:val="000000"/>
                <w:kern w:val="0"/>
                <w:sz w:val="24"/>
                <w:lang w:bidi="ar"/>
              </w:rPr>
              <w:t>四级</w:t>
            </w:r>
          </w:p>
        </w:tc>
        <w:tc>
          <w:tcPr>
            <w:tcW w:w="3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16</w:t>
            </w:r>
          </w:p>
        </w:tc>
        <w:tc>
          <w:tcPr>
            <w:tcW w:w="43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52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14</w:t>
            </w:r>
          </w:p>
        </w:tc>
        <w:tc>
          <w:tcPr>
            <w:tcW w:w="3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16</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18</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17</w:t>
            </w:r>
          </w:p>
        </w:tc>
        <w:tc>
          <w:tcPr>
            <w:tcW w:w="50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9</w:t>
            </w:r>
          </w:p>
        </w:tc>
        <w:tc>
          <w:tcPr>
            <w:tcW w:w="36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w:t>
            </w:r>
          </w:p>
        </w:tc>
        <w:tc>
          <w:tcPr>
            <w:tcW w:w="37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1376" w:type="pct"/>
            <w:gridSpan w:val="3"/>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高层厂房</w:t>
            </w:r>
          </w:p>
        </w:tc>
        <w:tc>
          <w:tcPr>
            <w:tcW w:w="359"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13</w:t>
            </w:r>
          </w:p>
        </w:tc>
        <w:tc>
          <w:tcPr>
            <w:tcW w:w="432"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13</w:t>
            </w:r>
          </w:p>
        </w:tc>
        <w:tc>
          <w:tcPr>
            <w:tcW w:w="522"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13</w:t>
            </w:r>
          </w:p>
        </w:tc>
        <w:tc>
          <w:tcPr>
            <w:tcW w:w="345"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15</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17</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13</w:t>
            </w:r>
          </w:p>
        </w:tc>
        <w:tc>
          <w:tcPr>
            <w:tcW w:w="507"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13</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15</w:t>
            </w:r>
          </w:p>
        </w:tc>
        <w:tc>
          <w:tcPr>
            <w:tcW w:w="376"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17</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80" w:type="pct"/>
            <w:vMerge w:val="restar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室外变、配电站变压器总油量（t）</w:t>
            </w:r>
          </w:p>
        </w:tc>
        <w:tc>
          <w:tcPr>
            <w:tcW w:w="796" w:type="pct"/>
            <w:gridSpan w:val="2"/>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≥5，≤10</w:t>
            </w:r>
          </w:p>
        </w:tc>
        <w:tc>
          <w:tcPr>
            <w:tcW w:w="359" w:type="pct"/>
            <w:vMerge w:val="restar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c>
          <w:tcPr>
            <w:tcW w:w="432" w:type="pct"/>
            <w:vMerge w:val="restar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c>
          <w:tcPr>
            <w:tcW w:w="522"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345"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15</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20</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w:t>
            </w:r>
          </w:p>
        </w:tc>
        <w:tc>
          <w:tcPr>
            <w:tcW w:w="507"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15</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20</w:t>
            </w:r>
          </w:p>
        </w:tc>
        <w:tc>
          <w:tcPr>
            <w:tcW w:w="376"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80"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color w:val="000000"/>
                <w:sz w:val="24"/>
              </w:rPr>
            </w:pPr>
          </w:p>
        </w:tc>
        <w:tc>
          <w:tcPr>
            <w:tcW w:w="796" w:type="pct"/>
            <w:gridSpan w:val="2"/>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＞10，≤50</w:t>
            </w:r>
          </w:p>
        </w:tc>
        <w:tc>
          <w:tcPr>
            <w:tcW w:w="359"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432"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22"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15</w:t>
            </w:r>
          </w:p>
        </w:tc>
        <w:tc>
          <w:tcPr>
            <w:tcW w:w="345"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20</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15</w:t>
            </w:r>
          </w:p>
        </w:tc>
        <w:tc>
          <w:tcPr>
            <w:tcW w:w="507"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20</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c>
          <w:tcPr>
            <w:tcW w:w="376"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30</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CellMar>
            <w:top w:w="0" w:type="dxa"/>
            <w:left w:w="108" w:type="dxa"/>
            <w:bottom w:w="0" w:type="dxa"/>
            <w:right w:w="108" w:type="dxa"/>
          </w:tblCellMar>
        </w:tblPrEx>
        <w:trPr>
          <w:trHeight w:val="567" w:hRule="atLeast"/>
          <w:jc w:val="center"/>
        </w:trPr>
        <w:tc>
          <w:tcPr>
            <w:tcW w:w="580"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color w:val="000000"/>
                <w:sz w:val="24"/>
              </w:rPr>
            </w:pPr>
          </w:p>
        </w:tc>
        <w:tc>
          <w:tcPr>
            <w:tcW w:w="796" w:type="pct"/>
            <w:gridSpan w:val="2"/>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＞50</w:t>
            </w:r>
          </w:p>
        </w:tc>
        <w:tc>
          <w:tcPr>
            <w:tcW w:w="359"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432"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522"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20</w:t>
            </w:r>
          </w:p>
        </w:tc>
        <w:tc>
          <w:tcPr>
            <w:tcW w:w="345"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30</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20</w:t>
            </w:r>
          </w:p>
        </w:tc>
        <w:tc>
          <w:tcPr>
            <w:tcW w:w="507"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c>
          <w:tcPr>
            <w:tcW w:w="361"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30</w:t>
            </w:r>
          </w:p>
        </w:tc>
        <w:tc>
          <w:tcPr>
            <w:tcW w:w="376"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35</w:t>
            </w:r>
          </w:p>
        </w:tc>
      </w:tr>
    </w:tbl>
    <w:p>
      <w:pPr>
        <w:spacing w:before="190" w:after="190" w:line="240" w:lineRule="auto"/>
        <w:ind w:firstLine="0" w:firstLineChars="0"/>
        <w:rPr>
          <w:rFonts w:ascii="仿宋" w:hAnsi="仿宋" w:eastAsia="仿宋"/>
          <w:sz w:val="24"/>
        </w:rPr>
      </w:pPr>
    </w:p>
    <w:tbl>
      <w:tblPr>
        <w:tblStyle w:val="10"/>
        <w:tblW w:w="4901"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fixed"/>
        <w:tblCellMar>
          <w:top w:w="0" w:type="dxa"/>
          <w:left w:w="108" w:type="dxa"/>
          <w:bottom w:w="0" w:type="dxa"/>
          <w:right w:w="108" w:type="dxa"/>
        </w:tblCellMar>
      </w:tblPr>
      <w:tblGrid>
        <w:gridCol w:w="592"/>
        <w:gridCol w:w="1063"/>
        <w:gridCol w:w="945"/>
        <w:gridCol w:w="1063"/>
        <w:gridCol w:w="1185"/>
        <w:gridCol w:w="1771"/>
        <w:gridCol w:w="1740"/>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blHeader/>
          <w:jc w:val="center"/>
        </w:trPr>
        <w:tc>
          <w:tcPr>
            <w:tcW w:w="5000" w:type="pct"/>
            <w:gridSpan w:val="7"/>
            <w:shd w:val="clear" w:color="auto" w:fill="A8D08D"/>
            <w:noWrap/>
            <w:vAlign w:val="center"/>
          </w:tcPr>
          <w:p>
            <w:pPr>
              <w:widowControl/>
              <w:spacing w:before="0" w:beforeLines="0" w:after="0" w:afterLines="0" w:line="240" w:lineRule="auto"/>
              <w:ind w:firstLine="0" w:firstLineChars="0"/>
              <w:jc w:val="center"/>
              <w:textAlignment w:val="center"/>
              <w:rPr>
                <w:rFonts w:ascii="仿宋" w:hAnsi="仿宋" w:eastAsia="仿宋"/>
                <w:b/>
                <w:color w:val="000000"/>
                <w:sz w:val="24"/>
              </w:rPr>
            </w:pPr>
            <w:r>
              <w:rPr>
                <w:rFonts w:hint="eastAsia" w:ascii="仿宋" w:hAnsi="仿宋" w:eastAsia="仿宋"/>
                <w:b/>
                <w:kern w:val="0"/>
                <w:sz w:val="24"/>
                <w:lang w:bidi="ar"/>
              </w:rPr>
              <w:t>石油化工企业与相邻工厂或设施的防火间距</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99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相邻工厂或设施</w:t>
            </w:r>
          </w:p>
        </w:tc>
        <w:tc>
          <w:tcPr>
            <w:tcW w:w="565" w:type="pct"/>
            <w:shd w:val="clear" w:color="auto" w:fill="E2EFD9"/>
            <w:noWrap w:val="0"/>
            <w:vAlign w:val="center"/>
          </w:tcPr>
          <w:p>
            <w:pPr>
              <w:widowControl/>
              <w:spacing w:before="0" w:beforeLines="0" w:after="0" w:afterLines="0" w:line="240" w:lineRule="auto"/>
              <w:ind w:firstLine="0" w:firstLineChars="0"/>
              <w:textAlignment w:val="center"/>
              <w:rPr>
                <w:rFonts w:ascii="仿宋" w:hAnsi="仿宋" w:eastAsia="仿宋"/>
                <w:color w:val="000000"/>
                <w:sz w:val="24"/>
              </w:rPr>
            </w:pPr>
            <w:r>
              <w:rPr>
                <w:rFonts w:hint="eastAsia" w:ascii="仿宋" w:hAnsi="仿宋" w:eastAsia="仿宋"/>
                <w:color w:val="000000"/>
                <w:kern w:val="0"/>
                <w:sz w:val="24"/>
                <w:lang w:bidi="ar"/>
              </w:rPr>
              <w:t>液化烃罐组(罐外壁)</w:t>
            </w:r>
          </w:p>
        </w:tc>
        <w:tc>
          <w:tcPr>
            <w:tcW w:w="63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甲、乙类液体罐组(罐外壁)</w:t>
            </w:r>
          </w:p>
        </w:tc>
        <w:tc>
          <w:tcPr>
            <w:tcW w:w="70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可能携带可燃液体的高架火炬 (火炬中心）</w:t>
            </w:r>
          </w:p>
        </w:tc>
        <w:tc>
          <w:tcPr>
            <w:tcW w:w="10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甲、乙类工艺装置或设施(最外侧设备外缘或建筑物的最外轴线）</w:t>
            </w:r>
          </w:p>
        </w:tc>
        <w:tc>
          <w:tcPr>
            <w:tcW w:w="1041"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全厂性或区域性重要设施(最外侧设备外缘或建筑物的最外轴线）</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99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居民区、公共福利设施、村庄</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150</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100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PrEx>
        <w:trPr>
          <w:trHeight w:val="567" w:hRule="atLeast"/>
          <w:jc w:val="center"/>
        </w:trPr>
        <w:tc>
          <w:tcPr>
            <w:tcW w:w="99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相邻工厂(围墙或用地边界线）</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120</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70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50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70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354"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厂外铁路</w:t>
            </w:r>
          </w:p>
        </w:tc>
        <w:tc>
          <w:tcPr>
            <w:tcW w:w="63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国家铁路线(中心线)</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55</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45</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80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35</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35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63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厂外企业铁路线(中心线)</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45</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35</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80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99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国家或工业区铁路编组站(铁路中心线或建筑物)</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55</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45</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80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35</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PrEx>
        <w:trPr>
          <w:trHeight w:val="567" w:hRule="atLeast"/>
          <w:jc w:val="center"/>
        </w:trPr>
        <w:tc>
          <w:tcPr>
            <w:tcW w:w="354"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厂外公路</w:t>
            </w:r>
          </w:p>
        </w:tc>
        <w:tc>
          <w:tcPr>
            <w:tcW w:w="63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高速公路、一级公路（路边）</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35</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80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30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354" w:type="pct"/>
            <w:vMerge w:val="continue"/>
            <w:shd w:val="clear" w:color="auto" w:fill="auto"/>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63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其他公路（路边）</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60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990" w:type="pct"/>
            <w:gridSpan w:val="2"/>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变配电站(围墙)</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80</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50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120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40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ascii="仿宋" w:hAnsi="仿宋" w:eastAsia="仿宋"/>
                <w:color w:val="000000"/>
                <w:kern w:val="0"/>
                <w:sz w:val="24"/>
                <w:lang w:bidi="ar"/>
              </w:rPr>
              <w:t>25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99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架空电力线路(中心线)</w:t>
            </w:r>
          </w:p>
        </w:tc>
        <w:tc>
          <w:tcPr>
            <w:tcW w:w="56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1.5倍塔杆高度</w:t>
            </w:r>
          </w:p>
        </w:tc>
        <w:tc>
          <w:tcPr>
            <w:tcW w:w="63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1.5倍塔杆高度</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80</w:t>
            </w:r>
          </w:p>
        </w:tc>
        <w:tc>
          <w:tcPr>
            <w:tcW w:w="105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1.5倍塔杆高度</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PrEx>
        <w:trPr>
          <w:trHeight w:val="567" w:hRule="atLeast"/>
          <w:jc w:val="center"/>
        </w:trPr>
        <w:tc>
          <w:tcPr>
            <w:tcW w:w="99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1、Il国家架空通信线路(中心线)</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50</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40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80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40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99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通航江、河、海岸边</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25</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25</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80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354"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地区埋地输油管道</w:t>
            </w:r>
          </w:p>
        </w:tc>
        <w:tc>
          <w:tcPr>
            <w:tcW w:w="63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原油及成品油(管道中心)</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60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35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olor w:val="000000"/>
                <w:sz w:val="24"/>
              </w:rPr>
            </w:pPr>
          </w:p>
        </w:tc>
        <w:tc>
          <w:tcPr>
            <w:tcW w:w="63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液化烃(管道中心)</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60</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60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80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60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60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PrEx>
        <w:trPr>
          <w:trHeight w:val="567" w:hRule="atLeast"/>
          <w:jc w:val="center"/>
        </w:trPr>
        <w:tc>
          <w:tcPr>
            <w:tcW w:w="99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地区埋地输气管道(管道中心)</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60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99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hint="eastAsia" w:ascii="仿宋" w:hAnsi="仿宋" w:eastAsia="仿宋"/>
                <w:bCs/>
                <w:color w:val="000000"/>
                <w:kern w:val="0"/>
                <w:sz w:val="24"/>
                <w:lang w:eastAsia="zh-CN" w:bidi="ar"/>
              </w:rPr>
            </w:pPr>
            <w:r>
              <w:rPr>
                <w:rFonts w:hint="eastAsia" w:ascii="仿宋" w:hAnsi="仿宋" w:eastAsia="仿宋"/>
                <w:bCs/>
                <w:color w:val="000000"/>
                <w:kern w:val="0"/>
                <w:sz w:val="24"/>
                <w:lang w:bidi="ar"/>
              </w:rPr>
              <w:t>装卸油品码头(</w:t>
            </w:r>
          </w:p>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bCs/>
                <w:color w:val="000000"/>
                <w:kern w:val="0"/>
                <w:sz w:val="24"/>
                <w:lang w:bidi="ar"/>
              </w:rPr>
              <w:t>码头前沿)</w:t>
            </w:r>
          </w:p>
        </w:tc>
        <w:tc>
          <w:tcPr>
            <w:tcW w:w="565"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70</w:t>
            </w:r>
          </w:p>
        </w:tc>
        <w:tc>
          <w:tcPr>
            <w:tcW w:w="636"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60</w:t>
            </w:r>
          </w:p>
        </w:tc>
        <w:tc>
          <w:tcPr>
            <w:tcW w:w="70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120</w:t>
            </w:r>
          </w:p>
        </w:tc>
        <w:tc>
          <w:tcPr>
            <w:tcW w:w="1059"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60</w:t>
            </w:r>
          </w:p>
        </w:tc>
        <w:tc>
          <w:tcPr>
            <w:tcW w:w="1041" w:type="pct"/>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60</w:t>
            </w:r>
          </w:p>
        </w:tc>
      </w:tr>
    </w:tbl>
    <w:p>
      <w:pPr>
        <w:pStyle w:val="3"/>
        <w:spacing w:before="190" w:after="190"/>
        <w:rPr>
          <w:rFonts w:ascii="宋体" w:hAnsi="宋体"/>
          <w:szCs w:val="32"/>
        </w:rPr>
      </w:pPr>
      <w:bookmarkStart w:id="396" w:name="_Toc5261"/>
      <w:bookmarkStart w:id="397" w:name="_Toc13007"/>
      <w:bookmarkStart w:id="398" w:name="_Toc5529"/>
      <w:r>
        <w:rPr>
          <w:rFonts w:hint="eastAsia" w:ascii="宋体" w:hAnsi="宋体"/>
          <w:szCs w:val="32"/>
        </w:rPr>
        <w:t>6.3城市燃气消防安全布局规划</w:t>
      </w:r>
      <w:bookmarkEnd w:id="396"/>
      <w:bookmarkEnd w:id="397"/>
      <w:bookmarkEnd w:id="398"/>
    </w:p>
    <w:p>
      <w:pPr>
        <w:spacing w:before="190" w:after="190"/>
        <w:ind w:firstLine="560"/>
        <w:rPr>
          <w:rFonts w:ascii="宋体" w:hAnsi="宋体"/>
        </w:rPr>
      </w:pPr>
      <w:r>
        <w:rPr>
          <w:rFonts w:ascii="宋体" w:hAnsi="宋体"/>
        </w:rPr>
        <w:t>城市燃气供应是城市的重点基础设施，</w:t>
      </w:r>
      <w:r>
        <w:rPr>
          <w:rFonts w:hint="eastAsia" w:ascii="宋体" w:hAnsi="宋体"/>
        </w:rPr>
        <w:t>属于高</w:t>
      </w:r>
      <w:r>
        <w:rPr>
          <w:rFonts w:ascii="宋体" w:hAnsi="宋体"/>
        </w:rPr>
        <w:t>危险</w:t>
      </w:r>
      <w:r>
        <w:rPr>
          <w:rFonts w:hint="eastAsia" w:ascii="宋体" w:hAnsi="宋体"/>
        </w:rPr>
        <w:t>等级</w:t>
      </w:r>
      <w:r>
        <w:rPr>
          <w:rFonts w:ascii="宋体" w:hAnsi="宋体"/>
        </w:rPr>
        <w:t>的消防</w:t>
      </w:r>
      <w:r>
        <w:rPr>
          <w:rFonts w:hint="eastAsia" w:ascii="宋体" w:hAnsi="宋体"/>
        </w:rPr>
        <w:t>保护</w:t>
      </w:r>
      <w:r>
        <w:rPr>
          <w:rFonts w:ascii="宋体" w:hAnsi="宋体"/>
        </w:rPr>
        <w:t>对象，在</w:t>
      </w:r>
      <w:r>
        <w:rPr>
          <w:rFonts w:hint="eastAsia" w:ascii="宋体" w:hAnsi="宋体"/>
        </w:rPr>
        <w:t>建设城市燃气设施</w:t>
      </w:r>
      <w:r>
        <w:rPr>
          <w:rFonts w:ascii="宋体" w:hAnsi="宋体"/>
        </w:rPr>
        <w:t>的同时，须采取有效的消防安全控制措施。</w:t>
      </w:r>
    </w:p>
    <w:p>
      <w:pPr>
        <w:spacing w:before="190" w:after="190"/>
        <w:ind w:firstLine="560"/>
        <w:rPr>
          <w:rFonts w:hint="eastAsia" w:ascii="宋体" w:hAnsi="宋体" w:eastAsia="宋体" w:cs="Times New Roman"/>
        </w:rPr>
      </w:pPr>
      <w:r>
        <w:rPr>
          <w:rFonts w:hint="eastAsia" w:ascii="宋体" w:hAnsi="宋体" w:eastAsia="宋体" w:cs="Times New Roman"/>
        </w:rPr>
        <w:t>城市燃气气源以天然气为主，液化石油气为辅，天然气采用管道方式供气。规划保留现状位于盐柳路东侧的长宁天然气盐池分输清管站。</w:t>
      </w:r>
    </w:p>
    <w:p>
      <w:pPr>
        <w:spacing w:before="190" w:after="190"/>
        <w:ind w:firstLine="560"/>
        <w:rPr>
          <w:rFonts w:ascii="宋体" w:hAnsi="宋体"/>
        </w:rPr>
      </w:pPr>
      <w:r>
        <w:rPr>
          <w:rFonts w:hint="eastAsia" w:ascii="宋体" w:hAnsi="宋体"/>
        </w:rPr>
        <w:t>规划天然气管道城网系统采用中压——低压供气系统，燃气主干管道布置成环状，直埋铺设。提高输配系统的信息化水平，满足运行管理、调度与安全供气要求。新建天然气管道应采用PE管。</w:t>
      </w:r>
    </w:p>
    <w:p>
      <w:pPr>
        <w:spacing w:before="190" w:after="190"/>
        <w:ind w:firstLine="560"/>
        <w:rPr>
          <w:rFonts w:ascii="宋体" w:hAnsi="宋体"/>
        </w:rPr>
      </w:pPr>
      <w:r>
        <w:rPr>
          <w:rFonts w:hint="eastAsia" w:ascii="宋体" w:hAnsi="宋体"/>
        </w:rPr>
        <w:t>燃气调压站属无人值守站，其消防主要依靠城市消防系统，站内应设置一定数量的灭火器，配备数量符合《建筑灭火器配置规范》（GB 50140-2005）的要求。</w:t>
      </w:r>
    </w:p>
    <w:p>
      <w:pPr>
        <w:spacing w:before="190" w:after="190"/>
        <w:ind w:firstLine="560"/>
        <w:rPr>
          <w:rFonts w:ascii="宋体" w:hAnsi="宋体"/>
        </w:rPr>
      </w:pPr>
      <w:r>
        <w:rPr>
          <w:rFonts w:ascii="宋体" w:hAnsi="宋体"/>
        </w:rPr>
        <w:t>积极发展燃气管道供气，规范、整顿瓶装液化石油气供气点</w:t>
      </w:r>
      <w:r>
        <w:rPr>
          <w:rFonts w:hint="eastAsia" w:ascii="宋体" w:hAnsi="宋体"/>
        </w:rPr>
        <w:t>，确保满足消防要求。加强对液化石油气供气安全的监管，规划期内逐步减少液化石油气供气</w:t>
      </w:r>
      <w:r>
        <w:rPr>
          <w:rFonts w:ascii="宋体" w:hAnsi="宋体"/>
        </w:rPr>
        <w:t>。</w:t>
      </w:r>
    </w:p>
    <w:p>
      <w:pPr>
        <w:spacing w:before="190" w:after="190"/>
        <w:ind w:firstLine="0" w:firstLineChars="0"/>
        <w:jc w:val="center"/>
        <w:rPr>
          <w:rFonts w:ascii="宋体" w:hAnsi="宋体"/>
        </w:rPr>
      </w:pPr>
      <w:r>
        <w:drawing>
          <wp:inline distT="0" distB="0" distL="114300" distR="114300">
            <wp:extent cx="5370830" cy="3938270"/>
            <wp:effectExtent l="0" t="0" r="1270" b="5080"/>
            <wp:docPr id="5" name="图片 17" descr="18-城市燃气工程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7" descr="18-城市燃气工程规划图"/>
                    <pic:cNvPicPr>
                      <a:picLocks noChangeAspect="true"/>
                    </pic:cNvPicPr>
                  </pic:nvPicPr>
                  <pic:blipFill>
                    <a:blip r:embed="rId32"/>
                    <a:srcRect l="3522"/>
                    <a:stretch>
                      <a:fillRect/>
                    </a:stretch>
                  </pic:blipFill>
                  <pic:spPr>
                    <a:xfrm>
                      <a:off x="0" y="0"/>
                      <a:ext cx="5370830" cy="3938270"/>
                    </a:xfrm>
                    <a:prstGeom prst="rect">
                      <a:avLst/>
                    </a:prstGeom>
                    <a:noFill/>
                    <a:ln>
                      <a:noFill/>
                    </a:ln>
                  </pic:spPr>
                </pic:pic>
              </a:graphicData>
            </a:graphic>
          </wp:inline>
        </w:drawing>
      </w:r>
    </w:p>
    <w:tbl>
      <w:tblPr>
        <w:tblStyle w:val="10"/>
        <w:tblW w:w="4818"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fixed"/>
        <w:tblCellMar>
          <w:top w:w="0" w:type="dxa"/>
          <w:left w:w="108" w:type="dxa"/>
          <w:bottom w:w="0" w:type="dxa"/>
          <w:right w:w="108" w:type="dxa"/>
        </w:tblCellMar>
      </w:tblPr>
      <w:tblGrid>
        <w:gridCol w:w="1888"/>
        <w:gridCol w:w="1060"/>
        <w:gridCol w:w="1176"/>
        <w:gridCol w:w="1422"/>
        <w:gridCol w:w="1534"/>
        <w:gridCol w:w="1137"/>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tblHeader/>
          <w:jc w:val="center"/>
        </w:trPr>
        <w:tc>
          <w:tcPr>
            <w:tcW w:w="5000" w:type="pct"/>
            <w:gridSpan w:val="6"/>
            <w:shd w:val="clear" w:color="auto" w:fill="A8D08D"/>
            <w:noWrap/>
            <w:vAlign w:val="center"/>
          </w:tcPr>
          <w:p>
            <w:pPr>
              <w:widowControl/>
              <w:spacing w:before="0" w:beforeLines="0" w:after="0" w:afterLines="0" w:line="240" w:lineRule="auto"/>
              <w:ind w:firstLine="0" w:firstLineChars="0"/>
              <w:jc w:val="center"/>
              <w:textAlignment w:val="center"/>
              <w:rPr>
                <w:rFonts w:ascii="仿宋" w:hAnsi="仿宋" w:eastAsia="仿宋"/>
                <w:b/>
                <w:bCs/>
                <w:color w:val="000000"/>
                <w:sz w:val="24"/>
              </w:rPr>
            </w:pPr>
            <w:r>
              <w:rPr>
                <w:rFonts w:hint="eastAsia" w:ascii="仿宋" w:hAnsi="仿宋" w:eastAsia="仿宋"/>
                <w:b/>
                <w:color w:val="000000"/>
                <w:kern w:val="0"/>
                <w:sz w:val="24"/>
                <w:lang w:bidi="ar"/>
              </w:rPr>
              <w:t>天然气储气罐与站内的建、构筑物的防火间距(m)</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jc w:val="center"/>
        </w:trPr>
        <w:tc>
          <w:tcPr>
            <w:tcW w:w="114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储气罐总容积(m</w:t>
            </w:r>
            <w:r>
              <w:rPr>
                <w:rFonts w:hint="eastAsia" w:ascii="宋体" w:hAnsi="宋体"/>
                <w:bCs/>
                <w:color w:val="000000"/>
                <w:sz w:val="24"/>
                <w:lang w:bidi="ar"/>
              </w:rPr>
              <w:t>³</w:t>
            </w:r>
            <w:r>
              <w:rPr>
                <w:rFonts w:ascii="仿宋" w:hAnsi="仿宋" w:eastAsia="仿宋"/>
                <w:bCs/>
                <w:color w:val="000000"/>
                <w:sz w:val="24"/>
                <w:lang w:bidi="ar"/>
              </w:rPr>
              <w:t>)</w:t>
            </w:r>
          </w:p>
        </w:tc>
        <w:tc>
          <w:tcPr>
            <w:tcW w:w="6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≤1000</w:t>
            </w:r>
          </w:p>
        </w:tc>
        <w:tc>
          <w:tcPr>
            <w:tcW w:w="71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&gt;1000～≤10000</w:t>
            </w:r>
          </w:p>
        </w:tc>
        <w:tc>
          <w:tcPr>
            <w:tcW w:w="86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&gt;10000～≤50000</w:t>
            </w:r>
          </w:p>
        </w:tc>
        <w:tc>
          <w:tcPr>
            <w:tcW w:w="9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&gt;50000～≤200000</w:t>
            </w:r>
          </w:p>
        </w:tc>
        <w:tc>
          <w:tcPr>
            <w:tcW w:w="69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&gt;200000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90" w:hRule="atLeast"/>
          <w:jc w:val="center"/>
        </w:trPr>
        <w:tc>
          <w:tcPr>
            <w:tcW w:w="114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明火、散发火花地点</w:t>
            </w:r>
          </w:p>
        </w:tc>
        <w:tc>
          <w:tcPr>
            <w:tcW w:w="6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c>
          <w:tcPr>
            <w:tcW w:w="71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25</w:t>
            </w:r>
          </w:p>
        </w:tc>
        <w:tc>
          <w:tcPr>
            <w:tcW w:w="86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c>
          <w:tcPr>
            <w:tcW w:w="9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35</w:t>
            </w:r>
          </w:p>
        </w:tc>
        <w:tc>
          <w:tcPr>
            <w:tcW w:w="69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40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1" w:hRule="atLeast"/>
          <w:jc w:val="center"/>
        </w:trPr>
        <w:tc>
          <w:tcPr>
            <w:tcW w:w="114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调压室、压缩机室、计量室</w:t>
            </w:r>
          </w:p>
        </w:tc>
        <w:tc>
          <w:tcPr>
            <w:tcW w:w="6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71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12</w:t>
            </w:r>
          </w:p>
        </w:tc>
        <w:tc>
          <w:tcPr>
            <w:tcW w:w="86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9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c>
          <w:tcPr>
            <w:tcW w:w="69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jc w:val="center"/>
        </w:trPr>
        <w:tc>
          <w:tcPr>
            <w:tcW w:w="114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控制室、变配电室、汽车库等辅助建筑</w:t>
            </w:r>
          </w:p>
        </w:tc>
        <w:tc>
          <w:tcPr>
            <w:tcW w:w="6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12</w:t>
            </w:r>
          </w:p>
        </w:tc>
        <w:tc>
          <w:tcPr>
            <w:tcW w:w="71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86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c>
          <w:tcPr>
            <w:tcW w:w="9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25</w:t>
            </w:r>
          </w:p>
        </w:tc>
        <w:tc>
          <w:tcPr>
            <w:tcW w:w="69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33" w:hRule="atLeast"/>
          <w:jc w:val="center"/>
        </w:trPr>
        <w:tc>
          <w:tcPr>
            <w:tcW w:w="114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机修间、燃气锅炉房</w:t>
            </w:r>
          </w:p>
        </w:tc>
        <w:tc>
          <w:tcPr>
            <w:tcW w:w="6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71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c>
          <w:tcPr>
            <w:tcW w:w="86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25</w:t>
            </w:r>
          </w:p>
        </w:tc>
        <w:tc>
          <w:tcPr>
            <w:tcW w:w="9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c>
          <w:tcPr>
            <w:tcW w:w="69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41" w:hRule="atLeast"/>
          <w:jc w:val="center"/>
        </w:trPr>
        <w:tc>
          <w:tcPr>
            <w:tcW w:w="114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办公、生活建筑</w:t>
            </w:r>
          </w:p>
        </w:tc>
        <w:tc>
          <w:tcPr>
            <w:tcW w:w="6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18</w:t>
            </w:r>
          </w:p>
        </w:tc>
        <w:tc>
          <w:tcPr>
            <w:tcW w:w="71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c>
          <w:tcPr>
            <w:tcW w:w="86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25</w:t>
            </w:r>
          </w:p>
        </w:tc>
        <w:tc>
          <w:tcPr>
            <w:tcW w:w="9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30</w:t>
            </w:r>
          </w:p>
        </w:tc>
        <w:tc>
          <w:tcPr>
            <w:tcW w:w="69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35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jc w:val="center"/>
        </w:trPr>
        <w:tc>
          <w:tcPr>
            <w:tcW w:w="114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消防泵房、消防水池取水口</w:t>
            </w:r>
          </w:p>
        </w:tc>
        <w:tc>
          <w:tcPr>
            <w:tcW w:w="3851" w:type="pct"/>
            <w:gridSpan w:val="5"/>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75" w:hRule="atLeast"/>
          <w:jc w:val="center"/>
        </w:trPr>
        <w:tc>
          <w:tcPr>
            <w:tcW w:w="114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站内道路(路边)</w:t>
            </w:r>
          </w:p>
        </w:tc>
        <w:tc>
          <w:tcPr>
            <w:tcW w:w="6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71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86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9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69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11" w:hRule="atLeast"/>
          <w:jc w:val="center"/>
        </w:trPr>
        <w:tc>
          <w:tcPr>
            <w:tcW w:w="114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围墙</w:t>
            </w:r>
          </w:p>
        </w:tc>
        <w:tc>
          <w:tcPr>
            <w:tcW w:w="64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716"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865"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9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69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18</w:t>
            </w:r>
          </w:p>
        </w:tc>
      </w:tr>
    </w:tbl>
    <w:p>
      <w:pPr>
        <w:spacing w:before="190" w:after="190"/>
        <w:ind w:firstLine="560"/>
      </w:pPr>
    </w:p>
    <w:tbl>
      <w:tblPr>
        <w:tblStyle w:val="10"/>
        <w:tblW w:w="0" w:type="auto"/>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874"/>
        <w:gridCol w:w="1614"/>
        <w:gridCol w:w="1195"/>
        <w:gridCol w:w="1056"/>
        <w:gridCol w:w="964"/>
        <w:gridCol w:w="908"/>
        <w:gridCol w:w="917"/>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blHeader/>
          <w:jc w:val="center"/>
        </w:trPr>
        <w:tc>
          <w:tcPr>
            <w:tcW w:w="0" w:type="auto"/>
            <w:gridSpan w:val="7"/>
            <w:shd w:val="clear" w:color="auto" w:fill="A8D08D"/>
            <w:noWrap/>
            <w:vAlign w:val="center"/>
          </w:tcPr>
          <w:p>
            <w:pPr>
              <w:widowControl/>
              <w:spacing w:before="0" w:beforeLines="0" w:after="0" w:afterLines="0" w:line="276" w:lineRule="auto"/>
              <w:ind w:firstLine="0" w:firstLineChars="0"/>
              <w:jc w:val="center"/>
              <w:textAlignment w:val="center"/>
              <w:rPr>
                <w:rFonts w:ascii="仿宋" w:hAnsi="仿宋" w:eastAsia="仿宋"/>
                <w:b/>
                <w:color w:val="000000"/>
                <w:sz w:val="24"/>
              </w:rPr>
            </w:pPr>
            <w:r>
              <w:rPr>
                <w:rFonts w:hint="eastAsia" w:ascii="仿宋" w:hAnsi="仿宋" w:eastAsia="仿宋"/>
                <w:b/>
                <w:color w:val="000000"/>
                <w:kern w:val="0"/>
                <w:sz w:val="24"/>
                <w:lang w:bidi="ar"/>
              </w:rPr>
              <w:t>地下燃气管道与建筑物、构筑物或相邻管道之间的水平净距(m)</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gridSpan w:val="2"/>
            <w:vMerge w:val="restart"/>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项  目</w:t>
            </w:r>
          </w:p>
        </w:tc>
        <w:tc>
          <w:tcPr>
            <w:tcW w:w="0" w:type="auto"/>
            <w:gridSpan w:val="5"/>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地下燃气管道压力(MPa)</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gridSpan w:val="2"/>
            <w:vMerge w:val="continue"/>
            <w:shd w:val="clear" w:color="auto" w:fill="E2EFD9"/>
            <w:noWrap w:val="0"/>
            <w:vAlign w:val="center"/>
          </w:tcPr>
          <w:p>
            <w:pPr>
              <w:spacing w:before="0" w:beforeLines="0" w:after="0" w:afterLines="0" w:line="276" w:lineRule="auto"/>
              <w:ind w:firstLine="0" w:firstLineChars="0"/>
              <w:jc w:val="center"/>
              <w:rPr>
                <w:rFonts w:ascii="仿宋" w:hAnsi="仿宋" w:eastAsia="仿宋"/>
                <w:bCs/>
                <w:color w:val="000000"/>
                <w:sz w:val="24"/>
              </w:rPr>
            </w:pPr>
          </w:p>
        </w:tc>
        <w:tc>
          <w:tcPr>
            <w:tcW w:w="1195" w:type="dxa"/>
            <w:vMerge w:val="restart"/>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低压&lt;O．01</w:t>
            </w:r>
          </w:p>
        </w:tc>
        <w:tc>
          <w:tcPr>
            <w:tcW w:w="2020" w:type="dxa"/>
            <w:gridSpan w:val="2"/>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中压</w:t>
            </w:r>
          </w:p>
        </w:tc>
        <w:tc>
          <w:tcPr>
            <w:tcW w:w="1825" w:type="dxa"/>
            <w:gridSpan w:val="2"/>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次高压</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gridSpan w:val="2"/>
            <w:vMerge w:val="continue"/>
            <w:shd w:val="clear" w:color="auto" w:fill="E2EFD9"/>
            <w:noWrap w:val="0"/>
            <w:vAlign w:val="center"/>
          </w:tcPr>
          <w:p>
            <w:pPr>
              <w:spacing w:before="0" w:beforeLines="0" w:after="0" w:afterLines="0" w:line="276" w:lineRule="auto"/>
              <w:ind w:firstLine="0" w:firstLineChars="0"/>
              <w:jc w:val="center"/>
              <w:rPr>
                <w:rFonts w:ascii="仿宋" w:hAnsi="仿宋" w:eastAsia="仿宋"/>
                <w:bCs/>
                <w:color w:val="000000"/>
                <w:sz w:val="24"/>
              </w:rPr>
            </w:pPr>
          </w:p>
        </w:tc>
        <w:tc>
          <w:tcPr>
            <w:tcW w:w="1195" w:type="dxa"/>
            <w:vMerge w:val="continue"/>
            <w:shd w:val="clear" w:color="auto" w:fill="E2EFD9"/>
            <w:noWrap w:val="0"/>
            <w:vAlign w:val="center"/>
          </w:tcPr>
          <w:p>
            <w:pPr>
              <w:spacing w:before="0" w:beforeLines="0" w:after="0" w:afterLines="0" w:line="276" w:lineRule="auto"/>
              <w:ind w:firstLine="0" w:firstLineChars="0"/>
              <w:jc w:val="center"/>
              <w:rPr>
                <w:rFonts w:ascii="仿宋" w:hAnsi="仿宋" w:eastAsia="仿宋"/>
                <w:color w:val="000000"/>
                <w:sz w:val="24"/>
              </w:rPr>
            </w:pP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B≤O．2</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A≤O．4</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BO．8</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A1.6</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restart"/>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建筑物</w:t>
            </w: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基础</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0.7</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908" w:type="dxa"/>
            <w:shd w:val="clear" w:color="auto" w:fill="E2EFD9"/>
            <w:noWrap/>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p>
        </w:tc>
        <w:tc>
          <w:tcPr>
            <w:tcW w:w="917" w:type="dxa"/>
            <w:shd w:val="clear" w:color="auto" w:fill="E2EFD9"/>
            <w:noWrap/>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continue"/>
            <w:shd w:val="clear" w:color="auto" w:fill="E2EFD9"/>
            <w:noWrap w:val="0"/>
            <w:vAlign w:val="center"/>
          </w:tcPr>
          <w:p>
            <w:pPr>
              <w:spacing w:before="0" w:beforeLines="0" w:after="0" w:afterLines="0" w:line="276" w:lineRule="auto"/>
              <w:ind w:firstLine="0" w:firstLineChars="0"/>
              <w:jc w:val="center"/>
              <w:rPr>
                <w:rFonts w:ascii="仿宋" w:hAnsi="仿宋" w:eastAsia="仿宋"/>
                <w:bCs/>
                <w:color w:val="000000"/>
                <w:sz w:val="24"/>
              </w:rPr>
            </w:pP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外墙面(出地面处)</w:t>
            </w:r>
          </w:p>
        </w:tc>
        <w:tc>
          <w:tcPr>
            <w:tcW w:w="1195" w:type="dxa"/>
            <w:shd w:val="clear" w:color="auto" w:fill="E2EFD9"/>
            <w:noWrap/>
            <w:vAlign w:val="center"/>
          </w:tcPr>
          <w:p>
            <w:pPr>
              <w:spacing w:before="0" w:beforeLines="0" w:after="0" w:afterLines="0" w:line="276" w:lineRule="auto"/>
              <w:ind w:firstLine="0" w:firstLineChars="0"/>
              <w:jc w:val="center"/>
              <w:rPr>
                <w:rFonts w:ascii="仿宋" w:hAnsi="仿宋" w:eastAsia="仿宋"/>
                <w:color w:val="000000"/>
                <w:kern w:val="0"/>
                <w:sz w:val="24"/>
                <w:lang w:bidi="ar"/>
              </w:rPr>
            </w:pPr>
          </w:p>
        </w:tc>
        <w:tc>
          <w:tcPr>
            <w:tcW w:w="1056" w:type="dxa"/>
            <w:shd w:val="clear" w:color="auto" w:fill="E2EFD9"/>
            <w:noWrap/>
            <w:vAlign w:val="center"/>
          </w:tcPr>
          <w:p>
            <w:pPr>
              <w:spacing w:before="0" w:beforeLines="0" w:after="0" w:afterLines="0" w:line="276" w:lineRule="auto"/>
              <w:ind w:firstLine="0" w:firstLineChars="0"/>
              <w:jc w:val="center"/>
              <w:rPr>
                <w:rFonts w:ascii="仿宋" w:hAnsi="仿宋" w:eastAsia="仿宋"/>
                <w:color w:val="000000"/>
                <w:kern w:val="0"/>
                <w:sz w:val="24"/>
                <w:lang w:bidi="ar"/>
              </w:rPr>
            </w:pPr>
          </w:p>
        </w:tc>
        <w:tc>
          <w:tcPr>
            <w:tcW w:w="964" w:type="dxa"/>
            <w:shd w:val="clear" w:color="auto" w:fill="E2EFD9"/>
            <w:noWrap/>
            <w:vAlign w:val="center"/>
          </w:tcPr>
          <w:p>
            <w:pPr>
              <w:spacing w:before="0" w:beforeLines="0" w:after="0" w:afterLines="0" w:line="276" w:lineRule="auto"/>
              <w:ind w:firstLine="0" w:firstLineChars="0"/>
              <w:jc w:val="center"/>
              <w:rPr>
                <w:rFonts w:ascii="仿宋" w:hAnsi="仿宋" w:eastAsia="仿宋"/>
                <w:color w:val="000000"/>
                <w:kern w:val="0"/>
                <w:sz w:val="24"/>
                <w:lang w:bidi="ar"/>
              </w:rPr>
            </w:pP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13.5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gridSpan w:val="2"/>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给水管</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gridSpan w:val="2"/>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污水、雨水排水管</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1.2</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1.2</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restart"/>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电力电缆(含电车电缆)</w:t>
            </w: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直埋</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07" w:hRule="atLeast"/>
          <w:jc w:val="center"/>
        </w:trPr>
        <w:tc>
          <w:tcPr>
            <w:tcW w:w="0" w:type="auto"/>
            <w:vMerge w:val="continue"/>
            <w:shd w:val="clear" w:color="auto" w:fill="E2EFD9"/>
            <w:noWrap w:val="0"/>
            <w:vAlign w:val="center"/>
          </w:tcPr>
          <w:p>
            <w:pPr>
              <w:spacing w:before="0" w:beforeLines="0" w:after="0" w:afterLines="0" w:line="276" w:lineRule="auto"/>
              <w:ind w:firstLine="0" w:firstLineChars="0"/>
              <w:jc w:val="center"/>
              <w:rPr>
                <w:rFonts w:ascii="仿宋" w:hAnsi="仿宋" w:eastAsia="仿宋"/>
                <w:bCs/>
                <w:color w:val="000000"/>
                <w:sz w:val="24"/>
              </w:rPr>
            </w:pP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在导管内</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restart"/>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通信电缆</w:t>
            </w: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直埋</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continue"/>
            <w:shd w:val="clear" w:color="auto" w:fill="E2EFD9"/>
            <w:noWrap w:val="0"/>
            <w:vAlign w:val="center"/>
          </w:tcPr>
          <w:p>
            <w:pPr>
              <w:spacing w:before="0" w:beforeLines="0" w:after="0" w:afterLines="0" w:line="276" w:lineRule="auto"/>
              <w:ind w:firstLine="0" w:firstLineChars="0"/>
              <w:jc w:val="center"/>
              <w:rPr>
                <w:rFonts w:ascii="仿宋" w:hAnsi="仿宋" w:eastAsia="仿宋"/>
                <w:bCs/>
                <w:color w:val="000000"/>
                <w:sz w:val="24"/>
              </w:rPr>
            </w:pP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在导管内</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restart"/>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其他燃气管道</w:t>
            </w: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DN≤</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0.4</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0.4</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0.4</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0.4</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0.4</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continue"/>
            <w:shd w:val="clear" w:color="auto" w:fill="E2EFD9"/>
            <w:noWrap w:val="0"/>
            <w:vAlign w:val="center"/>
          </w:tcPr>
          <w:p>
            <w:pPr>
              <w:spacing w:before="0" w:beforeLines="0" w:after="0" w:afterLines="0" w:line="276" w:lineRule="auto"/>
              <w:ind w:firstLine="0" w:firstLineChars="0"/>
              <w:jc w:val="center"/>
              <w:rPr>
                <w:rFonts w:ascii="仿宋" w:hAnsi="仿宋" w:eastAsia="仿宋"/>
                <w:bCs/>
                <w:color w:val="000000"/>
                <w:sz w:val="24"/>
              </w:rPr>
            </w:pP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DN&gt;</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restart"/>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热力管</w:t>
            </w: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直埋</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continue"/>
            <w:shd w:val="clear" w:color="auto" w:fill="E2EFD9"/>
            <w:noWrap w:val="0"/>
            <w:vAlign w:val="center"/>
          </w:tcPr>
          <w:p>
            <w:pPr>
              <w:spacing w:before="0" w:beforeLines="0" w:after="0" w:afterLines="0" w:line="276" w:lineRule="auto"/>
              <w:ind w:firstLine="0" w:firstLineChars="0"/>
              <w:jc w:val="center"/>
              <w:rPr>
                <w:rFonts w:ascii="仿宋" w:hAnsi="仿宋" w:eastAsia="仿宋"/>
                <w:bCs/>
                <w:color w:val="000000"/>
                <w:sz w:val="24"/>
              </w:rPr>
            </w:pP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在管沟内(至外璧)</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1.5</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4.0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restart"/>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电杆(塔)的基础</w:t>
            </w: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≤35kV</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vMerge w:val="continue"/>
            <w:shd w:val="clear" w:color="auto" w:fill="E2EFD9"/>
            <w:noWrap w:val="0"/>
            <w:vAlign w:val="center"/>
          </w:tcPr>
          <w:p>
            <w:pPr>
              <w:spacing w:before="0" w:beforeLines="0" w:after="0" w:afterLines="0" w:line="276" w:lineRule="auto"/>
              <w:ind w:firstLine="0" w:firstLineChars="0"/>
              <w:jc w:val="center"/>
              <w:rPr>
                <w:rFonts w:ascii="仿宋" w:hAnsi="仿宋" w:eastAsia="仿宋"/>
                <w:bCs/>
                <w:color w:val="000000"/>
                <w:sz w:val="24"/>
              </w:rPr>
            </w:pPr>
          </w:p>
        </w:tc>
        <w:tc>
          <w:tcPr>
            <w:tcW w:w="0" w:type="auto"/>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&gt;35kV</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gridSpan w:val="2"/>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通信照明电杆(至电杆中心)</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1.0</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gridSpan w:val="2"/>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铁路路堤坡脚</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gridSpan w:val="2"/>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有轨电车钢轨</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2.0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0" w:type="auto"/>
            <w:gridSpan w:val="2"/>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街树(至树中心)</w:t>
            </w:r>
          </w:p>
        </w:tc>
        <w:tc>
          <w:tcPr>
            <w:tcW w:w="1195"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0.75</w:t>
            </w:r>
          </w:p>
        </w:tc>
        <w:tc>
          <w:tcPr>
            <w:tcW w:w="1056"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0.75</w:t>
            </w:r>
          </w:p>
        </w:tc>
        <w:tc>
          <w:tcPr>
            <w:tcW w:w="964"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0.75</w:t>
            </w:r>
          </w:p>
        </w:tc>
        <w:tc>
          <w:tcPr>
            <w:tcW w:w="908"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1.2</w:t>
            </w:r>
          </w:p>
        </w:tc>
        <w:tc>
          <w:tcPr>
            <w:tcW w:w="917" w:type="dxa"/>
            <w:shd w:val="clear" w:color="auto" w:fill="E2EFD9"/>
            <w:noWrap w:val="0"/>
            <w:vAlign w:val="center"/>
          </w:tcPr>
          <w:p>
            <w:pPr>
              <w:widowControl/>
              <w:spacing w:before="0" w:beforeLines="0" w:after="0" w:afterLines="0" w:line="276"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1.2</w:t>
            </w:r>
          </w:p>
        </w:tc>
      </w:tr>
    </w:tbl>
    <w:p>
      <w:pPr>
        <w:spacing w:before="190" w:after="190"/>
        <w:ind w:firstLine="560"/>
      </w:pPr>
    </w:p>
    <w:tbl>
      <w:tblPr>
        <w:tblStyle w:val="10"/>
        <w:tblW w:w="4779" w:type="pct"/>
        <w:tblInd w:w="25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234"/>
        <w:gridCol w:w="2434"/>
        <w:gridCol w:w="4483"/>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trPr>
        <w:tc>
          <w:tcPr>
            <w:tcW w:w="5000" w:type="pct"/>
            <w:gridSpan w:val="3"/>
            <w:shd w:val="clear" w:color="auto" w:fill="A8D08D"/>
            <w:noWrap/>
            <w:vAlign w:val="center"/>
          </w:tcPr>
          <w:p>
            <w:pPr>
              <w:widowControl/>
              <w:spacing w:before="0" w:beforeLines="0" w:after="0" w:afterLines="0" w:line="240" w:lineRule="auto"/>
              <w:ind w:firstLine="0" w:firstLineChars="0"/>
              <w:jc w:val="center"/>
              <w:textAlignment w:val="center"/>
              <w:rPr>
                <w:rFonts w:ascii="仿宋" w:hAnsi="仿宋" w:eastAsia="仿宋"/>
                <w:b/>
                <w:bCs/>
                <w:color w:val="000000"/>
                <w:sz w:val="24"/>
              </w:rPr>
            </w:pPr>
            <w:r>
              <w:rPr>
                <w:rFonts w:hint="eastAsia" w:ascii="仿宋" w:hAnsi="仿宋" w:eastAsia="仿宋"/>
                <w:b/>
                <w:color w:val="000000"/>
                <w:kern w:val="0"/>
                <w:sz w:val="24"/>
                <w:lang w:bidi="ar"/>
              </w:rPr>
              <w:t>地下燃气管道与构筑物或相邻管道之间垂直净距(m)</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40" w:hRule="atLeast"/>
        </w:trPr>
        <w:tc>
          <w:tcPr>
            <w:tcW w:w="225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项目</w:t>
            </w:r>
          </w:p>
        </w:tc>
        <w:tc>
          <w:tcPr>
            <w:tcW w:w="2750"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地下燃气管道(当有套管时，以套管计)</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07" w:hRule="atLeast"/>
        </w:trPr>
        <w:tc>
          <w:tcPr>
            <w:tcW w:w="225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给水管、排水管或其他燃气管道</w:t>
            </w:r>
          </w:p>
        </w:tc>
        <w:tc>
          <w:tcPr>
            <w:tcW w:w="2750"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0.15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99" w:hRule="atLeast"/>
        </w:trPr>
        <w:tc>
          <w:tcPr>
            <w:tcW w:w="225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热力管、热力管的管沟底(或顶)</w:t>
            </w:r>
          </w:p>
        </w:tc>
        <w:tc>
          <w:tcPr>
            <w:tcW w:w="2750"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0.15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91" w:hRule="atLeast"/>
        </w:trPr>
        <w:tc>
          <w:tcPr>
            <w:tcW w:w="757"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电缆</w:t>
            </w:r>
          </w:p>
        </w:tc>
        <w:tc>
          <w:tcPr>
            <w:tcW w:w="149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直  埋</w:t>
            </w:r>
          </w:p>
        </w:tc>
        <w:tc>
          <w:tcPr>
            <w:tcW w:w="2750"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12" w:hRule="atLeast"/>
        </w:trPr>
        <w:tc>
          <w:tcPr>
            <w:tcW w:w="757"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bCs/>
                <w:color w:val="000000"/>
                <w:sz w:val="24"/>
              </w:rPr>
            </w:pPr>
          </w:p>
        </w:tc>
        <w:tc>
          <w:tcPr>
            <w:tcW w:w="149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在导管内</w:t>
            </w:r>
          </w:p>
        </w:tc>
        <w:tc>
          <w:tcPr>
            <w:tcW w:w="2750"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0.15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03" w:hRule="atLeast"/>
        </w:trPr>
        <w:tc>
          <w:tcPr>
            <w:tcW w:w="757"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铁路</w:t>
            </w:r>
          </w:p>
        </w:tc>
        <w:tc>
          <w:tcPr>
            <w:tcW w:w="149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sz w:val="24"/>
              </w:rPr>
            </w:pPr>
            <w:r>
              <w:rPr>
                <w:rFonts w:hint="eastAsia" w:ascii="仿宋" w:hAnsi="仿宋" w:eastAsia="仿宋"/>
                <w:color w:val="000000"/>
                <w:kern w:val="0"/>
                <w:sz w:val="24"/>
                <w:lang w:bidi="ar"/>
              </w:rPr>
              <w:t>轨底)</w:t>
            </w:r>
          </w:p>
        </w:tc>
        <w:tc>
          <w:tcPr>
            <w:tcW w:w="2750"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1.2</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09" w:hRule="atLeast"/>
        </w:trPr>
        <w:tc>
          <w:tcPr>
            <w:tcW w:w="2250" w:type="pct"/>
            <w:gridSpan w:val="2"/>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bCs/>
                <w:color w:val="000000"/>
                <w:sz w:val="24"/>
              </w:rPr>
            </w:pPr>
            <w:r>
              <w:rPr>
                <w:rFonts w:hint="eastAsia" w:ascii="仿宋" w:hAnsi="仿宋" w:eastAsia="仿宋"/>
                <w:bCs/>
                <w:color w:val="000000"/>
                <w:kern w:val="0"/>
                <w:sz w:val="24"/>
                <w:lang w:bidi="ar"/>
              </w:rPr>
              <w:t>有轨电车(轨底)</w:t>
            </w:r>
          </w:p>
        </w:tc>
        <w:tc>
          <w:tcPr>
            <w:tcW w:w="2750"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olor w:val="000000"/>
                <w:kern w:val="0"/>
                <w:sz w:val="24"/>
                <w:lang w:bidi="ar"/>
              </w:rPr>
            </w:pPr>
            <w:r>
              <w:rPr>
                <w:rFonts w:hint="eastAsia" w:ascii="仿宋" w:hAnsi="仿宋" w:eastAsia="仿宋"/>
                <w:color w:val="000000"/>
                <w:kern w:val="0"/>
                <w:sz w:val="24"/>
                <w:lang w:bidi="ar"/>
              </w:rPr>
              <w:t>1</w:t>
            </w:r>
          </w:p>
        </w:tc>
      </w:tr>
    </w:tbl>
    <w:p>
      <w:pPr>
        <w:pStyle w:val="3"/>
        <w:spacing w:before="190" w:after="190"/>
        <w:rPr>
          <w:rFonts w:ascii="宋体" w:hAnsi="宋体"/>
          <w:szCs w:val="32"/>
        </w:rPr>
      </w:pPr>
      <w:bookmarkStart w:id="399" w:name="_Toc4817"/>
      <w:bookmarkStart w:id="400" w:name="_Toc2016"/>
      <w:bookmarkStart w:id="401" w:name="_Toc15692"/>
      <w:r>
        <w:rPr>
          <w:rFonts w:hint="eastAsia" w:ascii="宋体" w:hAnsi="宋体"/>
          <w:szCs w:val="32"/>
        </w:rPr>
        <w:t>6.4加油加气站消防安全布局规划</w:t>
      </w:r>
      <w:bookmarkEnd w:id="399"/>
      <w:bookmarkEnd w:id="400"/>
      <w:bookmarkEnd w:id="401"/>
    </w:p>
    <w:p>
      <w:pPr>
        <w:pStyle w:val="4"/>
        <w:spacing w:before="0" w:beforeLines="0" w:after="0" w:afterLines="0" w:line="240" w:lineRule="auto"/>
        <w:rPr>
          <w:rFonts w:ascii="宋体" w:hAnsi="宋体"/>
          <w:szCs w:val="30"/>
        </w:rPr>
      </w:pPr>
      <w:bookmarkStart w:id="402" w:name="_Toc36114545"/>
      <w:bookmarkStart w:id="403" w:name="_Toc59386346"/>
      <w:bookmarkStart w:id="404" w:name="_Toc21810"/>
      <w:bookmarkStart w:id="405" w:name="_Toc17013"/>
      <w:bookmarkStart w:id="406" w:name="_Toc8534"/>
      <w:r>
        <w:rPr>
          <w:rFonts w:hint="eastAsia" w:ascii="宋体" w:hAnsi="宋体"/>
          <w:szCs w:val="30"/>
        </w:rPr>
        <w:t>6.4.1 加油加气站规划</w:t>
      </w:r>
      <w:bookmarkEnd w:id="402"/>
      <w:r>
        <w:rPr>
          <w:rFonts w:hint="eastAsia" w:ascii="宋体" w:hAnsi="宋体"/>
          <w:szCs w:val="30"/>
        </w:rPr>
        <w:t>原则</w:t>
      </w:r>
      <w:bookmarkEnd w:id="403"/>
      <w:bookmarkEnd w:id="404"/>
      <w:bookmarkEnd w:id="405"/>
      <w:bookmarkEnd w:id="406"/>
    </w:p>
    <w:p>
      <w:pPr>
        <w:spacing w:before="190" w:after="190"/>
        <w:ind w:firstLine="560"/>
        <w:rPr>
          <w:rFonts w:ascii="宋体" w:hAnsi="宋体"/>
        </w:rPr>
      </w:pPr>
      <w:r>
        <w:rPr>
          <w:rFonts w:hint="eastAsia" w:ascii="宋体" w:hAnsi="宋体"/>
        </w:rPr>
        <w:t>（1）加油站按照服务半径0.9—1.2公里布置，加气站服务半径以1—2公里为宜。严格控制城市加油、加气站用地规模，明确其储油量，用地控制必须包括加油、加气站的建筑、设施、车辆修理、车行道路、隔离绿地等。单座加气站的规模控制在1.0—1.5万Nm3/d左右。</w:t>
      </w:r>
    </w:p>
    <w:p>
      <w:pPr>
        <w:spacing w:before="190" w:after="190"/>
        <w:ind w:firstLine="560"/>
        <w:rPr>
          <w:rFonts w:ascii="宋体" w:hAnsi="宋体"/>
        </w:rPr>
      </w:pPr>
      <w:r>
        <w:rPr>
          <w:rFonts w:hint="eastAsia" w:ascii="宋体" w:hAnsi="宋体"/>
        </w:rPr>
        <w:t>（2）加油、加气站的布点，应有利于油品、可燃气体运输线路的组织，尽可能的减少油品运输事故对城市造成消防安全影响。对车辆比较集中的公交车停车场和大型运输企业，可与场站合并建设。加气站应选择敷设有燃气主干线的地段，以方便接气，有条件的可以和加油站合并建设。</w:t>
      </w:r>
    </w:p>
    <w:p>
      <w:pPr>
        <w:spacing w:before="190" w:after="190"/>
        <w:ind w:firstLine="560"/>
        <w:rPr>
          <w:rFonts w:ascii="宋体" w:hAnsi="宋体"/>
        </w:rPr>
      </w:pPr>
      <w:r>
        <w:rPr>
          <w:rFonts w:hint="eastAsia" w:ascii="宋体" w:hAnsi="宋体"/>
        </w:rPr>
        <w:t>（3）一级加油站、一级加气站、一级加油加气合建站、CNG加气母站存储设备容积大，加油加气量大，风险性相对较大。因此，在城市建成区不宜建一级加油站、一级加气站、一级加油加气合建站、CNG加气母站。</w:t>
      </w:r>
    </w:p>
    <w:p>
      <w:pPr>
        <w:spacing w:before="190" w:after="190"/>
        <w:ind w:firstLine="560"/>
        <w:rPr>
          <w:rFonts w:ascii="宋体" w:hAnsi="宋体"/>
        </w:rPr>
      </w:pPr>
      <w:r>
        <w:rPr>
          <w:rFonts w:hint="eastAsia" w:ascii="宋体" w:hAnsi="宋体"/>
        </w:rPr>
        <w:t>（4）城市建成区内的加油、加气站宜靠近城市道路，但不宜布置在城市干道的交叉路口附近，出入口宜设置在次干路上，以方便车辆加油加气，同时又不干扰交通、利于道路通行；严格城市加油、加气站建设规划审批、建筑审查、施工验收的消防监管程序，明确城市加油加气站的消防安全要求。</w:t>
      </w:r>
    </w:p>
    <w:p>
      <w:pPr>
        <w:spacing w:before="190" w:after="190"/>
        <w:ind w:firstLine="560"/>
        <w:rPr>
          <w:rFonts w:ascii="宋体" w:hAnsi="宋体"/>
        </w:rPr>
      </w:pPr>
      <w:r>
        <w:rPr>
          <w:rFonts w:hint="eastAsia" w:ascii="宋体" w:hAnsi="宋体"/>
        </w:rPr>
        <w:t>（5）新建加气站均应从中压管道接气。对于已建成的子站，应逐步改造为标准站或逐步淘汰。</w:t>
      </w:r>
    </w:p>
    <w:p>
      <w:pPr>
        <w:pStyle w:val="4"/>
        <w:spacing w:before="0" w:beforeLines="0" w:after="0" w:afterLines="0" w:line="240" w:lineRule="auto"/>
        <w:rPr>
          <w:rFonts w:ascii="宋体" w:hAnsi="宋体"/>
          <w:szCs w:val="30"/>
        </w:rPr>
      </w:pPr>
      <w:bookmarkStart w:id="407" w:name="_Toc59386347"/>
      <w:bookmarkStart w:id="408" w:name="_Toc3001"/>
      <w:bookmarkStart w:id="409" w:name="_Toc14397"/>
      <w:bookmarkStart w:id="410" w:name="_Toc22613"/>
      <w:r>
        <w:rPr>
          <w:rFonts w:hint="eastAsia" w:ascii="宋体" w:hAnsi="宋体"/>
          <w:szCs w:val="30"/>
        </w:rPr>
        <w:t>6.4.2加油加气站消防安全规划</w:t>
      </w:r>
      <w:bookmarkEnd w:id="407"/>
      <w:bookmarkEnd w:id="408"/>
      <w:bookmarkEnd w:id="409"/>
      <w:bookmarkEnd w:id="410"/>
    </w:p>
    <w:p>
      <w:pPr>
        <w:spacing w:before="190" w:after="190"/>
        <w:ind w:firstLine="560"/>
        <w:rPr>
          <w:rFonts w:ascii="宋体" w:hAnsi="宋体"/>
        </w:rPr>
      </w:pPr>
      <w:r>
        <w:rPr>
          <w:rFonts w:hint="eastAsia" w:ascii="宋体" w:hAnsi="宋体"/>
        </w:rPr>
        <w:t>城市规划建设用地面积为14.4平方公里，已建成加油加气站总数为1</w:t>
      </w:r>
      <w:r>
        <w:rPr>
          <w:rFonts w:ascii="宋体" w:hAnsi="宋体"/>
        </w:rPr>
        <w:t>8</w:t>
      </w:r>
      <w:r>
        <w:rPr>
          <w:rFonts w:hint="eastAsia" w:ascii="宋体" w:hAnsi="宋体"/>
        </w:rPr>
        <w:t>座，正在建设的加油加气站1座；其中加油站1</w:t>
      </w:r>
      <w:r>
        <w:rPr>
          <w:rFonts w:ascii="宋体" w:hAnsi="宋体"/>
        </w:rPr>
        <w:t>2</w:t>
      </w:r>
      <w:r>
        <w:rPr>
          <w:rFonts w:hint="eastAsia" w:ascii="宋体" w:hAnsi="宋体"/>
        </w:rPr>
        <w:t>座、加气站3座、加油加气合建站4座。规划建议县城盐林路与民族街交叉路口附近3座现状加油加气站保留1座加油站、其他2座搬迁至城市外围。规划新建加油、加气站各一座，规划加油加气站总数为</w:t>
      </w:r>
      <w:r>
        <w:rPr>
          <w:rFonts w:ascii="宋体" w:hAnsi="宋体"/>
        </w:rPr>
        <w:t>21</w:t>
      </w:r>
      <w:r>
        <w:rPr>
          <w:rFonts w:hint="eastAsia" w:ascii="宋体" w:hAnsi="宋体"/>
        </w:rPr>
        <w:t>座，新建加油加气站主要布置在城市新建区域和城市对外交通出入口处。</w:t>
      </w:r>
    </w:p>
    <w:p>
      <w:pPr>
        <w:spacing w:before="190" w:after="190"/>
        <w:ind w:firstLine="0" w:firstLineChars="0"/>
        <w:jc w:val="center"/>
        <w:rPr>
          <w:rFonts w:ascii="宋体" w:hAnsi="宋体"/>
        </w:rPr>
      </w:pPr>
      <w:r>
        <w:rPr>
          <w:rFonts w:hint="eastAsia" w:ascii="宋体" w:hAnsi="宋体"/>
        </w:rPr>
        <w:drawing>
          <wp:inline distT="0" distB="0" distL="114300" distR="114300">
            <wp:extent cx="5370830" cy="3938270"/>
            <wp:effectExtent l="0" t="0" r="1270" b="5080"/>
            <wp:docPr id="6" name="图片 18" descr="12-城市易燃易爆设施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8" descr="12-城市易燃易爆设施规划图"/>
                    <pic:cNvPicPr>
                      <a:picLocks noChangeAspect="true"/>
                    </pic:cNvPicPr>
                  </pic:nvPicPr>
                  <pic:blipFill>
                    <a:blip r:embed="rId33"/>
                    <a:srcRect l="3598"/>
                    <a:stretch>
                      <a:fillRect/>
                    </a:stretch>
                  </pic:blipFill>
                  <pic:spPr>
                    <a:xfrm>
                      <a:off x="0" y="0"/>
                      <a:ext cx="5370830" cy="3938270"/>
                    </a:xfrm>
                    <a:prstGeom prst="rect">
                      <a:avLst/>
                    </a:prstGeom>
                    <a:noFill/>
                    <a:ln>
                      <a:noFill/>
                    </a:ln>
                  </pic:spPr>
                </pic:pic>
              </a:graphicData>
            </a:graphic>
          </wp:inline>
        </w:drawing>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规划加油加气站一览表</w:t>
      </w:r>
    </w:p>
    <w:tbl>
      <w:tblPr>
        <w:tblStyle w:val="10"/>
        <w:tblW w:w="4885"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Layout w:type="autofit"/>
        <w:tblCellMar>
          <w:top w:w="0" w:type="dxa"/>
          <w:left w:w="108" w:type="dxa"/>
          <w:bottom w:w="0" w:type="dxa"/>
          <w:right w:w="108" w:type="dxa"/>
        </w:tblCellMar>
      </w:tblPr>
      <w:tblGrid>
        <w:gridCol w:w="619"/>
        <w:gridCol w:w="2886"/>
        <w:gridCol w:w="2561"/>
        <w:gridCol w:w="1049"/>
        <w:gridCol w:w="1217"/>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blHeader/>
          <w:jc w:val="center"/>
        </w:trPr>
        <w:tc>
          <w:tcPr>
            <w:tcW w:w="372"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序号</w:t>
            </w:r>
          </w:p>
        </w:tc>
        <w:tc>
          <w:tcPr>
            <w:tcW w:w="1731"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加油、加气站名称</w:t>
            </w:r>
          </w:p>
        </w:tc>
        <w:tc>
          <w:tcPr>
            <w:tcW w:w="1536"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位置</w:t>
            </w:r>
          </w:p>
        </w:tc>
        <w:tc>
          <w:tcPr>
            <w:tcW w:w="629"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类型</w:t>
            </w:r>
          </w:p>
        </w:tc>
        <w:tc>
          <w:tcPr>
            <w:tcW w:w="730" w:type="pct"/>
            <w:tcBorders>
              <w:top w:val="single" w:color="538135" w:sz="8" w:space="0"/>
              <w:left w:val="single" w:color="538135" w:sz="8" w:space="0"/>
              <w:bottom w:val="single" w:color="538135" w:sz="8" w:space="0"/>
              <w:right w:val="single" w:color="538135" w:sz="8" w:space="0"/>
            </w:tcBorders>
            <w:shd w:val="clear" w:color="auto" w:fill="A8D08D"/>
            <w:noWrap w:val="0"/>
            <w:vAlign w:val="center"/>
          </w:tcPr>
          <w:p>
            <w:pPr>
              <w:spacing w:before="0" w:beforeLines="0" w:after="0" w:afterLines="0" w:line="240" w:lineRule="auto"/>
              <w:ind w:firstLine="0" w:firstLineChars="0"/>
              <w:jc w:val="center"/>
              <w:rPr>
                <w:rFonts w:ascii="仿宋" w:hAnsi="仿宋" w:eastAsia="仿宋"/>
                <w:b/>
                <w:bCs/>
                <w:sz w:val="24"/>
              </w:rPr>
            </w:pPr>
            <w:r>
              <w:rPr>
                <w:rFonts w:hint="eastAsia" w:ascii="仿宋" w:hAnsi="仿宋" w:eastAsia="仿宋"/>
                <w:b/>
                <w:bCs/>
                <w:sz w:val="24"/>
              </w:rPr>
              <w:t>规划建议</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宁夏盐池生茂燃气服务有限公司加油加气站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盐州路与南二环路交汇处西北侧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合建站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2</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铭仑能源加油加气站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民族西街以北、五原路以西</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合建站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3</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中石化盐池西门加油加气站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民族西街与西二环交汇处北侧、307国道西侧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合建站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4</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盐池县北环加油加气站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北环南侧、福州路东侧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合建站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正在建设</w:t>
            </w:r>
          </w:p>
          <w:p>
            <w:pPr>
              <w:spacing w:before="0" w:beforeLines="0" w:after="0" w:afterLines="0" w:line="240" w:lineRule="auto"/>
              <w:ind w:firstLine="0" w:firstLineChars="0"/>
              <w:jc w:val="both"/>
              <w:rPr>
                <w:rFonts w:ascii="仿宋" w:hAnsi="仿宋" w:eastAsia="仿宋"/>
                <w:sz w:val="24"/>
              </w:rPr>
            </w:pPr>
            <w:r>
              <w:rPr>
                <w:rFonts w:hint="eastAsia" w:ascii="仿宋" w:hAnsi="仿宋" w:eastAsia="仿宋"/>
                <w:sz w:val="24"/>
              </w:rPr>
              <w:t>规划保留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5</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中石油盐池盐兴加油站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盐林南路与广惠西街交汇处东北侧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6</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中石油盐池东门加油站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东顺路与民族西街交汇处西北侧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7</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中石油盐池长城加油站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民族西街与后卫南路交汇处东北侧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8</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中石油盐池裕源丰加油站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民族西街以北、五原北路以西</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9</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中石化盐池东星加油站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民族西街与振兴路交汇处西北侧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10</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中石化盐池南门加油站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南环路与福州路交汇处东北侧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11</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中石化盐池东门加油站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盐池县城东门青年创业园向东500米处</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12</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中石化南环加油站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凝翠路路与盐川大道交汇处东北侧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13</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中国油联加油站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县城东侧、307国道南侧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14</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银青高速盐池服务区加油站（南）</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银青高速盐池服务区（南）</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15</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银青高速盐池服务区加油站（北）</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银青高速盐池服务区（北）</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16</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盐池县荣兴加气站（有限公司）第一分公司</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盐柳路东侧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17</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盐池县荣兴加气南站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五原南路以西、广惠街以北</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现状保留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18</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中石油盐池西门加油站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民族街与盐林路交汇处西南侧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规划搬迁</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19</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盐池县荣兴加气站（有限公司）第三分公司</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民族西街北侧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规划搬迁</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20</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规划加气站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凝翠街与平安大道交汇处西北侧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加气站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规划新建</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884" w:hRule="atLeast"/>
          <w:jc w:val="center"/>
        </w:trPr>
        <w:tc>
          <w:tcPr>
            <w:tcW w:w="372"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bCs/>
                <w:sz w:val="24"/>
              </w:rPr>
            </w:pPr>
            <w:r>
              <w:rPr>
                <w:rFonts w:hint="eastAsia" w:ascii="仿宋" w:hAnsi="仿宋" w:eastAsia="仿宋"/>
                <w:bCs/>
                <w:sz w:val="24"/>
              </w:rPr>
              <w:t>21</w:t>
            </w:r>
          </w:p>
        </w:tc>
        <w:tc>
          <w:tcPr>
            <w:tcW w:w="1731"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规划加油站</w:t>
            </w:r>
          </w:p>
        </w:tc>
        <w:tc>
          <w:tcPr>
            <w:tcW w:w="1536"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凝翠街与东顺路交汇处西北侧</w:t>
            </w:r>
          </w:p>
        </w:tc>
        <w:tc>
          <w:tcPr>
            <w:tcW w:w="629" w:type="pct"/>
            <w:tcBorders>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加油站</w:t>
            </w:r>
          </w:p>
        </w:tc>
        <w:tc>
          <w:tcPr>
            <w:tcW w:w="730" w:type="pct"/>
            <w:tcBorders>
              <w:left w:val="single" w:color="538135" w:sz="8" w:space="0"/>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规划新建</w:t>
            </w:r>
          </w:p>
        </w:tc>
      </w:tr>
    </w:tbl>
    <w:p>
      <w:pPr>
        <w:spacing w:before="190" w:after="190" w:line="240" w:lineRule="auto"/>
        <w:ind w:firstLine="0" w:firstLineChars="0"/>
        <w:jc w:val="left"/>
        <w:rPr>
          <w:sz w:val="24"/>
        </w:rPr>
      </w:pPr>
    </w:p>
    <w:tbl>
      <w:tblPr>
        <w:tblStyle w:val="10"/>
        <w:tblW w:w="4901"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Layout w:type="fixed"/>
        <w:tblCellMar>
          <w:top w:w="0" w:type="dxa"/>
          <w:left w:w="108" w:type="dxa"/>
          <w:bottom w:w="0" w:type="dxa"/>
          <w:right w:w="108" w:type="dxa"/>
        </w:tblCellMar>
      </w:tblPr>
      <w:tblGrid>
        <w:gridCol w:w="742"/>
        <w:gridCol w:w="937"/>
        <w:gridCol w:w="466"/>
        <w:gridCol w:w="587"/>
        <w:gridCol w:w="587"/>
        <w:gridCol w:w="473"/>
        <w:gridCol w:w="462"/>
        <w:gridCol w:w="717"/>
        <w:gridCol w:w="473"/>
        <w:gridCol w:w="468"/>
        <w:gridCol w:w="723"/>
        <w:gridCol w:w="462"/>
        <w:gridCol w:w="587"/>
        <w:gridCol w:w="676"/>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blHeader/>
          <w:jc w:val="center"/>
        </w:trPr>
        <w:tc>
          <w:tcPr>
            <w:tcW w:w="5000" w:type="pct"/>
            <w:gridSpan w:val="14"/>
            <w:shd w:val="clear" w:color="auto" w:fill="A8D08D"/>
            <w:noWrap/>
            <w:vAlign w:val="center"/>
          </w:tcPr>
          <w:p>
            <w:pPr>
              <w:spacing w:before="0" w:beforeLines="0" w:after="0" w:afterLines="0" w:line="240" w:lineRule="auto"/>
              <w:ind w:firstLine="0" w:firstLineChars="0"/>
              <w:jc w:val="center"/>
              <w:rPr>
                <w:rFonts w:ascii="仿宋" w:hAnsi="仿宋" w:eastAsia="仿宋"/>
                <w:b/>
                <w:sz w:val="24"/>
              </w:rPr>
            </w:pPr>
            <w:r>
              <w:rPr>
                <w:rFonts w:hint="eastAsia" w:ascii="仿宋" w:hAnsi="仿宋" w:eastAsia="仿宋"/>
                <w:b/>
                <w:sz w:val="24"/>
              </w:rPr>
              <w:t>汽油设备与站外建(构)筑物的安全间距(m)</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vMerge w:val="restar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站外建(构)筑物</w:t>
            </w:r>
          </w:p>
        </w:tc>
        <w:tc>
          <w:tcPr>
            <w:tcW w:w="3995" w:type="pct"/>
            <w:gridSpan w:val="12"/>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站内汽油设备</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2963" w:type="pct"/>
            <w:gridSpan w:val="9"/>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埋地油罐</w:t>
            </w:r>
          </w:p>
        </w:tc>
        <w:tc>
          <w:tcPr>
            <w:tcW w:w="1032" w:type="pct"/>
            <w:gridSpan w:val="3"/>
            <w:vMerge w:val="restar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加油机、通气管管口</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983" w:type="pct"/>
            <w:gridSpan w:val="3"/>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一级站</w:t>
            </w:r>
          </w:p>
        </w:tc>
        <w:tc>
          <w:tcPr>
            <w:tcW w:w="986" w:type="pct"/>
            <w:gridSpan w:val="3"/>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二级站</w:t>
            </w:r>
          </w:p>
        </w:tc>
        <w:tc>
          <w:tcPr>
            <w:tcW w:w="993" w:type="pct"/>
            <w:gridSpan w:val="3"/>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三级站</w:t>
            </w:r>
          </w:p>
        </w:tc>
        <w:tc>
          <w:tcPr>
            <w:tcW w:w="1032" w:type="pct"/>
            <w:gridSpan w:val="3"/>
            <w:vMerge w:val="continue"/>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279"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无油气回收系统</w:t>
            </w:r>
          </w:p>
        </w:tc>
        <w:tc>
          <w:tcPr>
            <w:tcW w:w="35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有卸油油气回收系统</w:t>
            </w:r>
          </w:p>
        </w:tc>
        <w:tc>
          <w:tcPr>
            <w:tcW w:w="35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有卸油和加油油气回收系统</w:t>
            </w:r>
          </w:p>
        </w:tc>
        <w:tc>
          <w:tcPr>
            <w:tcW w:w="28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无油气回收系统</w:t>
            </w:r>
          </w:p>
        </w:tc>
        <w:tc>
          <w:tcPr>
            <w:tcW w:w="2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有卸油油气回收系统</w:t>
            </w:r>
          </w:p>
        </w:tc>
        <w:tc>
          <w:tcPr>
            <w:tcW w:w="428"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有卸油和加油油气回收系统</w:t>
            </w:r>
          </w:p>
        </w:tc>
        <w:tc>
          <w:tcPr>
            <w:tcW w:w="28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无油气回收系统</w:t>
            </w:r>
          </w:p>
        </w:tc>
        <w:tc>
          <w:tcPr>
            <w:tcW w:w="280"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有卸油油气回收系统</w:t>
            </w:r>
          </w:p>
        </w:tc>
        <w:tc>
          <w:tcPr>
            <w:tcW w:w="43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有卸油和加油油气回收系统</w:t>
            </w:r>
          </w:p>
        </w:tc>
        <w:tc>
          <w:tcPr>
            <w:tcW w:w="276"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无油气回收系统</w:t>
            </w:r>
          </w:p>
        </w:tc>
        <w:tc>
          <w:tcPr>
            <w:tcW w:w="352"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有卸油油气回收系统</w:t>
            </w:r>
          </w:p>
        </w:tc>
        <w:tc>
          <w:tcPr>
            <w:tcW w:w="404"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有卸油和加油油气回收系统</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重要公共建筑物</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40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50</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40</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50</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40</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35</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40</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明火地点或散发火花地点</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30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24</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21</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25</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20</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18</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14.5</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12.5</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18</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14.5</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444" w:type="pct"/>
            <w:vMerge w:val="restar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民用建筑物保护类别</w:t>
            </w:r>
          </w:p>
        </w:tc>
        <w:tc>
          <w:tcPr>
            <w:tcW w:w="56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一类保护物</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25</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20</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13</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11</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13</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44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56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二类保护物</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13</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11</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9.5</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8.5</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9.5</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8.5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444"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p>
        </w:tc>
        <w:tc>
          <w:tcPr>
            <w:tcW w:w="56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三类保护物</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13</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11</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9.5</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8.5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10</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8</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7</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8</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7</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甲、乙类物品生产厂房、库房和甲、乙类液体储罐</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25</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22</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17.5</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15.5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18</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14.5</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12.5</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18</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14.5</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丙、丁、戊类物品生产厂房、库房和丙类液体储罐以及容积不大于50m2的埋地甲、乙类液体储罐</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18</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14.5</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16</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13</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11</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15</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10.5</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15</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10.5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室外变配电站</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25</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22</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18</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15.5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18</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14.5</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12.5</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18</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14.5</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12.5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1005" w:type="pct"/>
            <w:gridSpan w:val="2"/>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铁路</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22</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17.5</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15.5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22</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17.5</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15.5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22</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17.5</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15.5</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22</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17.5</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15.5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444" w:type="pct"/>
            <w:vMerge w:val="restar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城市道路</w:t>
            </w:r>
          </w:p>
        </w:tc>
        <w:tc>
          <w:tcPr>
            <w:tcW w:w="561" w:type="pct"/>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快速路、主干路</w:t>
            </w:r>
          </w:p>
        </w:tc>
        <w:tc>
          <w:tcPr>
            <w:tcW w:w="279"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10</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8</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7</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8</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6.5</w:t>
            </w:r>
          </w:p>
        </w:tc>
        <w:tc>
          <w:tcPr>
            <w:tcW w:w="428"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5.5</w:t>
            </w:r>
          </w:p>
        </w:tc>
        <w:tc>
          <w:tcPr>
            <w:tcW w:w="28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8</w:t>
            </w:r>
          </w:p>
        </w:tc>
        <w:tc>
          <w:tcPr>
            <w:tcW w:w="280"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6.5</w:t>
            </w:r>
          </w:p>
        </w:tc>
        <w:tc>
          <w:tcPr>
            <w:tcW w:w="431"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5.5</w:t>
            </w:r>
          </w:p>
        </w:tc>
        <w:tc>
          <w:tcPr>
            <w:tcW w:w="276"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6</w:t>
            </w:r>
          </w:p>
        </w:tc>
        <w:tc>
          <w:tcPr>
            <w:tcW w:w="352"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w:t>
            </w:r>
          </w:p>
        </w:tc>
        <w:tc>
          <w:tcPr>
            <w:tcW w:w="404" w:type="pct"/>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67" w:hRule="atLeast"/>
          <w:jc w:val="center"/>
        </w:trPr>
        <w:tc>
          <w:tcPr>
            <w:tcW w:w="444" w:type="pct"/>
            <w:vMerge w:val="continue"/>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p>
        </w:tc>
        <w:tc>
          <w:tcPr>
            <w:tcW w:w="561" w:type="pct"/>
            <w:tcBorders>
              <w:bottom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sz w:val="24"/>
              </w:rPr>
            </w:pPr>
            <w:r>
              <w:rPr>
                <w:rFonts w:hint="eastAsia" w:ascii="仿宋" w:hAnsi="仿宋" w:eastAsia="仿宋"/>
                <w:sz w:val="24"/>
              </w:rPr>
              <w:t>次干路、支路</w:t>
            </w:r>
          </w:p>
        </w:tc>
        <w:tc>
          <w:tcPr>
            <w:tcW w:w="279"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8</w:t>
            </w:r>
          </w:p>
        </w:tc>
        <w:tc>
          <w:tcPr>
            <w:tcW w:w="352"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6.5</w:t>
            </w:r>
          </w:p>
        </w:tc>
        <w:tc>
          <w:tcPr>
            <w:tcW w:w="352"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5.5</w:t>
            </w:r>
          </w:p>
        </w:tc>
        <w:tc>
          <w:tcPr>
            <w:tcW w:w="282"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6</w:t>
            </w:r>
          </w:p>
        </w:tc>
        <w:tc>
          <w:tcPr>
            <w:tcW w:w="276"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w:t>
            </w:r>
          </w:p>
        </w:tc>
        <w:tc>
          <w:tcPr>
            <w:tcW w:w="428"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w:t>
            </w:r>
          </w:p>
        </w:tc>
        <w:tc>
          <w:tcPr>
            <w:tcW w:w="282"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6</w:t>
            </w:r>
          </w:p>
        </w:tc>
        <w:tc>
          <w:tcPr>
            <w:tcW w:w="280"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w:t>
            </w:r>
          </w:p>
        </w:tc>
        <w:tc>
          <w:tcPr>
            <w:tcW w:w="431"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w:t>
            </w:r>
          </w:p>
        </w:tc>
        <w:tc>
          <w:tcPr>
            <w:tcW w:w="276"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w:t>
            </w:r>
          </w:p>
        </w:tc>
        <w:tc>
          <w:tcPr>
            <w:tcW w:w="352"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w:t>
            </w:r>
          </w:p>
        </w:tc>
        <w:tc>
          <w:tcPr>
            <w:tcW w:w="404" w:type="pct"/>
            <w:tcBorders>
              <w:bottom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sz w:val="24"/>
              </w:rPr>
            </w:pPr>
            <w:r>
              <w:rPr>
                <w:rFonts w:ascii="仿宋" w:hAnsi="仿宋" w:eastAsia="仿宋"/>
                <w:sz w:val="24"/>
              </w:rPr>
              <w:t>5</w:t>
            </w:r>
          </w:p>
        </w:tc>
      </w:tr>
    </w:tbl>
    <w:p>
      <w:pPr>
        <w:spacing w:before="190" w:after="190"/>
        <w:ind w:firstLine="560"/>
      </w:pPr>
    </w:p>
    <w:tbl>
      <w:tblPr>
        <w:tblStyle w:val="10"/>
        <w:tblW w:w="4901" w:type="pct"/>
        <w:jc w:val="center"/>
        <w:tblLayout w:type="fixed"/>
        <w:tblCellMar>
          <w:top w:w="0" w:type="dxa"/>
          <w:left w:w="108" w:type="dxa"/>
          <w:bottom w:w="0" w:type="dxa"/>
          <w:right w:w="108" w:type="dxa"/>
        </w:tblCellMar>
      </w:tblPr>
      <w:tblGrid>
        <w:gridCol w:w="1424"/>
        <w:gridCol w:w="1649"/>
        <w:gridCol w:w="1183"/>
        <w:gridCol w:w="1655"/>
        <w:gridCol w:w="2447"/>
      </w:tblGrid>
      <w:tr>
        <w:tblPrEx>
          <w:tblCellMar>
            <w:top w:w="0" w:type="dxa"/>
            <w:left w:w="108" w:type="dxa"/>
            <w:bottom w:w="0" w:type="dxa"/>
            <w:right w:w="108" w:type="dxa"/>
          </w:tblCellMar>
        </w:tblPrEx>
        <w:trPr>
          <w:trHeight w:val="567" w:hRule="atLeast"/>
          <w:tblHeader/>
          <w:jc w:val="center"/>
        </w:trPr>
        <w:tc>
          <w:tcPr>
            <w:tcW w:w="5000" w:type="pct"/>
            <w:gridSpan w:val="5"/>
            <w:tcBorders>
              <w:top w:val="single" w:color="538135" w:sz="8" w:space="0"/>
              <w:left w:val="single" w:color="538135" w:sz="8" w:space="0"/>
              <w:bottom w:val="single" w:color="538135" w:sz="8" w:space="0"/>
              <w:right w:val="single" w:color="538135" w:sz="8" w:space="0"/>
            </w:tcBorders>
            <w:shd w:val="clear" w:color="auto" w:fill="A8D08D"/>
            <w:noWrap/>
            <w:vAlign w:val="center"/>
          </w:tcPr>
          <w:p>
            <w:pPr>
              <w:widowControl/>
              <w:spacing w:before="0" w:beforeLines="0" w:after="0" w:afterLines="0" w:line="240" w:lineRule="auto"/>
              <w:ind w:firstLine="0" w:firstLineChars="0"/>
              <w:jc w:val="center"/>
              <w:textAlignment w:val="center"/>
              <w:rPr>
                <w:rFonts w:ascii="仿宋" w:hAnsi="仿宋" w:eastAsia="仿宋" w:cs="宋体"/>
                <w:b/>
                <w:bCs/>
                <w:color w:val="000000"/>
                <w:sz w:val="24"/>
              </w:rPr>
            </w:pPr>
            <w:r>
              <w:rPr>
                <w:rFonts w:hint="eastAsia" w:ascii="仿宋" w:hAnsi="仿宋" w:eastAsia="仿宋" w:cs="宋体"/>
                <w:b/>
                <w:color w:val="000000"/>
                <w:kern w:val="0"/>
                <w:sz w:val="24"/>
                <w:lang w:bidi="ar"/>
              </w:rPr>
              <w:t>CNG工艺设备与站外建(构)筑物的安全间距(m)</w:t>
            </w:r>
          </w:p>
        </w:tc>
      </w:tr>
      <w:tr>
        <w:tblPrEx>
          <w:tblCellMar>
            <w:top w:w="0" w:type="dxa"/>
            <w:left w:w="108" w:type="dxa"/>
            <w:bottom w:w="0" w:type="dxa"/>
            <w:right w:w="108" w:type="dxa"/>
          </w:tblCellMar>
        </w:tblPrEx>
        <w:trPr>
          <w:trHeight w:val="567" w:hRule="atLeast"/>
          <w:jc w:val="center"/>
        </w:trPr>
        <w:tc>
          <w:tcPr>
            <w:tcW w:w="1838" w:type="pct"/>
            <w:gridSpan w:val="2"/>
            <w:vMerge w:val="restar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站外建(构)筑物</w:t>
            </w:r>
          </w:p>
        </w:tc>
        <w:tc>
          <w:tcPr>
            <w:tcW w:w="3162" w:type="pct"/>
            <w:gridSpan w:val="3"/>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站内CNG工艺设备</w:t>
            </w:r>
          </w:p>
        </w:tc>
      </w:tr>
      <w:tr>
        <w:tblPrEx>
          <w:tblCellMar>
            <w:top w:w="0" w:type="dxa"/>
            <w:left w:w="108" w:type="dxa"/>
            <w:bottom w:w="0" w:type="dxa"/>
            <w:right w:w="108" w:type="dxa"/>
          </w:tblCellMar>
        </w:tblPrEx>
        <w:trPr>
          <w:trHeight w:val="567" w:hRule="atLeast"/>
          <w:jc w:val="center"/>
        </w:trPr>
        <w:tc>
          <w:tcPr>
            <w:tcW w:w="1838" w:type="pct"/>
            <w:gridSpan w:val="2"/>
            <w:vMerge w:val="continue"/>
            <w:tcBorders>
              <w:top w:val="single" w:color="538135" w:sz="8" w:space="0"/>
              <w:left w:val="single" w:color="538135" w:sz="8" w:space="0"/>
              <w:bottom w:val="single" w:color="538135" w:sz="8" w:space="0"/>
              <w:right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cs="宋体"/>
                <w:bCs/>
                <w:color w:val="000000"/>
                <w:sz w:val="24"/>
              </w:rPr>
            </w:pP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储气瓶</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集中放散管管口</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textAlignment w:val="center"/>
              <w:rPr>
                <w:rFonts w:ascii="仿宋" w:hAnsi="仿宋" w:eastAsia="仿宋" w:cs="宋体"/>
                <w:color w:val="000000"/>
                <w:sz w:val="24"/>
              </w:rPr>
            </w:pPr>
            <w:r>
              <w:rPr>
                <w:rFonts w:hint="eastAsia" w:ascii="仿宋" w:hAnsi="仿宋" w:eastAsia="仿宋" w:cs="宋体"/>
                <w:color w:val="000000"/>
                <w:kern w:val="0"/>
                <w:sz w:val="24"/>
                <w:lang w:bidi="ar"/>
              </w:rPr>
              <w:t>储气井、加(卸)气设备、脱硫脱水设备、压缩机(间)</w:t>
            </w:r>
          </w:p>
        </w:tc>
      </w:tr>
      <w:tr>
        <w:tblPrEx>
          <w:tblCellMar>
            <w:top w:w="0" w:type="dxa"/>
            <w:left w:w="108" w:type="dxa"/>
            <w:bottom w:w="0" w:type="dxa"/>
            <w:right w:w="108" w:type="dxa"/>
          </w:tblCellMar>
        </w:tblPrEx>
        <w:trPr>
          <w:trHeight w:val="567" w:hRule="atLeast"/>
          <w:jc w:val="center"/>
        </w:trPr>
        <w:tc>
          <w:tcPr>
            <w:tcW w:w="1838" w:type="pct"/>
            <w:gridSpan w:val="2"/>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重要公共建筑物</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50</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w:t>
            </w:r>
          </w:p>
        </w:tc>
      </w:tr>
      <w:tr>
        <w:tblPrEx>
          <w:tblCellMar>
            <w:top w:w="0" w:type="dxa"/>
            <w:left w:w="108" w:type="dxa"/>
            <w:bottom w:w="0" w:type="dxa"/>
            <w:right w:w="108" w:type="dxa"/>
          </w:tblCellMar>
        </w:tblPrEx>
        <w:trPr>
          <w:trHeight w:val="567" w:hRule="atLeast"/>
          <w:jc w:val="center"/>
        </w:trPr>
        <w:tc>
          <w:tcPr>
            <w:tcW w:w="1838" w:type="pct"/>
            <w:gridSpan w:val="2"/>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明火地点或散发火花地点</w:t>
            </w:r>
          </w:p>
        </w:tc>
        <w:tc>
          <w:tcPr>
            <w:tcW w:w="708" w:type="pct"/>
            <w:vMerge w:val="restar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w:t>
            </w:r>
          </w:p>
        </w:tc>
        <w:tc>
          <w:tcPr>
            <w:tcW w:w="990" w:type="pct"/>
            <w:vMerge w:val="restar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25</w:t>
            </w:r>
          </w:p>
        </w:tc>
        <w:tc>
          <w:tcPr>
            <w:tcW w:w="1463" w:type="pct"/>
            <w:vMerge w:val="restar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20</w:t>
            </w:r>
          </w:p>
        </w:tc>
      </w:tr>
      <w:tr>
        <w:tblPrEx>
          <w:tblCellMar>
            <w:top w:w="0" w:type="dxa"/>
            <w:left w:w="108" w:type="dxa"/>
            <w:bottom w:w="0" w:type="dxa"/>
            <w:right w:w="108" w:type="dxa"/>
          </w:tblCellMar>
        </w:tblPrEx>
        <w:trPr>
          <w:trHeight w:val="421" w:hRule="atLeast"/>
          <w:jc w:val="center"/>
        </w:trPr>
        <w:tc>
          <w:tcPr>
            <w:tcW w:w="852" w:type="pct"/>
            <w:vMerge w:val="restar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民用建筑物保护类别</w:t>
            </w:r>
          </w:p>
        </w:tc>
        <w:tc>
          <w:tcPr>
            <w:tcW w:w="985"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一类保护物</w:t>
            </w:r>
          </w:p>
        </w:tc>
        <w:tc>
          <w:tcPr>
            <w:tcW w:w="708" w:type="pct"/>
            <w:vMerge w:val="continue"/>
            <w:tcBorders>
              <w:top w:val="single" w:color="538135" w:sz="8" w:space="0"/>
              <w:left w:val="single" w:color="538135" w:sz="8" w:space="0"/>
              <w:bottom w:val="single" w:color="538135" w:sz="8" w:space="0"/>
              <w:right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cs="宋体"/>
                <w:color w:val="000000"/>
                <w:sz w:val="24"/>
              </w:rPr>
            </w:pPr>
          </w:p>
        </w:tc>
        <w:tc>
          <w:tcPr>
            <w:tcW w:w="990" w:type="pct"/>
            <w:vMerge w:val="continue"/>
            <w:tcBorders>
              <w:top w:val="single" w:color="538135" w:sz="8" w:space="0"/>
              <w:left w:val="single" w:color="538135" w:sz="8" w:space="0"/>
              <w:bottom w:val="single" w:color="538135" w:sz="8" w:space="0"/>
              <w:right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cs="宋体"/>
                <w:color w:val="000000"/>
                <w:sz w:val="24"/>
              </w:rPr>
            </w:pPr>
          </w:p>
        </w:tc>
        <w:tc>
          <w:tcPr>
            <w:tcW w:w="1463"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cs="宋体"/>
                <w:color w:val="000000"/>
                <w:sz w:val="24"/>
              </w:rPr>
            </w:pPr>
          </w:p>
        </w:tc>
      </w:tr>
      <w:tr>
        <w:tblPrEx>
          <w:tblCellMar>
            <w:top w:w="0" w:type="dxa"/>
            <w:left w:w="108" w:type="dxa"/>
            <w:bottom w:w="0" w:type="dxa"/>
            <w:right w:w="108" w:type="dxa"/>
          </w:tblCellMar>
        </w:tblPrEx>
        <w:trPr>
          <w:trHeight w:val="567" w:hRule="atLeast"/>
          <w:jc w:val="center"/>
        </w:trPr>
        <w:tc>
          <w:tcPr>
            <w:tcW w:w="852"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cs="宋体"/>
                <w:bCs/>
                <w:color w:val="000000"/>
                <w:sz w:val="24"/>
              </w:rPr>
            </w:pPr>
          </w:p>
        </w:tc>
        <w:tc>
          <w:tcPr>
            <w:tcW w:w="985"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二类保护物</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20</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20</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14</w:t>
            </w:r>
          </w:p>
        </w:tc>
      </w:tr>
      <w:tr>
        <w:tblPrEx>
          <w:tblCellMar>
            <w:top w:w="0" w:type="dxa"/>
            <w:left w:w="108" w:type="dxa"/>
            <w:bottom w:w="0" w:type="dxa"/>
            <w:right w:w="108" w:type="dxa"/>
          </w:tblCellMar>
        </w:tblPrEx>
        <w:trPr>
          <w:trHeight w:val="567" w:hRule="atLeast"/>
          <w:jc w:val="center"/>
        </w:trPr>
        <w:tc>
          <w:tcPr>
            <w:tcW w:w="852"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cs="宋体"/>
                <w:bCs/>
                <w:color w:val="000000"/>
                <w:sz w:val="24"/>
              </w:rPr>
            </w:pPr>
          </w:p>
        </w:tc>
        <w:tc>
          <w:tcPr>
            <w:tcW w:w="985"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三类保护物</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18</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15</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12</w:t>
            </w:r>
          </w:p>
        </w:tc>
      </w:tr>
      <w:tr>
        <w:tblPrEx>
          <w:tblCellMar>
            <w:top w:w="0" w:type="dxa"/>
            <w:left w:w="108" w:type="dxa"/>
            <w:bottom w:w="0" w:type="dxa"/>
            <w:right w:w="108" w:type="dxa"/>
          </w:tblCellMar>
        </w:tblPrEx>
        <w:trPr>
          <w:trHeight w:val="642" w:hRule="atLeast"/>
          <w:jc w:val="center"/>
        </w:trPr>
        <w:tc>
          <w:tcPr>
            <w:tcW w:w="1838" w:type="pct"/>
            <w:gridSpan w:val="2"/>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甲、乙类物品生产厂房、库房和甲、乙类液体储罐</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25</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25</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18</w:t>
            </w:r>
          </w:p>
        </w:tc>
      </w:tr>
      <w:tr>
        <w:tblPrEx>
          <w:tblCellMar>
            <w:top w:w="0" w:type="dxa"/>
            <w:left w:w="108" w:type="dxa"/>
            <w:bottom w:w="0" w:type="dxa"/>
            <w:right w:w="108" w:type="dxa"/>
          </w:tblCellMar>
        </w:tblPrEx>
        <w:trPr>
          <w:trHeight w:val="567" w:hRule="atLeast"/>
          <w:jc w:val="center"/>
        </w:trPr>
        <w:tc>
          <w:tcPr>
            <w:tcW w:w="1838" w:type="pct"/>
            <w:gridSpan w:val="2"/>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丙、丁、戊类物品生产厂房、库房和丙类液体储罐以及容积不大于50m</w:t>
            </w:r>
            <w:r>
              <w:rPr>
                <w:rFonts w:hint="eastAsia" w:ascii="仿宋" w:hAnsi="仿宋" w:eastAsia="仿宋" w:cs="宋体"/>
                <w:bCs/>
                <w:color w:val="000000"/>
                <w:kern w:val="0"/>
                <w:sz w:val="24"/>
                <w:vertAlign w:val="superscript"/>
                <w:lang w:bidi="ar"/>
              </w:rPr>
              <w:t>2</w:t>
            </w:r>
            <w:r>
              <w:rPr>
                <w:rFonts w:hint="eastAsia" w:ascii="仿宋" w:hAnsi="仿宋" w:eastAsia="仿宋" w:cs="宋体"/>
                <w:bCs/>
                <w:color w:val="000000"/>
                <w:kern w:val="0"/>
                <w:sz w:val="24"/>
                <w:lang w:bidi="ar"/>
              </w:rPr>
              <w:t>的埋地甲、乙类液体储罐</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18</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18</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13</w:t>
            </w:r>
          </w:p>
        </w:tc>
      </w:tr>
      <w:tr>
        <w:tblPrEx>
          <w:tblCellMar>
            <w:top w:w="0" w:type="dxa"/>
            <w:left w:w="108" w:type="dxa"/>
            <w:bottom w:w="0" w:type="dxa"/>
            <w:right w:w="108" w:type="dxa"/>
          </w:tblCellMar>
        </w:tblPrEx>
        <w:trPr>
          <w:trHeight w:val="567" w:hRule="atLeast"/>
          <w:jc w:val="center"/>
        </w:trPr>
        <w:tc>
          <w:tcPr>
            <w:tcW w:w="1838" w:type="pct"/>
            <w:gridSpan w:val="2"/>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室外变配电站</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25</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25</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18</w:t>
            </w:r>
          </w:p>
        </w:tc>
      </w:tr>
      <w:tr>
        <w:tblPrEx>
          <w:tblCellMar>
            <w:top w:w="0" w:type="dxa"/>
            <w:left w:w="108" w:type="dxa"/>
            <w:bottom w:w="0" w:type="dxa"/>
            <w:right w:w="108" w:type="dxa"/>
          </w:tblCellMar>
        </w:tblPrEx>
        <w:trPr>
          <w:trHeight w:val="567" w:hRule="atLeast"/>
          <w:jc w:val="center"/>
        </w:trPr>
        <w:tc>
          <w:tcPr>
            <w:tcW w:w="1838" w:type="pct"/>
            <w:gridSpan w:val="2"/>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铁路</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22</w:t>
            </w:r>
          </w:p>
        </w:tc>
      </w:tr>
      <w:tr>
        <w:tblPrEx>
          <w:tblCellMar>
            <w:top w:w="0" w:type="dxa"/>
            <w:left w:w="108" w:type="dxa"/>
            <w:bottom w:w="0" w:type="dxa"/>
            <w:right w:w="108" w:type="dxa"/>
          </w:tblCellMar>
        </w:tblPrEx>
        <w:trPr>
          <w:trHeight w:val="567" w:hRule="atLeast"/>
          <w:jc w:val="center"/>
        </w:trPr>
        <w:tc>
          <w:tcPr>
            <w:tcW w:w="852" w:type="pct"/>
            <w:vMerge w:val="restar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城市道路</w:t>
            </w:r>
          </w:p>
        </w:tc>
        <w:tc>
          <w:tcPr>
            <w:tcW w:w="985"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快速路、主干路</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12</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10</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r>
      <w:tr>
        <w:tblPrEx>
          <w:tblCellMar>
            <w:top w:w="0" w:type="dxa"/>
            <w:left w:w="108" w:type="dxa"/>
            <w:bottom w:w="0" w:type="dxa"/>
            <w:right w:w="108" w:type="dxa"/>
          </w:tblCellMar>
        </w:tblPrEx>
        <w:trPr>
          <w:trHeight w:val="567" w:hRule="atLeast"/>
          <w:jc w:val="center"/>
        </w:trPr>
        <w:tc>
          <w:tcPr>
            <w:tcW w:w="852" w:type="pct"/>
            <w:vMerge w:val="continue"/>
            <w:tcBorders>
              <w:top w:val="single" w:color="538135" w:sz="8" w:space="0"/>
              <w:left w:val="single" w:color="538135" w:sz="8" w:space="0"/>
              <w:bottom w:val="single" w:color="538135" w:sz="8" w:space="0"/>
              <w:right w:val="single" w:color="538135" w:sz="8" w:space="0"/>
            </w:tcBorders>
            <w:shd w:val="clear" w:color="auto" w:fill="E2EFD9"/>
            <w:noWrap/>
            <w:vAlign w:val="center"/>
          </w:tcPr>
          <w:p>
            <w:pPr>
              <w:spacing w:before="0" w:beforeLines="0" w:after="0" w:afterLines="0" w:line="240" w:lineRule="auto"/>
              <w:ind w:firstLine="0" w:firstLineChars="0"/>
              <w:jc w:val="center"/>
              <w:rPr>
                <w:rFonts w:ascii="仿宋" w:hAnsi="仿宋" w:eastAsia="仿宋" w:cs="宋体"/>
                <w:bCs/>
                <w:color w:val="000000"/>
                <w:sz w:val="24"/>
              </w:rPr>
            </w:pPr>
          </w:p>
        </w:tc>
        <w:tc>
          <w:tcPr>
            <w:tcW w:w="985" w:type="pc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次干路、支路</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10</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8</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w:t>
            </w:r>
          </w:p>
        </w:tc>
      </w:tr>
      <w:tr>
        <w:tblPrEx>
          <w:tblCellMar>
            <w:top w:w="0" w:type="dxa"/>
            <w:left w:w="108" w:type="dxa"/>
            <w:bottom w:w="0" w:type="dxa"/>
            <w:right w:w="108" w:type="dxa"/>
          </w:tblCellMar>
        </w:tblPrEx>
        <w:trPr>
          <w:trHeight w:val="567" w:hRule="atLeast"/>
          <w:jc w:val="center"/>
        </w:trPr>
        <w:tc>
          <w:tcPr>
            <w:tcW w:w="1838" w:type="pct"/>
            <w:gridSpan w:val="2"/>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架空通信线和通信发射塔</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1倍杆(塔)高</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1倍杆(塔)高</w:t>
            </w:r>
          </w:p>
        </w:tc>
        <w:tc>
          <w:tcPr>
            <w:tcW w:w="1463"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1倍杆(塔)高</w:t>
            </w:r>
          </w:p>
        </w:tc>
      </w:tr>
      <w:tr>
        <w:tblPrEx>
          <w:tblCellMar>
            <w:top w:w="0" w:type="dxa"/>
            <w:left w:w="108" w:type="dxa"/>
            <w:bottom w:w="0" w:type="dxa"/>
            <w:right w:w="108" w:type="dxa"/>
          </w:tblCellMar>
        </w:tblPrEx>
        <w:trPr>
          <w:trHeight w:val="567" w:hRule="atLeast"/>
          <w:jc w:val="center"/>
        </w:trPr>
        <w:tc>
          <w:tcPr>
            <w:tcW w:w="852" w:type="pct"/>
            <w:vMerge w:val="restart"/>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架空电力线路</w:t>
            </w:r>
          </w:p>
        </w:tc>
        <w:tc>
          <w:tcPr>
            <w:tcW w:w="985"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无绝缘层</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textAlignment w:val="center"/>
              <w:rPr>
                <w:rFonts w:ascii="仿宋" w:hAnsi="仿宋" w:eastAsia="仿宋" w:cs="宋体"/>
                <w:color w:val="000000"/>
                <w:sz w:val="24"/>
              </w:rPr>
            </w:pPr>
            <w:r>
              <w:rPr>
                <w:rFonts w:hint="eastAsia" w:ascii="仿宋" w:hAnsi="仿宋" w:eastAsia="仿宋" w:cs="宋体"/>
                <w:color w:val="000000"/>
                <w:kern w:val="0"/>
                <w:sz w:val="24"/>
                <w:lang w:bidi="ar"/>
              </w:rPr>
              <w:t>1.5倍杆(塔)</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1.5倍杆(塔)</w:t>
            </w:r>
          </w:p>
        </w:tc>
        <w:tc>
          <w:tcPr>
            <w:tcW w:w="1463" w:type="pct"/>
            <w:vMerge w:val="restar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1倍杆(塔)高</w:t>
            </w:r>
          </w:p>
        </w:tc>
      </w:tr>
      <w:tr>
        <w:tblPrEx>
          <w:tblCellMar>
            <w:top w:w="0" w:type="dxa"/>
            <w:left w:w="108" w:type="dxa"/>
            <w:bottom w:w="0" w:type="dxa"/>
            <w:right w:w="108" w:type="dxa"/>
          </w:tblCellMar>
        </w:tblPrEx>
        <w:trPr>
          <w:trHeight w:val="567" w:hRule="atLeast"/>
          <w:jc w:val="center"/>
        </w:trPr>
        <w:tc>
          <w:tcPr>
            <w:tcW w:w="852" w:type="pct"/>
            <w:vMerge w:val="continue"/>
            <w:tcBorders>
              <w:top w:val="single" w:color="538135" w:sz="8" w:space="0"/>
              <w:left w:val="single" w:color="538135" w:sz="8" w:space="0"/>
              <w:bottom w:val="single" w:color="538135" w:sz="8" w:space="0"/>
              <w:right w:val="single" w:color="538135" w:sz="8" w:space="0"/>
            </w:tcBorders>
            <w:shd w:val="clear" w:color="auto" w:fill="E2EFD9"/>
            <w:noWrap w:val="0"/>
            <w:vAlign w:val="center"/>
          </w:tcPr>
          <w:p>
            <w:pPr>
              <w:spacing w:before="0" w:beforeLines="0" w:after="0" w:afterLines="0" w:line="240" w:lineRule="auto"/>
              <w:ind w:firstLine="0" w:firstLineChars="0"/>
              <w:jc w:val="center"/>
              <w:rPr>
                <w:rFonts w:ascii="仿宋" w:hAnsi="仿宋" w:eastAsia="仿宋" w:cs="宋体"/>
                <w:bCs/>
                <w:color w:val="000000"/>
                <w:sz w:val="24"/>
              </w:rPr>
            </w:pPr>
          </w:p>
        </w:tc>
        <w:tc>
          <w:tcPr>
            <w:tcW w:w="985"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有绝缘层</w:t>
            </w:r>
          </w:p>
        </w:tc>
        <w:tc>
          <w:tcPr>
            <w:tcW w:w="708"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1倍杆(塔)高</w:t>
            </w:r>
          </w:p>
        </w:tc>
        <w:tc>
          <w:tcPr>
            <w:tcW w:w="990" w:type="pct"/>
            <w:tcBorders>
              <w:top w:val="single" w:color="538135" w:sz="8" w:space="0"/>
              <w:left w:val="single" w:color="538135" w:sz="8" w:space="0"/>
              <w:bottom w:val="single" w:color="538135" w:sz="8" w:space="0"/>
              <w:right w:val="single" w:color="538135" w:sz="8" w:space="0"/>
            </w:tcBorders>
            <w:shd w:val="clear" w:color="auto" w:fill="E2EFD9"/>
            <w:noWrap/>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1倍杆(塔)高</w:t>
            </w:r>
          </w:p>
        </w:tc>
        <w:tc>
          <w:tcPr>
            <w:tcW w:w="1463" w:type="pct"/>
            <w:vMerge w:val="continue"/>
            <w:tcBorders>
              <w:top w:val="single" w:color="538135" w:sz="8" w:space="0"/>
              <w:left w:val="single" w:color="538135" w:sz="8" w:space="0"/>
              <w:bottom w:val="single" w:color="538135" w:sz="8" w:space="0"/>
              <w:right w:val="single" w:color="538135" w:sz="8" w:space="0"/>
            </w:tcBorders>
            <w:noWrap/>
            <w:vAlign w:val="center"/>
          </w:tcPr>
          <w:p>
            <w:pPr>
              <w:spacing w:before="0" w:beforeLines="0" w:after="0" w:afterLines="0" w:line="240" w:lineRule="auto"/>
              <w:ind w:firstLine="0" w:firstLineChars="0"/>
              <w:jc w:val="center"/>
              <w:rPr>
                <w:rFonts w:ascii="仿宋" w:hAnsi="仿宋" w:eastAsia="仿宋" w:cs="宋体"/>
                <w:color w:val="000000"/>
                <w:sz w:val="24"/>
              </w:rPr>
            </w:pPr>
          </w:p>
        </w:tc>
      </w:tr>
    </w:tbl>
    <w:p>
      <w:pPr>
        <w:pStyle w:val="3"/>
        <w:spacing w:before="190" w:after="190"/>
        <w:rPr>
          <w:rFonts w:ascii="宋体" w:hAnsi="宋体"/>
          <w:szCs w:val="32"/>
        </w:rPr>
      </w:pPr>
      <w:bookmarkStart w:id="411" w:name="_Toc20533"/>
      <w:bookmarkStart w:id="412" w:name="_Toc11228"/>
      <w:bookmarkStart w:id="413" w:name="_Toc11705"/>
      <w:r>
        <w:rPr>
          <w:rFonts w:hint="eastAsia" w:ascii="宋体" w:hAnsi="宋体"/>
          <w:szCs w:val="32"/>
        </w:rPr>
        <w:t>6.</w:t>
      </w:r>
      <w:r>
        <w:rPr>
          <w:rFonts w:ascii="宋体" w:hAnsi="宋体"/>
          <w:szCs w:val="32"/>
        </w:rPr>
        <w:t>5</w:t>
      </w:r>
      <w:r>
        <w:rPr>
          <w:rFonts w:hint="eastAsia" w:ascii="宋体" w:hAnsi="宋体"/>
          <w:szCs w:val="32"/>
        </w:rPr>
        <w:t>商业服务区消防安全布局规划</w:t>
      </w:r>
      <w:bookmarkEnd w:id="411"/>
      <w:bookmarkEnd w:id="412"/>
      <w:bookmarkEnd w:id="413"/>
    </w:p>
    <w:p>
      <w:pPr>
        <w:pStyle w:val="4"/>
        <w:spacing w:before="0" w:beforeLines="0" w:after="0" w:afterLines="0" w:line="240" w:lineRule="auto"/>
        <w:rPr>
          <w:rFonts w:ascii="宋体" w:hAnsi="宋体"/>
          <w:szCs w:val="30"/>
        </w:rPr>
      </w:pPr>
      <w:bookmarkStart w:id="414" w:name="_Toc32624"/>
      <w:bookmarkStart w:id="415" w:name="_Toc23038"/>
      <w:bookmarkStart w:id="416" w:name="_Toc36114553"/>
      <w:bookmarkStart w:id="417" w:name="_Toc59386349"/>
      <w:bookmarkStart w:id="418" w:name="_Toc25282"/>
      <w:r>
        <w:rPr>
          <w:rFonts w:hint="eastAsia" w:ascii="宋体" w:hAnsi="宋体"/>
          <w:szCs w:val="30"/>
        </w:rPr>
        <w:t>6.</w:t>
      </w:r>
      <w:r>
        <w:rPr>
          <w:rFonts w:ascii="宋体" w:hAnsi="宋体"/>
          <w:szCs w:val="30"/>
        </w:rPr>
        <w:t>5</w:t>
      </w:r>
      <w:r>
        <w:rPr>
          <w:rFonts w:hint="eastAsia" w:ascii="宋体" w:hAnsi="宋体"/>
          <w:szCs w:val="30"/>
        </w:rPr>
        <w:t>.1规划布局要求</w:t>
      </w:r>
      <w:bookmarkEnd w:id="414"/>
      <w:bookmarkEnd w:id="415"/>
      <w:bookmarkEnd w:id="416"/>
      <w:bookmarkEnd w:id="417"/>
      <w:bookmarkEnd w:id="418"/>
    </w:p>
    <w:p>
      <w:pPr>
        <w:spacing w:before="190" w:after="190"/>
        <w:ind w:firstLine="560"/>
        <w:rPr>
          <w:rFonts w:ascii="宋体" w:hAnsi="宋体"/>
        </w:rPr>
      </w:pPr>
      <w:r>
        <w:rPr>
          <w:rFonts w:hint="eastAsia" w:ascii="宋体" w:hAnsi="宋体"/>
        </w:rPr>
        <w:t>商业设施的消防安全布局目的是改善商业设施的消防条件，提高消防保障能力，促进城市商业服务安全、健康发展。</w:t>
      </w:r>
    </w:p>
    <w:p>
      <w:pPr>
        <w:spacing w:before="190" w:after="190"/>
        <w:ind w:firstLine="560"/>
        <w:rPr>
          <w:rFonts w:ascii="宋体" w:hAnsi="宋体"/>
        </w:rPr>
      </w:pPr>
      <w:r>
        <w:rPr>
          <w:rFonts w:hint="eastAsia" w:ascii="宋体" w:hAnsi="宋体"/>
        </w:rPr>
        <w:t>商业设施的消防安全布局以整治和建设并重。大力整治违章经营、占道经营的商业行为，重点保护传统商业中心区，建设新的城市副中心、居住区级中心、大型专业市场，保持城市商业服务网络的优势和活力。</w:t>
      </w:r>
    </w:p>
    <w:p>
      <w:pPr>
        <w:pStyle w:val="4"/>
        <w:spacing w:before="0" w:beforeLines="0" w:after="0" w:afterLines="0" w:line="240" w:lineRule="auto"/>
        <w:rPr>
          <w:rFonts w:ascii="宋体" w:hAnsi="宋体"/>
          <w:szCs w:val="30"/>
        </w:rPr>
      </w:pPr>
      <w:bookmarkStart w:id="419" w:name="_Toc15221"/>
      <w:bookmarkStart w:id="420" w:name="_Toc9440"/>
      <w:bookmarkStart w:id="421" w:name="_Toc59386350"/>
      <w:bookmarkStart w:id="422" w:name="_Toc4308"/>
      <w:r>
        <w:rPr>
          <w:rFonts w:hint="eastAsia" w:ascii="宋体" w:hAnsi="宋体"/>
          <w:szCs w:val="30"/>
        </w:rPr>
        <w:t>6.</w:t>
      </w:r>
      <w:r>
        <w:rPr>
          <w:rFonts w:ascii="宋体" w:hAnsi="宋体"/>
          <w:szCs w:val="30"/>
        </w:rPr>
        <w:t>5</w:t>
      </w:r>
      <w:r>
        <w:rPr>
          <w:rFonts w:hint="eastAsia" w:ascii="宋体" w:hAnsi="宋体"/>
          <w:szCs w:val="30"/>
        </w:rPr>
        <w:t>.2商业服务区消防安全规划</w:t>
      </w:r>
      <w:bookmarkEnd w:id="419"/>
      <w:bookmarkEnd w:id="420"/>
      <w:bookmarkEnd w:id="421"/>
      <w:bookmarkEnd w:id="422"/>
    </w:p>
    <w:p>
      <w:pPr>
        <w:spacing w:before="190" w:after="190"/>
        <w:ind w:firstLine="560"/>
        <w:rPr>
          <w:rFonts w:ascii="宋体" w:hAnsi="宋体"/>
        </w:rPr>
      </w:pPr>
      <w:r>
        <w:rPr>
          <w:rFonts w:hint="eastAsia" w:ascii="宋体" w:hAnsi="宋体"/>
        </w:rPr>
        <w:t>盐池县城市现状大型商业、集贸市场主要集中在老城区，包括盐池商城、世纪商业广场、好又多超市、世纪华联购物中心、盐州商贸广场等，老城区建筑密度大、部分建筑耐火等级低、人口居住集中，部分地段缺乏市政消防给水设施、消防车通道不畅，存在一定的消防安全隐患。</w:t>
      </w:r>
    </w:p>
    <w:p>
      <w:pPr>
        <w:spacing w:before="190" w:after="190"/>
        <w:ind w:firstLine="560"/>
        <w:rPr>
          <w:rFonts w:ascii="宋体" w:hAnsi="宋体"/>
        </w:rPr>
      </w:pPr>
      <w:r>
        <w:rPr>
          <w:rFonts w:hint="eastAsia" w:ascii="宋体" w:hAnsi="宋体"/>
        </w:rPr>
        <w:t>（1）规划逐步改善现有商业、集贸市场的消防设施条件，结合旧城改造计划，在城市商圈周边地段增加机动车停车场，杜绝社会车辆占用消防通道停车的现象，保障消防车通道畅通；改造老旧供水管网、增设消火栓和消防水池，提高建筑耐火等级，改善消防安全条件。</w:t>
      </w:r>
    </w:p>
    <w:p>
      <w:pPr>
        <w:spacing w:before="190" w:after="190"/>
        <w:ind w:firstLine="560"/>
        <w:rPr>
          <w:rFonts w:ascii="宋体" w:hAnsi="宋体"/>
        </w:rPr>
      </w:pPr>
      <w:r>
        <w:rPr>
          <w:rFonts w:hint="eastAsia" w:ascii="宋体" w:hAnsi="宋体"/>
        </w:rPr>
        <w:t>（2）规划新建专业市场集中布置在城市的外围，各类专业市场原则上设置在室内，并严格划分市场防火分区，进一步规范市场管理、完善消防设施、避免占道经营，保持消防车道畅通、市政消火栓正常使用。</w:t>
      </w:r>
    </w:p>
    <w:p>
      <w:pPr>
        <w:spacing w:before="190" w:after="190"/>
        <w:ind w:firstLine="560"/>
      </w:pPr>
      <w:r>
        <w:rPr>
          <w:rFonts w:hint="eastAsia"/>
        </w:rPr>
        <w:t>（3）新建商场及大型市场建筑耐火等级不得低于二级，严格商场及大型市场规划、建设和施工验收管理程序；对于已建成而未达到规范要求的，应采取行之有效的措施，限期整改；逐步清理整改“铺面、仓库、居住”三合一商业设施，减少火灾隐患，保证消防安全。</w:t>
      </w:r>
    </w:p>
    <w:p>
      <w:pPr>
        <w:pStyle w:val="3"/>
        <w:spacing w:before="190" w:after="190"/>
        <w:rPr>
          <w:rFonts w:ascii="宋体" w:hAnsi="宋体"/>
          <w:szCs w:val="32"/>
        </w:rPr>
      </w:pPr>
      <w:bookmarkStart w:id="423" w:name="_Toc1086"/>
      <w:bookmarkStart w:id="424" w:name="_Toc29722"/>
      <w:bookmarkStart w:id="425" w:name="_Toc32490"/>
      <w:r>
        <w:rPr>
          <w:rFonts w:hint="eastAsia" w:ascii="宋体" w:hAnsi="宋体"/>
          <w:szCs w:val="32"/>
        </w:rPr>
        <w:t>6.6高层建筑消防安全布局规划</w:t>
      </w:r>
      <w:bookmarkEnd w:id="423"/>
      <w:bookmarkEnd w:id="424"/>
      <w:bookmarkEnd w:id="425"/>
    </w:p>
    <w:p>
      <w:pPr>
        <w:spacing w:before="190" w:after="190"/>
        <w:ind w:firstLine="560"/>
        <w:rPr>
          <w:rFonts w:ascii="宋体" w:hAnsi="宋体"/>
        </w:rPr>
      </w:pPr>
      <w:r>
        <w:rPr>
          <w:rFonts w:hint="eastAsia" w:ascii="宋体" w:hAnsi="宋体"/>
        </w:rPr>
        <w:t>高层建筑体量大、人员密集，发生火灾时火势蔓延快，火灾的危害性较大，是城市消防的重点和难点。城市已建成高层建筑75栋，其中公共建筑6栋、居住建筑69栋，主要分布在平安大道以东老城区。根据规范要求，规划本着高层建筑立足于消防自防自救的基础，同时加强城市消防设施建设和提高消防救灾能力，提出高层建筑消防安全布局规划建议：</w:t>
      </w:r>
    </w:p>
    <w:p>
      <w:pPr>
        <w:spacing w:before="190" w:after="190"/>
        <w:ind w:firstLine="560"/>
        <w:rPr>
          <w:rFonts w:ascii="宋体" w:hAnsi="宋体"/>
        </w:rPr>
      </w:pPr>
      <w:r>
        <w:rPr>
          <w:rFonts w:hint="eastAsia" w:ascii="宋体" w:hAnsi="宋体"/>
        </w:rPr>
        <w:t>（1）城市高层建筑建设，应疏密有序，布局合理</w:t>
      </w:r>
    </w:p>
    <w:p>
      <w:pPr>
        <w:spacing w:before="190" w:after="190"/>
        <w:ind w:firstLine="560"/>
        <w:rPr>
          <w:rFonts w:ascii="宋体" w:hAnsi="宋体"/>
        </w:rPr>
      </w:pPr>
      <w:r>
        <w:rPr>
          <w:rFonts w:hint="eastAsia" w:ascii="宋体" w:hAnsi="宋体"/>
        </w:rPr>
        <w:t>在城市发展建设中应严格控制高层建筑密度，适度减小用地开发强度，避免高密度高层建筑开发模式。</w:t>
      </w:r>
    </w:p>
    <w:p>
      <w:pPr>
        <w:spacing w:before="190" w:after="190"/>
        <w:ind w:firstLine="560"/>
        <w:rPr>
          <w:rFonts w:ascii="宋体" w:hAnsi="宋体"/>
        </w:rPr>
      </w:pPr>
      <w:r>
        <w:rPr>
          <w:rFonts w:hint="eastAsia" w:ascii="宋体" w:hAnsi="宋体"/>
        </w:rPr>
        <w:t>（2）严格高层建筑规划审批制度，加强建筑设计防火审核工作</w:t>
      </w:r>
    </w:p>
    <w:p>
      <w:pPr>
        <w:spacing w:before="190" w:after="190"/>
        <w:ind w:firstLine="560"/>
        <w:rPr>
          <w:rFonts w:ascii="宋体" w:hAnsi="宋体"/>
        </w:rPr>
      </w:pPr>
      <w:r>
        <w:rPr>
          <w:rFonts w:hint="eastAsia" w:ascii="宋体" w:hAnsi="宋体"/>
        </w:rPr>
        <w:t>城市公共用途的高层建筑应结合城市广场建设，居住用途的高层建筑应加大小区公共绿地或疏散空间控制。对于外部消防防火间距、消防通道、停车场等达不到规范要求的高层建筑，管理部门应严格把关，不得批准建设。所有高层建筑必须在设计审查、施工验收、维护管理中加强消防监督，着重提高自防自救能力。</w:t>
      </w:r>
    </w:p>
    <w:p>
      <w:pPr>
        <w:spacing w:before="190" w:after="190"/>
        <w:ind w:firstLine="560"/>
        <w:rPr>
          <w:rFonts w:ascii="宋体" w:hAnsi="宋体"/>
        </w:rPr>
      </w:pPr>
      <w:r>
        <w:rPr>
          <w:rFonts w:hint="eastAsia" w:ascii="宋体" w:hAnsi="宋体"/>
        </w:rPr>
        <w:t>（3）加强现状形成的高层建筑密集区的消防环境整治</w:t>
      </w:r>
    </w:p>
    <w:p>
      <w:pPr>
        <w:spacing w:before="190" w:after="190"/>
        <w:ind w:firstLine="560"/>
        <w:rPr>
          <w:rFonts w:ascii="宋体" w:hAnsi="宋体"/>
        </w:rPr>
      </w:pPr>
      <w:r>
        <w:rPr>
          <w:rFonts w:hint="eastAsia" w:ascii="宋体" w:hAnsi="宋体"/>
        </w:rPr>
        <w:t>清理拆除高层建筑的违章、临时附属建筑；清理高层建筑周边环境，保证高层建筑环形消防通道的畅通，在条件局限时应保证高层建筑两个长边的消防通道和消防登高面符合规范要求。</w:t>
      </w:r>
    </w:p>
    <w:p>
      <w:pPr>
        <w:spacing w:before="190" w:after="190"/>
        <w:ind w:firstLine="560"/>
        <w:rPr>
          <w:rFonts w:ascii="宋体" w:hAnsi="宋体"/>
        </w:rPr>
      </w:pPr>
      <w:r>
        <w:rPr>
          <w:rFonts w:hint="eastAsia" w:ascii="宋体" w:hAnsi="宋体"/>
        </w:rPr>
        <w:t>（4）改善高层建筑室外供水条件</w:t>
      </w:r>
    </w:p>
    <w:p>
      <w:pPr>
        <w:spacing w:before="190" w:after="190"/>
        <w:ind w:firstLine="560"/>
        <w:rPr>
          <w:rFonts w:ascii="宋体" w:hAnsi="宋体"/>
        </w:rPr>
      </w:pPr>
      <w:r>
        <w:rPr>
          <w:rFonts w:hint="eastAsia" w:ascii="宋体" w:hAnsi="宋体"/>
        </w:rPr>
        <w:t>按高标准消防供水进行室外消防用水量校核，提高室外供水可靠性。在有条件的独立高层建筑密集区，可实行集中供水加压，实现局部高压供水系统。</w:t>
      </w:r>
    </w:p>
    <w:tbl>
      <w:tblPr>
        <w:tblStyle w:val="10"/>
        <w:tblW w:w="4878"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Layout w:type="autofit"/>
        <w:tblCellMar>
          <w:top w:w="0" w:type="dxa"/>
          <w:left w:w="108" w:type="dxa"/>
          <w:bottom w:w="0" w:type="dxa"/>
          <w:right w:w="108" w:type="dxa"/>
        </w:tblCellMar>
      </w:tblPr>
      <w:tblGrid>
        <w:gridCol w:w="1002"/>
        <w:gridCol w:w="1003"/>
        <w:gridCol w:w="1113"/>
        <w:gridCol w:w="1829"/>
        <w:gridCol w:w="1654"/>
        <w:gridCol w:w="1719"/>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jc w:val="center"/>
        </w:trPr>
        <w:tc>
          <w:tcPr>
            <w:tcW w:w="5000" w:type="pct"/>
            <w:gridSpan w:val="6"/>
            <w:shd w:val="clear" w:color="auto" w:fill="A8D08D"/>
            <w:noWrap/>
            <w:vAlign w:val="center"/>
          </w:tcPr>
          <w:p>
            <w:pPr>
              <w:widowControl/>
              <w:spacing w:before="0" w:beforeLines="0" w:after="0" w:afterLines="0" w:line="240" w:lineRule="auto"/>
              <w:ind w:firstLine="0" w:firstLineChars="0"/>
              <w:jc w:val="center"/>
              <w:textAlignment w:val="center"/>
              <w:rPr>
                <w:rFonts w:ascii="仿宋" w:hAnsi="仿宋" w:eastAsia="仿宋" w:cs="宋体"/>
                <w:b/>
                <w:bCs/>
                <w:sz w:val="24"/>
              </w:rPr>
            </w:pPr>
            <w:r>
              <w:rPr>
                <w:rFonts w:hint="eastAsia" w:ascii="仿宋" w:hAnsi="仿宋" w:eastAsia="仿宋" w:cs="宋体"/>
                <w:b/>
                <w:color w:val="000000"/>
                <w:kern w:val="0"/>
                <w:sz w:val="24"/>
                <w:lang w:bidi="ar"/>
              </w:rPr>
              <w:t>高层建筑之间及高层建筑与其它民用建筑之间的防火间距(m)</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89" w:hRule="atLeast"/>
          <w:jc w:val="center"/>
        </w:trPr>
        <w:tc>
          <w:tcPr>
            <w:tcW w:w="602"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建筑类别</w:t>
            </w:r>
          </w:p>
        </w:tc>
        <w:tc>
          <w:tcPr>
            <w:tcW w:w="603"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高层建筑</w:t>
            </w:r>
          </w:p>
        </w:tc>
        <w:tc>
          <w:tcPr>
            <w:tcW w:w="669" w:type="pct"/>
            <w:vMerge w:val="restar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裙房</w:t>
            </w:r>
          </w:p>
        </w:tc>
        <w:tc>
          <w:tcPr>
            <w:tcW w:w="3126"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其它民用建筑</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39" w:hRule="atLeast"/>
          <w:jc w:val="center"/>
        </w:trPr>
        <w:tc>
          <w:tcPr>
            <w:tcW w:w="602"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s="宋体"/>
                <w:bCs/>
                <w:color w:val="000000"/>
                <w:sz w:val="24"/>
              </w:rPr>
            </w:pPr>
          </w:p>
        </w:tc>
        <w:tc>
          <w:tcPr>
            <w:tcW w:w="603"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s="宋体"/>
                <w:color w:val="000000"/>
                <w:sz w:val="24"/>
              </w:rPr>
            </w:pPr>
          </w:p>
        </w:tc>
        <w:tc>
          <w:tcPr>
            <w:tcW w:w="669"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s="宋体"/>
                <w:color w:val="000000"/>
                <w:sz w:val="24"/>
              </w:rPr>
            </w:pPr>
          </w:p>
        </w:tc>
        <w:tc>
          <w:tcPr>
            <w:tcW w:w="3126" w:type="pct"/>
            <w:gridSpan w:val="3"/>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耐火等级</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PrEx>
        <w:trPr>
          <w:trHeight w:val="549" w:hRule="atLeast"/>
          <w:jc w:val="center"/>
        </w:trPr>
        <w:tc>
          <w:tcPr>
            <w:tcW w:w="602"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s="宋体"/>
                <w:bCs/>
                <w:color w:val="000000"/>
                <w:sz w:val="24"/>
              </w:rPr>
            </w:pPr>
          </w:p>
        </w:tc>
        <w:tc>
          <w:tcPr>
            <w:tcW w:w="603"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s="宋体"/>
                <w:color w:val="000000"/>
                <w:sz w:val="24"/>
              </w:rPr>
            </w:pPr>
          </w:p>
        </w:tc>
        <w:tc>
          <w:tcPr>
            <w:tcW w:w="669" w:type="pct"/>
            <w:vMerge w:val="continue"/>
            <w:shd w:val="clear" w:color="auto" w:fill="E2EFD9"/>
            <w:noWrap w:val="0"/>
            <w:vAlign w:val="center"/>
          </w:tcPr>
          <w:p>
            <w:pPr>
              <w:spacing w:before="0" w:beforeLines="0" w:after="0" w:afterLines="0" w:line="240" w:lineRule="auto"/>
              <w:ind w:firstLine="0" w:firstLineChars="0"/>
              <w:jc w:val="center"/>
              <w:rPr>
                <w:rFonts w:ascii="仿宋" w:hAnsi="仿宋" w:eastAsia="仿宋" w:cs="宋体"/>
                <w:color w:val="000000"/>
                <w:sz w:val="24"/>
              </w:rPr>
            </w:pPr>
          </w:p>
        </w:tc>
        <w:tc>
          <w:tcPr>
            <w:tcW w:w="109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一、二级</w:t>
            </w:r>
          </w:p>
        </w:tc>
        <w:tc>
          <w:tcPr>
            <w:tcW w:w="994"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三级</w:t>
            </w:r>
          </w:p>
        </w:tc>
        <w:tc>
          <w:tcPr>
            <w:tcW w:w="10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四级</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57" w:hRule="atLeast"/>
          <w:jc w:val="center"/>
        </w:trPr>
        <w:tc>
          <w:tcPr>
            <w:tcW w:w="60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高层建筑</w:t>
            </w:r>
          </w:p>
        </w:tc>
        <w:tc>
          <w:tcPr>
            <w:tcW w:w="60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13</w:t>
            </w:r>
          </w:p>
        </w:tc>
        <w:tc>
          <w:tcPr>
            <w:tcW w:w="66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9</w:t>
            </w:r>
          </w:p>
        </w:tc>
        <w:tc>
          <w:tcPr>
            <w:tcW w:w="109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9</w:t>
            </w:r>
          </w:p>
        </w:tc>
        <w:tc>
          <w:tcPr>
            <w:tcW w:w="994"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11</w:t>
            </w:r>
          </w:p>
        </w:tc>
        <w:tc>
          <w:tcPr>
            <w:tcW w:w="10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14</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537" w:hRule="atLeast"/>
          <w:jc w:val="center"/>
        </w:trPr>
        <w:tc>
          <w:tcPr>
            <w:tcW w:w="602"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bCs/>
                <w:color w:val="000000"/>
                <w:sz w:val="24"/>
              </w:rPr>
            </w:pPr>
            <w:r>
              <w:rPr>
                <w:rFonts w:hint="eastAsia" w:ascii="仿宋" w:hAnsi="仿宋" w:eastAsia="仿宋" w:cs="宋体"/>
                <w:bCs/>
                <w:color w:val="000000"/>
                <w:kern w:val="0"/>
                <w:sz w:val="24"/>
                <w:lang w:bidi="ar"/>
              </w:rPr>
              <w:t>裙房</w:t>
            </w:r>
          </w:p>
        </w:tc>
        <w:tc>
          <w:tcPr>
            <w:tcW w:w="60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9</w:t>
            </w:r>
          </w:p>
        </w:tc>
        <w:tc>
          <w:tcPr>
            <w:tcW w:w="66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c>
          <w:tcPr>
            <w:tcW w:w="1099"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c>
          <w:tcPr>
            <w:tcW w:w="994"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7</w:t>
            </w:r>
          </w:p>
        </w:tc>
        <w:tc>
          <w:tcPr>
            <w:tcW w:w="1033" w:type="pct"/>
            <w:shd w:val="clear" w:color="auto" w:fill="E2EFD9"/>
            <w:noWrap w:val="0"/>
            <w:vAlign w:val="center"/>
          </w:tcPr>
          <w:p>
            <w:pPr>
              <w:widowControl/>
              <w:spacing w:before="0" w:beforeLines="0" w:after="0" w:afterLines="0" w:line="240" w:lineRule="auto"/>
              <w:ind w:firstLine="0" w:firstLineChars="0"/>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9</w:t>
            </w:r>
          </w:p>
        </w:tc>
      </w:tr>
    </w:tbl>
    <w:p>
      <w:pPr>
        <w:pStyle w:val="2"/>
        <w:numPr>
          <w:ilvl w:val="0"/>
          <w:numId w:val="3"/>
        </w:numPr>
        <w:spacing w:before="190" w:after="190"/>
        <w:ind w:firstLine="0"/>
        <w:jc w:val="center"/>
        <w:rPr>
          <w:rFonts w:ascii="宋体" w:hAnsi="宋体"/>
          <w:b/>
        </w:rPr>
      </w:pPr>
      <w:bookmarkStart w:id="426" w:name="_Toc3914"/>
      <w:bookmarkStart w:id="427" w:name="_Toc27137"/>
      <w:bookmarkStart w:id="428" w:name="_Toc31993"/>
      <w:r>
        <w:rPr>
          <w:rFonts w:hint="eastAsia" w:ascii="宋体" w:hAnsi="宋体"/>
          <w:b/>
        </w:rPr>
        <w:t>消防站规划</w:t>
      </w:r>
      <w:bookmarkEnd w:id="426"/>
      <w:bookmarkEnd w:id="427"/>
      <w:bookmarkEnd w:id="428"/>
    </w:p>
    <w:p>
      <w:pPr>
        <w:pStyle w:val="3"/>
        <w:spacing w:before="190" w:after="190"/>
        <w:rPr>
          <w:rFonts w:ascii="宋体" w:hAnsi="宋体"/>
          <w:szCs w:val="32"/>
        </w:rPr>
      </w:pPr>
      <w:bookmarkStart w:id="429" w:name="_Toc25527"/>
      <w:bookmarkStart w:id="430" w:name="_Toc3307"/>
      <w:bookmarkStart w:id="431" w:name="_Toc7972"/>
      <w:r>
        <w:rPr>
          <w:rFonts w:hint="eastAsia" w:ascii="宋体" w:hAnsi="宋体"/>
          <w:szCs w:val="32"/>
        </w:rPr>
        <w:t>7.1消防站布局规划</w:t>
      </w:r>
      <w:bookmarkEnd w:id="429"/>
      <w:bookmarkEnd w:id="430"/>
      <w:bookmarkEnd w:id="431"/>
    </w:p>
    <w:p>
      <w:pPr>
        <w:pStyle w:val="4"/>
        <w:spacing w:before="0" w:beforeLines="0" w:after="0" w:afterLines="0" w:line="240" w:lineRule="auto"/>
        <w:rPr>
          <w:rFonts w:ascii="宋体" w:hAnsi="宋体"/>
          <w:szCs w:val="30"/>
        </w:rPr>
      </w:pPr>
      <w:bookmarkStart w:id="432" w:name="_Toc59386355"/>
      <w:bookmarkStart w:id="433" w:name="_Toc21873"/>
      <w:bookmarkStart w:id="434" w:name="_Toc18251"/>
      <w:bookmarkStart w:id="435" w:name="_Toc24827"/>
      <w:r>
        <w:rPr>
          <w:rFonts w:hint="eastAsia" w:ascii="宋体" w:hAnsi="宋体"/>
          <w:szCs w:val="30"/>
        </w:rPr>
        <w:t>7.1.1消防站辖区面积确定原则</w:t>
      </w:r>
      <w:bookmarkEnd w:id="432"/>
      <w:bookmarkEnd w:id="433"/>
      <w:bookmarkEnd w:id="434"/>
      <w:bookmarkEnd w:id="435"/>
    </w:p>
    <w:p>
      <w:pPr>
        <w:spacing w:before="190" w:after="190"/>
        <w:ind w:firstLine="560"/>
        <w:rPr>
          <w:rFonts w:ascii="宋体" w:hAnsi="宋体"/>
        </w:rPr>
      </w:pPr>
      <w:r>
        <w:rPr>
          <w:rFonts w:hint="eastAsia" w:ascii="宋体" w:hAnsi="宋体"/>
        </w:rPr>
        <w:t>城市规划区消防站辖区面积确定原则，一般应以接到出动指令5分钟内消防车到达辖区边缘为原则而确定。普通消防站一般不应大于7平方公里，设在近郊区的普通消防站仍以接到出动指令5分钟内消防车可以到达辖区边缘为原则确定辖区面积，其辖区面积不应大于15平方公里。同时结合城市的火灾风险，通过评估方法参考确定消防站辖区面积</w:t>
      </w:r>
    </w:p>
    <w:p>
      <w:pPr>
        <w:pStyle w:val="4"/>
        <w:spacing w:before="0" w:beforeLines="0" w:after="0" w:afterLines="0" w:line="240" w:lineRule="auto"/>
        <w:rPr>
          <w:rFonts w:ascii="宋体" w:hAnsi="宋体"/>
          <w:szCs w:val="30"/>
        </w:rPr>
      </w:pPr>
      <w:bookmarkStart w:id="436" w:name="_Toc1076"/>
      <w:bookmarkStart w:id="437" w:name="_Toc59386356"/>
      <w:bookmarkStart w:id="438" w:name="_Toc18016"/>
      <w:bookmarkStart w:id="439" w:name="_Toc6592"/>
      <w:r>
        <w:rPr>
          <w:rFonts w:hint="eastAsia" w:ascii="宋体" w:hAnsi="宋体"/>
          <w:szCs w:val="30"/>
        </w:rPr>
        <w:t>7.1.2消防站选址应符合以下条件</w:t>
      </w:r>
      <w:bookmarkEnd w:id="436"/>
      <w:bookmarkEnd w:id="437"/>
      <w:bookmarkEnd w:id="438"/>
      <w:bookmarkEnd w:id="439"/>
    </w:p>
    <w:p>
      <w:pPr>
        <w:spacing w:before="190" w:after="190"/>
        <w:ind w:firstLine="560"/>
        <w:rPr>
          <w:rFonts w:ascii="宋体" w:hAnsi="宋体"/>
        </w:rPr>
      </w:pPr>
      <w:r>
        <w:rPr>
          <w:rFonts w:hint="eastAsia" w:ascii="宋体" w:hAnsi="宋体"/>
        </w:rPr>
        <w:t>（1）应设在辖区内适中位置和便于车辆迅速出动的临街地段，其用地应满足业务训练的需要。</w:t>
      </w:r>
    </w:p>
    <w:p>
      <w:pPr>
        <w:spacing w:before="190" w:after="190"/>
        <w:ind w:firstLine="560"/>
        <w:rPr>
          <w:rFonts w:ascii="宋体" w:hAnsi="宋体"/>
        </w:rPr>
      </w:pPr>
      <w:r>
        <w:rPr>
          <w:rFonts w:hint="eastAsia" w:ascii="宋体" w:hAnsi="宋体"/>
        </w:rPr>
        <w:t>（2）其主体建筑距医院、学校、幼儿园、托儿所、影剧院、商场、体育场馆、展览馆等公共建筑的主要疏散出口不应小于50米。</w:t>
      </w:r>
    </w:p>
    <w:p>
      <w:pPr>
        <w:spacing w:before="190" w:after="190"/>
        <w:ind w:firstLine="560"/>
        <w:rPr>
          <w:rFonts w:ascii="宋体" w:hAnsi="宋体"/>
        </w:rPr>
      </w:pPr>
      <w:r>
        <w:rPr>
          <w:rFonts w:hint="eastAsia" w:ascii="宋体" w:hAnsi="宋体"/>
        </w:rPr>
        <w:t>（3）辖区内有生产、贮存危险化学品单位的，消防站应设置在常年主导风向的上风或侧风处，其边界距上述危险部位一般不宜小于200米。</w:t>
      </w:r>
    </w:p>
    <w:p>
      <w:pPr>
        <w:spacing w:before="190" w:after="190"/>
        <w:ind w:firstLine="560"/>
        <w:rPr>
          <w:rFonts w:ascii="宋体" w:hAnsi="宋体"/>
        </w:rPr>
      </w:pPr>
      <w:r>
        <w:rPr>
          <w:rFonts w:hint="eastAsia" w:ascii="宋体" w:hAnsi="宋体"/>
        </w:rPr>
        <w:t>（4）消防站车库门应朝向城市道路，距城市道路红线的距离不小于15米。</w:t>
      </w:r>
    </w:p>
    <w:p>
      <w:pPr>
        <w:pStyle w:val="4"/>
        <w:spacing w:before="0" w:beforeLines="0" w:after="0" w:afterLines="0" w:line="240" w:lineRule="auto"/>
        <w:rPr>
          <w:rFonts w:ascii="宋体" w:hAnsi="宋体"/>
          <w:szCs w:val="30"/>
        </w:rPr>
      </w:pPr>
      <w:bookmarkStart w:id="440" w:name="_Toc59386357"/>
      <w:bookmarkStart w:id="441" w:name="_Toc27051"/>
      <w:bookmarkStart w:id="442" w:name="_Toc14663"/>
      <w:bookmarkStart w:id="443" w:name="_Toc7376"/>
      <w:r>
        <w:rPr>
          <w:rFonts w:hint="eastAsia" w:ascii="宋体" w:hAnsi="宋体"/>
          <w:szCs w:val="30"/>
        </w:rPr>
        <w:t>7.1.3消防站布局的其它原则</w:t>
      </w:r>
      <w:bookmarkEnd w:id="440"/>
      <w:bookmarkEnd w:id="441"/>
      <w:bookmarkEnd w:id="442"/>
      <w:bookmarkEnd w:id="443"/>
    </w:p>
    <w:p>
      <w:pPr>
        <w:spacing w:before="190" w:after="190"/>
        <w:ind w:firstLine="560"/>
        <w:rPr>
          <w:rFonts w:ascii="宋体" w:hAnsi="宋体"/>
        </w:rPr>
      </w:pPr>
      <w:r>
        <w:rPr>
          <w:rFonts w:hint="eastAsia" w:ascii="宋体" w:hAnsi="宋体"/>
        </w:rPr>
        <w:t>（1）消防站一般不应设在综合性建筑物中。特殊情况下，设在综合性建筑物中的消防站应有独立的功能分区。</w:t>
      </w:r>
    </w:p>
    <w:p>
      <w:pPr>
        <w:spacing w:before="190" w:after="190"/>
        <w:ind w:firstLine="560"/>
        <w:rPr>
          <w:rFonts w:ascii="宋体" w:hAnsi="宋体"/>
        </w:rPr>
      </w:pPr>
      <w:r>
        <w:rPr>
          <w:rFonts w:hint="eastAsia" w:ascii="宋体" w:hAnsi="宋体"/>
        </w:rPr>
        <w:t>（2）根据城市总体规划确定的用地布局、规划结构和功能组团，并结合对城市火灾风险评估，确定消防站辖区面积。消防站布局采取均衡布局与重点保护相结合布局原则。</w:t>
      </w:r>
    </w:p>
    <w:p>
      <w:pPr>
        <w:spacing w:before="190" w:after="190"/>
        <w:ind w:firstLine="560"/>
        <w:rPr>
          <w:rFonts w:ascii="宋体" w:hAnsi="宋体"/>
        </w:rPr>
      </w:pPr>
      <w:r>
        <w:rPr>
          <w:rFonts w:hint="eastAsia" w:ascii="宋体" w:hAnsi="宋体"/>
        </w:rPr>
        <w:t>（3）消防站的辖区面积，一般地区消防辖区面积控制在7平方公里左右，老城区根据实际情况消防辖区可以适当降低，工业园区辖区面积适当放宽。</w:t>
      </w:r>
    </w:p>
    <w:p>
      <w:pPr>
        <w:spacing w:before="190" w:after="190"/>
        <w:ind w:firstLine="560"/>
        <w:rPr>
          <w:rFonts w:ascii="宋体" w:hAnsi="宋体"/>
        </w:rPr>
      </w:pPr>
      <w:r>
        <w:rPr>
          <w:rFonts w:hint="eastAsia" w:ascii="宋体" w:hAnsi="宋体"/>
        </w:rPr>
        <w:t>（4）坚持统一规划、分期实施、近远期结合的原则。</w:t>
      </w:r>
    </w:p>
    <w:p>
      <w:pPr>
        <w:spacing w:before="190" w:after="190"/>
        <w:ind w:firstLine="560"/>
        <w:rPr>
          <w:rFonts w:ascii="宋体" w:hAnsi="宋体"/>
        </w:rPr>
      </w:pPr>
      <w:r>
        <w:rPr>
          <w:rFonts w:hint="eastAsia" w:ascii="宋体" w:hAnsi="宋体"/>
        </w:rPr>
        <w:t>（5）重点突出消防规划实施的可操作性，具体落实并有效控制城市消防站建设用地，确保消防站近期与远期建设都能与城市建设同步发展。</w:t>
      </w:r>
    </w:p>
    <w:p>
      <w:pPr>
        <w:pStyle w:val="4"/>
        <w:spacing w:before="0" w:beforeLines="0" w:after="0" w:afterLines="0" w:line="240" w:lineRule="auto"/>
        <w:rPr>
          <w:rFonts w:ascii="宋体" w:hAnsi="宋体"/>
          <w:szCs w:val="30"/>
        </w:rPr>
      </w:pPr>
      <w:bookmarkStart w:id="444" w:name="_Toc11882"/>
      <w:bookmarkStart w:id="445" w:name="_Toc26311"/>
      <w:bookmarkStart w:id="446" w:name="_Toc18635"/>
      <w:r>
        <w:rPr>
          <w:rFonts w:hint="eastAsia" w:ascii="宋体" w:hAnsi="宋体"/>
          <w:szCs w:val="30"/>
        </w:rPr>
        <w:t>7.1.4消防站布局规划</w:t>
      </w:r>
      <w:bookmarkEnd w:id="444"/>
      <w:bookmarkEnd w:id="445"/>
      <w:bookmarkEnd w:id="446"/>
    </w:p>
    <w:p>
      <w:pPr>
        <w:spacing w:before="190" w:after="190"/>
        <w:ind w:firstLine="560"/>
        <w:rPr>
          <w:rFonts w:ascii="宋体" w:hAnsi="宋体"/>
        </w:rPr>
      </w:pPr>
      <w:r>
        <w:rPr>
          <w:rFonts w:hint="eastAsia" w:ascii="宋体" w:hAnsi="宋体"/>
        </w:rPr>
        <w:t>根据《盐池县城市总体规划（2010-2030）》、《盐池县空间规划（2016-2035）》并结合正在编制的《盐池县国土空间规划（2020-2035）》，近期主要向西发展西部新区，优化老城区，积极向东拓展工业区，向北发展物流园区。远期城市东西拓展的同时，控制向南北发展。城市远期规划范围面积按</w:t>
      </w:r>
      <w:r>
        <w:rPr>
          <w:rFonts w:ascii="宋体" w:hAnsi="宋体"/>
        </w:rPr>
        <w:t>26.62</w:t>
      </w:r>
      <w:r>
        <w:rPr>
          <w:rFonts w:hint="eastAsia" w:ascii="宋体" w:hAnsi="宋体"/>
        </w:rPr>
        <w:t>平方公里控制。</w:t>
      </w:r>
    </w:p>
    <w:p>
      <w:pPr>
        <w:spacing w:before="190" w:after="190"/>
        <w:ind w:firstLine="560"/>
        <w:rPr>
          <w:rFonts w:ascii="宋体" w:hAnsi="宋体"/>
        </w:rPr>
      </w:pPr>
      <w:r>
        <w:rPr>
          <w:rFonts w:hint="eastAsia" w:ascii="宋体" w:hAnsi="宋体"/>
        </w:rPr>
        <w:t>规划城市消防站总数达到3座，保留现状1座，新建2座。</w:t>
      </w:r>
    </w:p>
    <w:p>
      <w:pPr>
        <w:spacing w:before="190" w:after="190"/>
        <w:ind w:firstLine="560"/>
        <w:rPr>
          <w:rFonts w:ascii="宋体" w:hAnsi="宋体"/>
        </w:rPr>
      </w:pPr>
      <w:r>
        <w:rPr>
          <w:rFonts w:hint="eastAsia" w:ascii="宋体" w:hAnsi="宋体"/>
        </w:rPr>
        <w:t>现状花马池站位于县城花马池西街与振兴路交叉口东北侧，为二级普通消防站，用地6642.30平方米，建筑面积2750.48平方米；近期，提升、改造花马池站达到一级普通兼化工特勤消防站标准，完善人员配备、消防车辆、装备器材。</w:t>
      </w:r>
    </w:p>
    <w:p>
      <w:pPr>
        <w:spacing w:before="190" w:after="190"/>
        <w:ind w:firstLine="560"/>
        <w:rPr>
          <w:rFonts w:ascii="宋体" w:hAnsi="宋体"/>
        </w:rPr>
      </w:pPr>
      <w:r>
        <w:rPr>
          <w:rFonts w:hint="eastAsia" w:ascii="宋体" w:hAnsi="宋体"/>
        </w:rPr>
        <w:t>规划新建两座消防站：规划一号站位于东顺路与振远东街交叉口西北侧，为一级普通消防站；规划二号站位于广惠西街与经四路较叉口西北侧，为二级普通消防站。</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规划消防站一览表</w:t>
      </w:r>
    </w:p>
    <w:tbl>
      <w:tblPr>
        <w:tblStyle w:val="10"/>
        <w:tblW w:w="5000" w:type="pct"/>
        <w:jc w:val="center"/>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Layout w:type="autofit"/>
        <w:tblCellMar>
          <w:top w:w="0" w:type="dxa"/>
          <w:left w:w="108" w:type="dxa"/>
          <w:bottom w:w="0" w:type="dxa"/>
          <w:right w:w="108" w:type="dxa"/>
        </w:tblCellMar>
      </w:tblPr>
      <w:tblGrid>
        <w:gridCol w:w="680"/>
        <w:gridCol w:w="1300"/>
        <w:gridCol w:w="1890"/>
        <w:gridCol w:w="1417"/>
        <w:gridCol w:w="3241"/>
      </w:tblGrid>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CellMar>
            <w:top w:w="0" w:type="dxa"/>
            <w:left w:w="108" w:type="dxa"/>
            <w:bottom w:w="0" w:type="dxa"/>
            <w:right w:w="108" w:type="dxa"/>
          </w:tblCellMar>
        </w:tblPrEx>
        <w:trPr>
          <w:trHeight w:val="680" w:hRule="atLeast"/>
          <w:jc w:val="center"/>
        </w:trPr>
        <w:tc>
          <w:tcPr>
            <w:tcW w:w="399"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序号</w:t>
            </w:r>
          </w:p>
        </w:tc>
        <w:tc>
          <w:tcPr>
            <w:tcW w:w="76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名称</w:t>
            </w:r>
          </w:p>
        </w:tc>
        <w:tc>
          <w:tcPr>
            <w:tcW w:w="1108"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位置</w:t>
            </w:r>
          </w:p>
        </w:tc>
        <w:tc>
          <w:tcPr>
            <w:tcW w:w="83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性质</w:t>
            </w:r>
          </w:p>
        </w:tc>
        <w:tc>
          <w:tcPr>
            <w:tcW w:w="1900"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备注</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CellMar>
            <w:top w:w="0" w:type="dxa"/>
            <w:left w:w="108" w:type="dxa"/>
            <w:bottom w:w="0" w:type="dxa"/>
            <w:right w:w="108" w:type="dxa"/>
          </w:tblCellMar>
        </w:tblPrEx>
        <w:trPr>
          <w:trHeight w:val="915" w:hRule="atLeast"/>
          <w:jc w:val="center"/>
        </w:trPr>
        <w:tc>
          <w:tcPr>
            <w:tcW w:w="39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bCs/>
                <w:color w:val="000000"/>
                <w:sz w:val="24"/>
              </w:rPr>
              <w:t>1</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花马池站</w:t>
            </w:r>
          </w:p>
        </w:tc>
        <w:tc>
          <w:tcPr>
            <w:tcW w:w="110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花马池西街与振兴路交叉口东北侧</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一级普通兼化工特勤消防站</w:t>
            </w:r>
          </w:p>
        </w:tc>
        <w:tc>
          <w:tcPr>
            <w:tcW w:w="1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提升、改造花马池站，完善人员配备、消防车辆、装备器材，达到一级普通兼化工特勤消防站标准</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CellMar>
            <w:top w:w="0" w:type="dxa"/>
            <w:left w:w="108" w:type="dxa"/>
            <w:bottom w:w="0" w:type="dxa"/>
            <w:right w:w="108" w:type="dxa"/>
          </w:tblCellMar>
        </w:tblPrEx>
        <w:trPr>
          <w:trHeight w:val="968" w:hRule="atLeast"/>
          <w:jc w:val="center"/>
        </w:trPr>
        <w:tc>
          <w:tcPr>
            <w:tcW w:w="39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bCs/>
                <w:color w:val="000000"/>
                <w:sz w:val="24"/>
              </w:rPr>
              <w:t>2</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规划一号站</w:t>
            </w:r>
          </w:p>
        </w:tc>
        <w:tc>
          <w:tcPr>
            <w:tcW w:w="110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东顺路与振远东街交叉口西北侧</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消防站</w:t>
            </w:r>
          </w:p>
        </w:tc>
        <w:tc>
          <w:tcPr>
            <w:tcW w:w="1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规划新建、按一级普通消防站标准建设</w:t>
            </w:r>
          </w:p>
        </w:tc>
      </w:tr>
      <w:tr>
        <w:tblPrEx>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shd w:val="clear" w:color="auto" w:fill="E2EFD9"/>
          <w:tblCellMar>
            <w:top w:w="0" w:type="dxa"/>
            <w:left w:w="108" w:type="dxa"/>
            <w:bottom w:w="0" w:type="dxa"/>
            <w:right w:w="108" w:type="dxa"/>
          </w:tblCellMar>
        </w:tblPrEx>
        <w:trPr>
          <w:trHeight w:val="828" w:hRule="atLeast"/>
          <w:jc w:val="center"/>
        </w:trPr>
        <w:tc>
          <w:tcPr>
            <w:tcW w:w="39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bCs/>
                <w:color w:val="000000"/>
                <w:sz w:val="24"/>
              </w:rPr>
              <w:t>3</w:t>
            </w:r>
          </w:p>
        </w:tc>
        <w:tc>
          <w:tcPr>
            <w:tcW w:w="7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规划二号站</w:t>
            </w:r>
          </w:p>
        </w:tc>
        <w:tc>
          <w:tcPr>
            <w:tcW w:w="110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广惠西街与经四路较叉口西北侧</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二级普通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消防站</w:t>
            </w:r>
          </w:p>
        </w:tc>
        <w:tc>
          <w:tcPr>
            <w:tcW w:w="1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规划新建、按二级普通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消防站标准建设</w:t>
            </w:r>
          </w:p>
        </w:tc>
      </w:tr>
    </w:tbl>
    <w:p>
      <w:pPr>
        <w:spacing w:before="190" w:after="190"/>
        <w:ind w:firstLine="0" w:firstLineChars="0"/>
        <w:jc w:val="center"/>
        <w:rPr>
          <w:rFonts w:hint="eastAsia" w:ascii="宋体" w:hAnsi="宋体"/>
        </w:rPr>
      </w:pPr>
      <w:r>
        <w:drawing>
          <wp:inline distT="0" distB="0" distL="114300" distR="114300">
            <wp:extent cx="5374640" cy="3938270"/>
            <wp:effectExtent l="0" t="0" r="16510" b="5080"/>
            <wp:docPr id="7" name="图片 19" descr="13-城市消防站布局规划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9" descr="13-城市消防站布局规划图(1)"/>
                    <pic:cNvPicPr>
                      <a:picLocks noChangeAspect="true"/>
                    </pic:cNvPicPr>
                  </pic:nvPicPr>
                  <pic:blipFill>
                    <a:blip r:embed="rId34"/>
                    <a:srcRect l="3500"/>
                    <a:stretch>
                      <a:fillRect/>
                    </a:stretch>
                  </pic:blipFill>
                  <pic:spPr>
                    <a:xfrm>
                      <a:off x="0" y="0"/>
                      <a:ext cx="5374640" cy="3938270"/>
                    </a:xfrm>
                    <a:prstGeom prst="rect">
                      <a:avLst/>
                    </a:prstGeom>
                    <a:noFill/>
                    <a:ln>
                      <a:noFill/>
                    </a:ln>
                  </pic:spPr>
                </pic:pic>
              </a:graphicData>
            </a:graphic>
          </wp:inline>
        </w:drawing>
      </w:r>
    </w:p>
    <w:p>
      <w:pPr>
        <w:pStyle w:val="4"/>
        <w:spacing w:before="0" w:beforeLines="0" w:after="0" w:afterLines="0" w:line="240" w:lineRule="auto"/>
        <w:rPr>
          <w:rFonts w:ascii="宋体" w:hAnsi="宋体"/>
          <w:szCs w:val="30"/>
        </w:rPr>
      </w:pPr>
      <w:bookmarkStart w:id="447" w:name="_Toc2079"/>
      <w:bookmarkStart w:id="448" w:name="_Toc59386358"/>
      <w:bookmarkStart w:id="449" w:name="_Toc18584"/>
      <w:bookmarkStart w:id="450" w:name="_Toc17941"/>
      <w:r>
        <w:rPr>
          <w:rFonts w:hint="eastAsia" w:ascii="宋体" w:hAnsi="宋体"/>
          <w:szCs w:val="30"/>
        </w:rPr>
        <w:t>7.1.5消防站辖区规划</w:t>
      </w:r>
      <w:bookmarkEnd w:id="447"/>
      <w:bookmarkEnd w:id="448"/>
      <w:bookmarkEnd w:id="449"/>
      <w:bookmarkEnd w:id="450"/>
    </w:p>
    <w:p>
      <w:pPr>
        <w:spacing w:before="190" w:after="190"/>
        <w:ind w:firstLine="560"/>
        <w:rPr>
          <w:rFonts w:ascii="宋体" w:hAnsi="宋体"/>
        </w:rPr>
      </w:pPr>
      <w:r>
        <w:rPr>
          <w:rFonts w:hint="eastAsia" w:ascii="宋体" w:hAnsi="宋体"/>
        </w:rPr>
        <w:t>按照《城市消防站建设标准》（建标152—2017），消防站的布局一般应以接到出动指令后5分钟内消防队可以到达辖区边缘为原则确定。为使消防车能尽快赶赴火场，根据城市道路交通特征（消防出警速度和道路曲度系数），依据以下方法计算辖区面积：</w:t>
      </w:r>
    </w:p>
    <w:p>
      <w:pPr>
        <w:spacing w:before="190" w:after="190"/>
        <w:ind w:firstLine="560"/>
        <w:rPr>
          <w:rFonts w:ascii="宋体" w:hAnsi="宋体"/>
        </w:rPr>
      </w:pPr>
      <w:r>
        <w:rPr>
          <w:rFonts w:ascii="宋体" w:hAnsi="宋体"/>
        </w:rPr>
        <w:t>A=2P2</w:t>
      </w:r>
    </w:p>
    <w:p>
      <w:pPr>
        <w:spacing w:before="190" w:after="190"/>
        <w:ind w:firstLine="560"/>
        <w:rPr>
          <w:rFonts w:ascii="宋体" w:hAnsi="宋体"/>
        </w:rPr>
      </w:pPr>
      <w:r>
        <w:rPr>
          <w:rFonts w:hint="eastAsia" w:ascii="宋体" w:hAnsi="宋体"/>
        </w:rPr>
        <w:t>其中：A——消防站辖区面积（平方公里）；P——消防站保护半径（公里）。</w:t>
      </w:r>
    </w:p>
    <w:p>
      <w:pPr>
        <w:spacing w:before="190" w:after="190"/>
        <w:ind w:firstLine="560"/>
        <w:rPr>
          <w:rFonts w:ascii="宋体" w:hAnsi="宋体"/>
        </w:rPr>
      </w:pPr>
      <w:r>
        <w:rPr>
          <w:rFonts w:hint="eastAsia" w:ascii="宋体" w:hAnsi="宋体"/>
        </w:rPr>
        <w:t>在城市用地功能、道路网密度、火灾危险分布、道路通行状况均理想的状态下，消防站辖区面积与消防站服务半径的关系为：以消防站为区域中心，以消防站的辖区边缘为边长的两个正方形围合的区域。</w:t>
      </w:r>
    </w:p>
    <w:p>
      <w:pPr>
        <w:spacing w:before="190" w:after="190"/>
        <w:ind w:firstLine="560"/>
        <w:rPr>
          <w:rFonts w:ascii="宋体" w:hAnsi="宋体"/>
        </w:rPr>
      </w:pPr>
      <w:r>
        <w:rPr>
          <w:rFonts w:hint="eastAsia" w:ascii="宋体" w:hAnsi="宋体"/>
        </w:rPr>
        <w:t>结合盐池县城市规划的功能分区、用地布局、道路网络和火灾风险并兼顾现状消防站辖区等，划定规划消防站辖区。</w:t>
      </w:r>
    </w:p>
    <w:p>
      <w:pPr>
        <w:spacing w:before="190" w:after="190"/>
        <w:ind w:firstLine="560"/>
        <w:rPr>
          <w:rFonts w:ascii="宋体" w:hAnsi="宋体"/>
        </w:rPr>
      </w:pPr>
      <w:r>
        <w:rPr>
          <w:rFonts w:hint="eastAsia" w:ascii="宋体" w:hAnsi="宋体"/>
        </w:rPr>
        <w:t>花马池站辖区范围：西起五原路、东至盐州路，南起文化西街、北至物流园区北侧规划路，辖区面积</w:t>
      </w:r>
      <w:r>
        <w:rPr>
          <w:rFonts w:ascii="宋体" w:hAnsi="宋体"/>
        </w:rPr>
        <w:t>9.85</w:t>
      </w:r>
      <w:r>
        <w:rPr>
          <w:rFonts w:hint="eastAsia" w:ascii="宋体" w:hAnsi="宋体"/>
        </w:rPr>
        <w:t>平方公里。</w:t>
      </w:r>
    </w:p>
    <w:p>
      <w:pPr>
        <w:spacing w:before="190" w:after="190"/>
        <w:ind w:firstLine="560"/>
        <w:rPr>
          <w:rFonts w:ascii="宋体" w:hAnsi="宋体"/>
        </w:rPr>
      </w:pPr>
      <w:r>
        <w:rPr>
          <w:rFonts w:hint="eastAsia" w:ascii="宋体" w:hAnsi="宋体"/>
        </w:rPr>
        <w:t>规划一号站辖区范围：西起盐州路、东至工业园区东侧规划路，南起南二环路、北至307国道，辖区面积</w:t>
      </w:r>
      <w:r>
        <w:rPr>
          <w:rFonts w:ascii="宋体" w:hAnsi="宋体"/>
        </w:rPr>
        <w:t>8.58</w:t>
      </w:r>
      <w:r>
        <w:rPr>
          <w:rFonts w:hint="eastAsia" w:ascii="宋体" w:hAnsi="宋体"/>
        </w:rPr>
        <w:t>平方公里，同时规划一号站负责支援工业园区消防救援。</w:t>
      </w:r>
    </w:p>
    <w:p>
      <w:pPr>
        <w:spacing w:before="190" w:after="190"/>
        <w:ind w:firstLine="560"/>
        <w:rPr>
          <w:rFonts w:ascii="宋体" w:hAnsi="宋体"/>
        </w:rPr>
      </w:pPr>
      <w:r>
        <w:rPr>
          <w:rFonts w:hint="eastAsia" w:ascii="宋体" w:hAnsi="宋体"/>
        </w:rPr>
        <w:t>规划二号站辖区范围：西起汽车城西侧规划路、东至盐州路，南起南二环路、北至文化西街，辖区面积</w:t>
      </w:r>
      <w:r>
        <w:rPr>
          <w:rFonts w:ascii="宋体" w:hAnsi="宋体"/>
        </w:rPr>
        <w:t>8.18</w:t>
      </w:r>
      <w:r>
        <w:rPr>
          <w:rFonts w:hint="eastAsia" w:ascii="宋体" w:hAnsi="宋体"/>
        </w:rPr>
        <w:t>平方公里。</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规划消防站辖区一览表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715"/>
        <w:gridCol w:w="1255"/>
        <w:gridCol w:w="2901"/>
        <w:gridCol w:w="1598"/>
        <w:gridCol w:w="1417"/>
        <w:gridCol w:w="642"/>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419"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序号</w:t>
            </w:r>
          </w:p>
        </w:tc>
        <w:tc>
          <w:tcPr>
            <w:tcW w:w="73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名称</w:t>
            </w:r>
          </w:p>
        </w:tc>
        <w:tc>
          <w:tcPr>
            <w:tcW w:w="170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辖区范围</w:t>
            </w:r>
          </w:p>
        </w:tc>
        <w:tc>
          <w:tcPr>
            <w:tcW w:w="937"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性质</w:t>
            </w:r>
          </w:p>
        </w:tc>
        <w:tc>
          <w:tcPr>
            <w:tcW w:w="83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用地面积</w:t>
            </w:r>
          </w:p>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（平方公里）</w:t>
            </w:r>
          </w:p>
        </w:tc>
        <w:tc>
          <w:tcPr>
            <w:tcW w:w="37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41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1</w:t>
            </w:r>
          </w:p>
        </w:tc>
        <w:tc>
          <w:tcPr>
            <w:tcW w:w="73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花马池站</w:t>
            </w:r>
          </w:p>
        </w:tc>
        <w:tc>
          <w:tcPr>
            <w:tcW w:w="170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西起五原路、东至盐州路，南起文化西街、北至物流园区北侧规划路。</w:t>
            </w:r>
          </w:p>
        </w:tc>
        <w:tc>
          <w:tcPr>
            <w:tcW w:w="93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一级普通兼化工特勤消防站</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9.85</w:t>
            </w:r>
          </w:p>
        </w:tc>
        <w:tc>
          <w:tcPr>
            <w:tcW w:w="37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41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2</w:t>
            </w:r>
          </w:p>
        </w:tc>
        <w:tc>
          <w:tcPr>
            <w:tcW w:w="73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规划一号站</w:t>
            </w:r>
          </w:p>
        </w:tc>
        <w:tc>
          <w:tcPr>
            <w:tcW w:w="170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西起盐州路、东至工业园区东侧规划路，南起南二环路、北至307国道。</w:t>
            </w:r>
          </w:p>
        </w:tc>
        <w:tc>
          <w:tcPr>
            <w:tcW w:w="93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一级普通消防站</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8.58</w:t>
            </w:r>
          </w:p>
        </w:tc>
        <w:tc>
          <w:tcPr>
            <w:tcW w:w="37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41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3</w:t>
            </w:r>
          </w:p>
        </w:tc>
        <w:tc>
          <w:tcPr>
            <w:tcW w:w="73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规划二号站</w:t>
            </w:r>
          </w:p>
        </w:tc>
        <w:tc>
          <w:tcPr>
            <w:tcW w:w="170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西起汽车城西侧规划路、东至盐州路，南起南二环路、北至文化西街。</w:t>
            </w:r>
          </w:p>
        </w:tc>
        <w:tc>
          <w:tcPr>
            <w:tcW w:w="93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二级普通消防站</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8.18</w:t>
            </w:r>
          </w:p>
        </w:tc>
        <w:tc>
          <w:tcPr>
            <w:tcW w:w="37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r>
    </w:tbl>
    <w:p>
      <w:pPr>
        <w:pStyle w:val="4"/>
        <w:spacing w:before="0" w:beforeLines="0" w:after="0" w:afterLines="0" w:line="240" w:lineRule="auto"/>
        <w:rPr>
          <w:rFonts w:ascii="宋体" w:hAnsi="宋体"/>
          <w:szCs w:val="30"/>
        </w:rPr>
      </w:pPr>
      <w:bookmarkStart w:id="451" w:name="_Toc31824"/>
      <w:bookmarkStart w:id="452" w:name="_Toc23846"/>
      <w:bookmarkStart w:id="453" w:name="_Toc10554"/>
      <w:bookmarkStart w:id="454" w:name="_Toc59386359"/>
      <w:r>
        <w:rPr>
          <w:rFonts w:hint="eastAsia" w:ascii="宋体" w:hAnsi="宋体"/>
          <w:szCs w:val="30"/>
        </w:rPr>
        <w:t>7.1.6消防站建设规划</w:t>
      </w:r>
      <w:bookmarkEnd w:id="451"/>
      <w:bookmarkEnd w:id="452"/>
      <w:bookmarkEnd w:id="453"/>
    </w:p>
    <w:p>
      <w:pPr>
        <w:spacing w:before="190" w:after="190"/>
        <w:ind w:firstLine="0" w:firstLineChars="0"/>
        <w:rPr>
          <w:rFonts w:ascii="宋体" w:hAnsi="宋体"/>
          <w:b/>
          <w:sz w:val="30"/>
          <w:szCs w:val="30"/>
        </w:rPr>
      </w:pPr>
      <w:r>
        <w:rPr>
          <w:rFonts w:hint="eastAsia" w:ascii="宋体" w:hAnsi="宋体"/>
          <w:b/>
          <w:sz w:val="30"/>
          <w:szCs w:val="30"/>
        </w:rPr>
        <w:t>7.1.6.1消防站建设用地标准</w:t>
      </w:r>
    </w:p>
    <w:p>
      <w:pPr>
        <w:spacing w:before="190" w:after="190"/>
        <w:ind w:firstLine="560"/>
        <w:rPr>
          <w:rFonts w:ascii="宋体" w:hAnsi="宋体"/>
        </w:rPr>
      </w:pPr>
      <w:r>
        <w:rPr>
          <w:rFonts w:hint="eastAsia" w:ascii="宋体" w:hAnsi="宋体"/>
        </w:rPr>
        <w:t>消防站建设用地面积指标应符合以下规定：</w:t>
      </w:r>
    </w:p>
    <w:p>
      <w:pPr>
        <w:spacing w:before="190" w:after="190"/>
        <w:ind w:firstLine="560"/>
        <w:rPr>
          <w:rFonts w:ascii="宋体" w:hAnsi="宋体"/>
        </w:rPr>
      </w:pPr>
      <w:r>
        <w:rPr>
          <w:rFonts w:hint="eastAsia" w:ascii="宋体" w:hAnsi="宋体"/>
        </w:rPr>
        <w:t>（1）特勤消防站5600平方米～7</w:t>
      </w:r>
      <w:r>
        <w:rPr>
          <w:rFonts w:ascii="宋体" w:hAnsi="宋体"/>
        </w:rPr>
        <w:t>200</w:t>
      </w:r>
      <w:r>
        <w:rPr>
          <w:rFonts w:hint="eastAsia" w:ascii="宋体" w:hAnsi="宋体"/>
        </w:rPr>
        <w:t>平方米；</w:t>
      </w:r>
    </w:p>
    <w:p>
      <w:pPr>
        <w:spacing w:before="190" w:after="190"/>
        <w:ind w:firstLine="560"/>
        <w:rPr>
          <w:rFonts w:hint="eastAsia" w:ascii="宋体" w:hAnsi="宋体"/>
        </w:rPr>
      </w:pPr>
      <w:r>
        <w:rPr>
          <w:rFonts w:hint="eastAsia" w:ascii="宋体" w:hAnsi="宋体"/>
        </w:rPr>
        <w:t>（2）一级普通消防站3</w:t>
      </w:r>
      <w:r>
        <w:rPr>
          <w:rFonts w:ascii="宋体" w:hAnsi="宋体"/>
        </w:rPr>
        <w:t>900</w:t>
      </w:r>
      <w:r>
        <w:rPr>
          <w:rFonts w:hint="eastAsia" w:ascii="宋体" w:hAnsi="宋体"/>
        </w:rPr>
        <w:t>平方米～5600平方米；</w:t>
      </w:r>
    </w:p>
    <w:p>
      <w:pPr>
        <w:spacing w:before="190" w:after="190"/>
        <w:ind w:firstLine="560"/>
        <w:rPr>
          <w:rFonts w:ascii="宋体" w:hAnsi="宋体"/>
        </w:rPr>
      </w:pPr>
      <w:r>
        <w:rPr>
          <w:rFonts w:hint="eastAsia" w:ascii="宋体" w:hAnsi="宋体"/>
        </w:rPr>
        <w:t>（</w:t>
      </w:r>
      <w:r>
        <w:rPr>
          <w:rFonts w:ascii="宋体" w:hAnsi="宋体"/>
        </w:rPr>
        <w:t>3</w:t>
      </w:r>
      <w:r>
        <w:rPr>
          <w:rFonts w:hint="eastAsia" w:ascii="宋体" w:hAnsi="宋体"/>
        </w:rPr>
        <w:t>）二级普通消防站2300平方米～3800平方米。</w:t>
      </w:r>
    </w:p>
    <w:p>
      <w:pPr>
        <w:spacing w:before="190" w:after="190"/>
        <w:ind w:firstLine="560"/>
        <w:rPr>
          <w:rFonts w:hint="eastAsia" w:ascii="宋体" w:hAnsi="宋体"/>
        </w:rPr>
      </w:pPr>
      <w:r>
        <w:rPr>
          <w:rFonts w:hint="eastAsia" w:ascii="宋体" w:hAnsi="宋体"/>
        </w:rPr>
        <w:t>上述指标未包含站内消防车道、绿化用地的面积，在确定消防站建设用地总面积时，可按0.5～0.6的容积率进行测算。</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规划消防站建设用地一览表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702"/>
        <w:gridCol w:w="1334"/>
        <w:gridCol w:w="1479"/>
        <w:gridCol w:w="1537"/>
        <w:gridCol w:w="1180"/>
        <w:gridCol w:w="2296"/>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680" w:hRule="atLeast"/>
          <w:tblHeader/>
          <w:jc w:val="center"/>
        </w:trPr>
        <w:tc>
          <w:tcPr>
            <w:tcW w:w="41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序号</w:t>
            </w:r>
          </w:p>
        </w:tc>
        <w:tc>
          <w:tcPr>
            <w:tcW w:w="78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名称</w:t>
            </w:r>
          </w:p>
        </w:tc>
        <w:tc>
          <w:tcPr>
            <w:tcW w:w="867"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性质</w:t>
            </w:r>
          </w:p>
        </w:tc>
        <w:tc>
          <w:tcPr>
            <w:tcW w:w="90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现状用地</w:t>
            </w:r>
          </w:p>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（平方米）</w:t>
            </w:r>
          </w:p>
        </w:tc>
        <w:tc>
          <w:tcPr>
            <w:tcW w:w="69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规划用地</w:t>
            </w:r>
          </w:p>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（平方米）</w:t>
            </w:r>
          </w:p>
        </w:tc>
        <w:tc>
          <w:tcPr>
            <w:tcW w:w="134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1094" w:hRule="atLeast"/>
          <w:jc w:val="center"/>
        </w:trPr>
        <w:tc>
          <w:tcPr>
            <w:tcW w:w="4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1</w:t>
            </w:r>
          </w:p>
        </w:tc>
        <w:tc>
          <w:tcPr>
            <w:tcW w:w="7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花马池站</w:t>
            </w:r>
          </w:p>
        </w:tc>
        <w:tc>
          <w:tcPr>
            <w:tcW w:w="86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一级普通兼化工特勤消防站</w:t>
            </w:r>
          </w:p>
        </w:tc>
        <w:tc>
          <w:tcPr>
            <w:tcW w:w="90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6642.3</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6642.3</w:t>
            </w:r>
          </w:p>
        </w:tc>
        <w:tc>
          <w:tcPr>
            <w:tcW w:w="134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提升、改造</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1124" w:hRule="atLeast"/>
          <w:jc w:val="center"/>
        </w:trPr>
        <w:tc>
          <w:tcPr>
            <w:tcW w:w="4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2</w:t>
            </w:r>
          </w:p>
        </w:tc>
        <w:tc>
          <w:tcPr>
            <w:tcW w:w="7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规划一号站</w:t>
            </w:r>
          </w:p>
        </w:tc>
        <w:tc>
          <w:tcPr>
            <w:tcW w:w="86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一级普通消防站</w:t>
            </w:r>
          </w:p>
        </w:tc>
        <w:tc>
          <w:tcPr>
            <w:tcW w:w="90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65</w:t>
            </w:r>
            <w:r>
              <w:rPr>
                <w:rFonts w:hint="eastAsia" w:ascii="仿宋" w:hAnsi="仿宋" w:eastAsia="仿宋" w:cs="Calibri"/>
                <w:sz w:val="24"/>
              </w:rPr>
              <w:t>00</w:t>
            </w:r>
          </w:p>
        </w:tc>
        <w:tc>
          <w:tcPr>
            <w:tcW w:w="134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规划新建、达到一级普通消防站建设用地标准</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1112" w:hRule="atLeast"/>
          <w:jc w:val="center"/>
        </w:trPr>
        <w:tc>
          <w:tcPr>
            <w:tcW w:w="4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3</w:t>
            </w:r>
          </w:p>
        </w:tc>
        <w:tc>
          <w:tcPr>
            <w:tcW w:w="78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规划二号站</w:t>
            </w:r>
          </w:p>
        </w:tc>
        <w:tc>
          <w:tcPr>
            <w:tcW w:w="86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二级普通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消防站</w:t>
            </w:r>
          </w:p>
        </w:tc>
        <w:tc>
          <w:tcPr>
            <w:tcW w:w="90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40</w:t>
            </w:r>
            <w:r>
              <w:rPr>
                <w:rFonts w:hint="eastAsia" w:ascii="仿宋" w:hAnsi="仿宋" w:eastAsia="仿宋" w:cs="Calibri"/>
                <w:sz w:val="24"/>
              </w:rPr>
              <w:t>00</w:t>
            </w:r>
          </w:p>
        </w:tc>
        <w:tc>
          <w:tcPr>
            <w:tcW w:w="134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规划新建、达到二级普通消防站建设用地标准</w:t>
            </w:r>
          </w:p>
        </w:tc>
      </w:tr>
    </w:tbl>
    <w:p>
      <w:pPr>
        <w:spacing w:before="190" w:after="190"/>
        <w:ind w:firstLine="560"/>
        <w:rPr>
          <w:rFonts w:ascii="宋体" w:hAnsi="宋体"/>
        </w:rPr>
      </w:pPr>
      <w:r>
        <w:rPr>
          <w:rFonts w:hint="eastAsia" w:ascii="宋体" w:hAnsi="宋体"/>
        </w:rPr>
        <w:t>消防站用地管理：</w:t>
      </w:r>
    </w:p>
    <w:p>
      <w:pPr>
        <w:spacing w:before="190" w:after="190"/>
        <w:ind w:firstLine="560"/>
        <w:rPr>
          <w:rFonts w:ascii="宋体" w:hAnsi="宋体"/>
        </w:rPr>
      </w:pPr>
      <w:r>
        <w:rPr>
          <w:rFonts w:hint="eastAsia" w:ascii="宋体" w:hAnsi="宋体"/>
        </w:rPr>
        <w:t>应急管理、自然资源、建设、消防监督等行政主管部门，应严格按照本规划进行消防站用地和建设管理。任何单位和个人不得占用消防站用地进行其它建设活动，不得将消防站用地和其它用地进行商业开发性质的土地置换，对于城市重大市政工程、公益事业建设项目确需调整置换消防站用地，应另行选择新的、合理的消防站用地后，才能调整置换消防站用地。</w:t>
      </w:r>
    </w:p>
    <w:p>
      <w:pPr>
        <w:spacing w:before="190" w:after="190"/>
        <w:ind w:firstLine="0" w:firstLineChars="0"/>
        <w:rPr>
          <w:rFonts w:ascii="宋体" w:hAnsi="宋体"/>
          <w:b/>
          <w:sz w:val="30"/>
          <w:szCs w:val="30"/>
        </w:rPr>
      </w:pPr>
      <w:r>
        <w:rPr>
          <w:rFonts w:hint="eastAsia" w:ascii="宋体" w:hAnsi="宋体"/>
          <w:b/>
          <w:sz w:val="30"/>
          <w:szCs w:val="30"/>
        </w:rPr>
        <w:t>7.1.6.2消防站建筑标准</w:t>
      </w:r>
      <w:bookmarkEnd w:id="454"/>
    </w:p>
    <w:p>
      <w:pPr>
        <w:spacing w:before="190" w:after="190"/>
        <w:ind w:firstLine="560"/>
        <w:rPr>
          <w:rFonts w:ascii="宋体" w:hAnsi="宋体"/>
        </w:rPr>
      </w:pPr>
      <w:r>
        <w:rPr>
          <w:rFonts w:hint="eastAsia" w:ascii="宋体" w:hAnsi="宋体"/>
        </w:rPr>
        <w:t>消防站的建筑标准，应根据消防站的类别和有利于执勤备战、方便生活、安全使用等原则合理确定，消防站的建筑面积指标应符合以下规定：</w:t>
      </w:r>
    </w:p>
    <w:p>
      <w:pPr>
        <w:spacing w:before="190" w:after="190"/>
        <w:ind w:firstLine="560"/>
        <w:rPr>
          <w:rFonts w:ascii="宋体" w:hAnsi="宋体"/>
        </w:rPr>
      </w:pPr>
      <w:r>
        <w:rPr>
          <w:rFonts w:hint="eastAsia" w:ascii="宋体" w:hAnsi="宋体"/>
        </w:rPr>
        <w:t>（1）特勤消防站</w:t>
      </w:r>
      <w:r>
        <w:rPr>
          <w:rFonts w:ascii="宋体" w:hAnsi="宋体"/>
        </w:rPr>
        <w:t>40</w:t>
      </w:r>
      <w:r>
        <w:rPr>
          <w:rFonts w:hint="eastAsia" w:ascii="宋体" w:hAnsi="宋体"/>
        </w:rPr>
        <w:t>00平方米～</w:t>
      </w:r>
      <w:r>
        <w:rPr>
          <w:rFonts w:ascii="宋体" w:hAnsi="宋体"/>
        </w:rPr>
        <w:t>56</w:t>
      </w:r>
      <w:r>
        <w:rPr>
          <w:rFonts w:hint="eastAsia" w:ascii="宋体" w:hAnsi="宋体"/>
        </w:rPr>
        <w:t>00平方米、一级普通站2700平方米～4000平方米、二级普通站1800平方米～2700平方米。</w:t>
      </w:r>
    </w:p>
    <w:p>
      <w:pPr>
        <w:spacing w:before="190" w:after="190"/>
        <w:ind w:firstLine="560"/>
        <w:rPr>
          <w:rFonts w:ascii="仿宋" w:hAnsi="仿宋" w:eastAsia="仿宋"/>
          <w:b/>
          <w:bCs/>
          <w:sz w:val="24"/>
        </w:rPr>
      </w:pPr>
      <w:r>
        <w:rPr>
          <w:rFonts w:hint="eastAsia" w:ascii="宋体" w:hAnsi="宋体"/>
        </w:rPr>
        <w:t>（2）消防站各种用房的使用面积符合《城市消防站建设标准》（建标152—2017）的规定。</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规划消防站建筑面积指标一览表</w:t>
      </w:r>
    </w:p>
    <w:tbl>
      <w:tblPr>
        <w:tblStyle w:val="10"/>
        <w:tblW w:w="486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685"/>
        <w:gridCol w:w="1180"/>
        <w:gridCol w:w="1179"/>
        <w:gridCol w:w="1417"/>
        <w:gridCol w:w="1419"/>
        <w:gridCol w:w="2409"/>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序号</w:t>
            </w:r>
          </w:p>
        </w:tc>
        <w:tc>
          <w:tcPr>
            <w:tcW w:w="71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名称</w:t>
            </w:r>
          </w:p>
        </w:tc>
        <w:tc>
          <w:tcPr>
            <w:tcW w:w="71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性质</w:t>
            </w:r>
          </w:p>
        </w:tc>
        <w:tc>
          <w:tcPr>
            <w:tcW w:w="855"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现状建筑面积</w:t>
            </w:r>
          </w:p>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（平方米）</w:t>
            </w:r>
          </w:p>
        </w:tc>
        <w:tc>
          <w:tcPr>
            <w:tcW w:w="85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规划建筑面积（平方米）</w:t>
            </w:r>
          </w:p>
        </w:tc>
        <w:tc>
          <w:tcPr>
            <w:tcW w:w="145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备注</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1</w:t>
            </w:r>
          </w:p>
        </w:tc>
        <w:tc>
          <w:tcPr>
            <w:tcW w:w="7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花马池站</w:t>
            </w:r>
          </w:p>
        </w:tc>
        <w:tc>
          <w:tcPr>
            <w:tcW w:w="71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一级普通兼化工特勤消防站</w:t>
            </w:r>
          </w:p>
        </w:tc>
        <w:tc>
          <w:tcPr>
            <w:tcW w:w="8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2750.48</w:t>
            </w:r>
          </w:p>
        </w:tc>
        <w:tc>
          <w:tcPr>
            <w:tcW w:w="85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4000</w:t>
            </w:r>
          </w:p>
        </w:tc>
        <w:tc>
          <w:tcPr>
            <w:tcW w:w="145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提升、改造</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2</w:t>
            </w:r>
          </w:p>
        </w:tc>
        <w:tc>
          <w:tcPr>
            <w:tcW w:w="7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规划一号站</w:t>
            </w:r>
          </w:p>
        </w:tc>
        <w:tc>
          <w:tcPr>
            <w:tcW w:w="71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消防站</w:t>
            </w:r>
          </w:p>
        </w:tc>
        <w:tc>
          <w:tcPr>
            <w:tcW w:w="8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85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40</w:t>
            </w:r>
            <w:r>
              <w:rPr>
                <w:rFonts w:hint="eastAsia" w:ascii="仿宋" w:hAnsi="仿宋" w:eastAsia="仿宋" w:cs="Calibri"/>
                <w:sz w:val="24"/>
              </w:rPr>
              <w:t>00</w:t>
            </w:r>
          </w:p>
        </w:tc>
        <w:tc>
          <w:tcPr>
            <w:tcW w:w="145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规划新建、按一级普通消防站建筑面积标准建设</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41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3</w:t>
            </w:r>
          </w:p>
        </w:tc>
        <w:tc>
          <w:tcPr>
            <w:tcW w:w="71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规划二号站</w:t>
            </w:r>
          </w:p>
        </w:tc>
        <w:tc>
          <w:tcPr>
            <w:tcW w:w="71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二级普通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消防站</w:t>
            </w:r>
          </w:p>
        </w:tc>
        <w:tc>
          <w:tcPr>
            <w:tcW w:w="8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85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2300</w:t>
            </w:r>
          </w:p>
        </w:tc>
        <w:tc>
          <w:tcPr>
            <w:tcW w:w="145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规划新建、按二级普通</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消防站筑面积标准建设</w:t>
            </w:r>
          </w:p>
        </w:tc>
      </w:tr>
    </w:tbl>
    <w:p>
      <w:pPr>
        <w:spacing w:before="190" w:after="190"/>
        <w:ind w:firstLine="560"/>
        <w:rPr>
          <w:rFonts w:ascii="宋体" w:hAnsi="宋体"/>
        </w:rPr>
      </w:pPr>
      <w:r>
        <w:rPr>
          <w:rFonts w:hint="eastAsia" w:ascii="宋体" w:hAnsi="宋体"/>
        </w:rPr>
        <w:t>（3）消防站的建筑物耐火等级不低于二级。</w:t>
      </w:r>
    </w:p>
    <w:p>
      <w:pPr>
        <w:spacing w:before="190" w:after="190"/>
        <w:ind w:firstLine="560"/>
        <w:rPr>
          <w:rFonts w:ascii="宋体" w:hAnsi="宋体"/>
        </w:rPr>
      </w:pPr>
      <w:r>
        <w:rPr>
          <w:rFonts w:hint="eastAsia" w:ascii="宋体" w:hAnsi="宋体"/>
        </w:rPr>
        <w:t>（4）盐池县的抗震设防烈度为</w:t>
      </w:r>
      <w:r>
        <w:rPr>
          <w:rFonts w:ascii="宋体" w:hAnsi="宋体"/>
        </w:rPr>
        <w:t>6</w:t>
      </w:r>
      <w:r>
        <w:rPr>
          <w:rFonts w:hint="eastAsia" w:ascii="宋体" w:hAnsi="宋体"/>
        </w:rPr>
        <w:t>度，消防站的建筑物按乙类建筑进行抗震设计，并按7度采取抗震构造措施。</w:t>
      </w:r>
    </w:p>
    <w:p>
      <w:pPr>
        <w:spacing w:before="190" w:after="190"/>
        <w:ind w:firstLine="560"/>
        <w:rPr>
          <w:rFonts w:ascii="宋体" w:hAnsi="宋体"/>
        </w:rPr>
      </w:pPr>
      <w:r>
        <w:rPr>
          <w:rFonts w:hint="eastAsia" w:ascii="宋体" w:hAnsi="宋体"/>
        </w:rPr>
        <w:t>（5）消防车库应保障车辆停放、出动、维护保养和非常时期执勤备战的需要。消防车库的设计，应有车辆充气、充电和废气排放的措施。</w:t>
      </w:r>
    </w:p>
    <w:p>
      <w:pPr>
        <w:spacing w:before="190" w:after="190"/>
        <w:ind w:firstLine="560"/>
        <w:rPr>
          <w:rFonts w:ascii="宋体" w:hAnsi="宋体"/>
        </w:rPr>
      </w:pPr>
      <w:r>
        <w:rPr>
          <w:rFonts w:hint="eastAsia" w:ascii="宋体" w:hAnsi="宋体"/>
        </w:rPr>
        <w:t>消防车库内外管沟盖板的承载能力，应按最大吨位消防车的满载轮压进行设计，车库地面和墙面应便于清洗，且地面应有排水设施。库内（外）应有消防车上水用的市政消火栓。</w:t>
      </w:r>
    </w:p>
    <w:p>
      <w:pPr>
        <w:spacing w:before="190" w:after="190"/>
        <w:ind w:firstLine="560"/>
        <w:rPr>
          <w:rFonts w:ascii="宋体" w:hAnsi="宋体"/>
        </w:rPr>
      </w:pPr>
      <w:r>
        <w:rPr>
          <w:rFonts w:hint="eastAsia" w:ascii="宋体" w:hAnsi="宋体"/>
        </w:rPr>
        <w:t>（6）消防站内的走道、楼梯等供迅速出动用的通道的净宽，单面布房时不应小于1.4米，双面布房时不应小于2.0米，楼梯不应小于1.4米。通道两侧墙面应平整、无突出物。楼梯踏步应平缓，楼梯倾角不应30度。</w:t>
      </w:r>
    </w:p>
    <w:p>
      <w:pPr>
        <w:spacing w:before="190" w:after="190"/>
        <w:ind w:firstLine="560"/>
        <w:rPr>
          <w:rFonts w:ascii="宋体" w:hAnsi="宋体"/>
        </w:rPr>
      </w:pPr>
      <w:r>
        <w:rPr>
          <w:rFonts w:hint="eastAsia" w:ascii="宋体" w:hAnsi="宋体"/>
        </w:rPr>
        <w:t>（7）消防站应设必要的业务训练和体能训练设施。</w:t>
      </w:r>
    </w:p>
    <w:p>
      <w:pPr>
        <w:spacing w:before="190" w:after="190"/>
        <w:ind w:firstLine="560"/>
        <w:rPr>
          <w:rFonts w:ascii="宋体" w:hAnsi="宋体"/>
        </w:rPr>
      </w:pPr>
      <w:r>
        <w:rPr>
          <w:rFonts w:hint="eastAsia" w:ascii="宋体" w:hAnsi="宋体"/>
        </w:rPr>
        <w:t>（8）消防站建筑装修、采暖通风空调和给排水设施的设置应符合下列规定：</w:t>
      </w:r>
    </w:p>
    <w:p>
      <w:pPr>
        <w:spacing w:before="190" w:after="190"/>
        <w:ind w:firstLine="560"/>
        <w:rPr>
          <w:rFonts w:ascii="宋体" w:hAnsi="宋体"/>
        </w:rPr>
      </w:pPr>
      <w:r>
        <w:rPr>
          <w:rFonts w:hint="eastAsia" w:ascii="宋体" w:hAnsi="宋体"/>
        </w:rPr>
        <w:t>消防站外立面装修应符合城市规划要求，并宜采用体现消防站特点和不宜老化的装修材料；消防站的内装修应符合消防人员生活和业务训练的需要，并宜采用明快、容易清洗的装修材料；消防站的业务用房、干部战士备勤室、餐厅和通信室、体能训练室等宜设空调等降温设施；消防站应设给排水系统。</w:t>
      </w:r>
    </w:p>
    <w:p>
      <w:pPr>
        <w:spacing w:before="190" w:after="190"/>
        <w:ind w:firstLine="560"/>
        <w:rPr>
          <w:rFonts w:ascii="宋体" w:hAnsi="宋体"/>
        </w:rPr>
      </w:pPr>
      <w:r>
        <w:rPr>
          <w:rFonts w:hint="eastAsia" w:ascii="宋体" w:hAnsi="宋体"/>
        </w:rPr>
        <w:t>（9）消防站的供电负荷等级不宜低于二级，并应设置配电室。消防站应设电视、网络和广播系统，宿舍、车库、通信室、体能训练室、会议室、图书阅览室、餐厅及公共通道等，应设事故照明。</w:t>
      </w:r>
    </w:p>
    <w:p>
      <w:pPr>
        <w:spacing w:before="190" w:after="190"/>
        <w:ind w:firstLine="560"/>
        <w:rPr>
          <w:rFonts w:ascii="宋体" w:hAnsi="宋体"/>
        </w:rPr>
      </w:pPr>
      <w:r>
        <w:rPr>
          <w:rFonts w:hint="eastAsia" w:ascii="宋体" w:hAnsi="宋体"/>
        </w:rPr>
        <w:t>消防站主要用房及场地的照明标准应符合国家现行有关标准的规定。</w:t>
      </w:r>
    </w:p>
    <w:p>
      <w:pPr>
        <w:pStyle w:val="3"/>
        <w:spacing w:before="190" w:after="190"/>
        <w:rPr>
          <w:rFonts w:ascii="宋体" w:hAnsi="宋体"/>
          <w:szCs w:val="32"/>
        </w:rPr>
      </w:pPr>
      <w:bookmarkStart w:id="455" w:name="_Toc21824"/>
      <w:bookmarkStart w:id="456" w:name="_Toc26109"/>
      <w:bookmarkStart w:id="457" w:name="_Toc3670"/>
      <w:r>
        <w:rPr>
          <w:rFonts w:hint="eastAsia" w:ascii="宋体" w:hAnsi="宋体"/>
          <w:szCs w:val="32"/>
        </w:rPr>
        <w:t>7.2消防装备规划</w:t>
      </w:r>
      <w:bookmarkEnd w:id="455"/>
      <w:bookmarkEnd w:id="456"/>
      <w:bookmarkEnd w:id="457"/>
    </w:p>
    <w:p>
      <w:pPr>
        <w:spacing w:before="190" w:after="190"/>
        <w:ind w:firstLine="560"/>
        <w:rPr>
          <w:rFonts w:ascii="宋体" w:hAnsi="宋体"/>
        </w:rPr>
      </w:pPr>
      <w:r>
        <w:rPr>
          <w:rFonts w:hint="eastAsia" w:ascii="宋体" w:hAnsi="宋体"/>
        </w:rPr>
        <w:t>规划消防装备按照《城市消防站建设标准》（建标152—2017）进行配备。</w:t>
      </w:r>
    </w:p>
    <w:p>
      <w:pPr>
        <w:pStyle w:val="4"/>
        <w:spacing w:before="0" w:beforeLines="0" w:after="0" w:afterLines="0" w:line="240" w:lineRule="auto"/>
        <w:rPr>
          <w:rFonts w:ascii="宋体" w:hAnsi="宋体"/>
          <w:szCs w:val="30"/>
        </w:rPr>
      </w:pPr>
      <w:bookmarkStart w:id="458" w:name="_Toc12120"/>
      <w:bookmarkStart w:id="459" w:name="_Toc59386362"/>
      <w:bookmarkStart w:id="460" w:name="_Toc28175"/>
      <w:bookmarkStart w:id="461" w:name="_Toc3886"/>
      <w:r>
        <w:rPr>
          <w:rFonts w:hint="eastAsia" w:ascii="宋体" w:hAnsi="宋体"/>
          <w:szCs w:val="30"/>
        </w:rPr>
        <w:t>7.2.1消防车辆</w:t>
      </w:r>
      <w:bookmarkEnd w:id="458"/>
      <w:bookmarkEnd w:id="459"/>
      <w:bookmarkEnd w:id="460"/>
      <w:bookmarkEnd w:id="461"/>
    </w:p>
    <w:p>
      <w:pPr>
        <w:spacing w:before="190" w:after="190"/>
        <w:ind w:firstLine="560"/>
        <w:rPr>
          <w:rFonts w:hint="eastAsia" w:ascii="宋体" w:hAnsi="宋体"/>
        </w:rPr>
      </w:pPr>
      <w:r>
        <w:rPr>
          <w:rFonts w:hint="eastAsia" w:ascii="宋体" w:hAnsi="宋体"/>
        </w:rPr>
        <w:t>普通消防站的消防车辆配置应满足扑救本辖区内常见火灾和处置一般灾害事故的需要。规划一号消防站的车辆配置应适应扑救石油化工类特殊火灾和处置特种灾害事故的需要。</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消防站车库的车位数及车辆数</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2335"/>
        <w:gridCol w:w="2362"/>
        <w:gridCol w:w="1890"/>
        <w:gridCol w:w="1941"/>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369" w:type="pct"/>
            <w:tcBorders>
              <w:tl2br w:val="single" w:color="538135" w:sz="8" w:space="0"/>
            </w:tcBorders>
            <w:shd w:val="clear" w:color="auto" w:fill="A8D08D"/>
            <w:noWrap w:val="0"/>
            <w:vAlign w:val="center"/>
          </w:tcPr>
          <w:p>
            <w:pPr>
              <w:adjustRightInd w:val="0"/>
              <w:snapToGrid w:val="0"/>
              <w:spacing w:before="0" w:beforeLines="0" w:after="0" w:afterLines="0" w:line="240" w:lineRule="auto"/>
              <w:ind w:firstLine="1204" w:firstLineChars="500"/>
              <w:rPr>
                <w:rFonts w:ascii="仿宋" w:hAnsi="仿宋" w:eastAsia="仿宋" w:cs="Calibri"/>
                <w:b/>
                <w:bCs/>
                <w:color w:val="000000"/>
                <w:sz w:val="24"/>
              </w:rPr>
            </w:pPr>
            <w:r>
              <w:rPr>
                <w:rFonts w:hint="eastAsia" w:ascii="仿宋" w:hAnsi="仿宋" w:eastAsia="仿宋" w:cs="Calibri"/>
                <w:b/>
                <w:bCs/>
                <w:color w:val="000000"/>
                <w:sz w:val="24"/>
              </w:rPr>
              <w:t>消防站类别</w:t>
            </w:r>
          </w:p>
          <w:p>
            <w:pPr>
              <w:adjustRightInd w:val="0"/>
              <w:snapToGrid w:val="0"/>
              <w:spacing w:before="0" w:beforeLines="0" w:after="0" w:afterLines="0" w:line="240" w:lineRule="auto"/>
              <w:ind w:firstLine="0" w:firstLineChars="0"/>
              <w:rPr>
                <w:rFonts w:hint="eastAsia" w:ascii="仿宋" w:hAnsi="仿宋" w:eastAsia="仿宋" w:cs="Calibri"/>
                <w:b/>
                <w:bCs/>
                <w:color w:val="000000"/>
                <w:sz w:val="24"/>
              </w:rPr>
            </w:pPr>
            <w:r>
              <w:rPr>
                <w:rFonts w:hint="eastAsia" w:ascii="仿宋" w:hAnsi="仿宋" w:eastAsia="仿宋" w:cs="Calibri"/>
                <w:b/>
                <w:bCs/>
                <w:color w:val="000000"/>
                <w:sz w:val="24"/>
              </w:rPr>
              <w:t>车位车辆数</w:t>
            </w:r>
          </w:p>
        </w:tc>
        <w:tc>
          <w:tcPr>
            <w:tcW w:w="1385"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特勤站</w:t>
            </w:r>
          </w:p>
        </w:tc>
        <w:tc>
          <w:tcPr>
            <w:tcW w:w="1108"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一级普通站</w:t>
            </w:r>
          </w:p>
        </w:tc>
        <w:tc>
          <w:tcPr>
            <w:tcW w:w="1138"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二级普通站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3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车位数（个）</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8</w:t>
            </w:r>
            <w:r>
              <w:rPr>
                <w:rFonts w:ascii="仿宋" w:hAnsi="仿宋" w:eastAsia="仿宋" w:cs="Calibri"/>
                <w:sz w:val="24"/>
              </w:rPr>
              <w:t>~</w:t>
            </w:r>
            <w:r>
              <w:rPr>
                <w:rFonts w:hint="eastAsia" w:ascii="仿宋" w:hAnsi="仿宋" w:eastAsia="仿宋" w:cs="Calibri"/>
                <w:sz w:val="24"/>
              </w:rPr>
              <w:t>10</w:t>
            </w:r>
          </w:p>
        </w:tc>
        <w:tc>
          <w:tcPr>
            <w:tcW w:w="110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w:t>
            </w:r>
            <w:r>
              <w:rPr>
                <w:rFonts w:hint="eastAsia" w:ascii="仿宋" w:hAnsi="仿宋" w:eastAsia="仿宋" w:cs="Calibri"/>
                <w:sz w:val="24"/>
              </w:rPr>
              <w:t>～</w:t>
            </w:r>
            <w:r>
              <w:rPr>
                <w:rFonts w:ascii="仿宋" w:hAnsi="仿宋" w:eastAsia="仿宋" w:cs="Calibri"/>
                <w:sz w:val="24"/>
              </w:rPr>
              <w:t>8</w:t>
            </w:r>
          </w:p>
        </w:tc>
        <w:tc>
          <w:tcPr>
            <w:tcW w:w="113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3~5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3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车辆数（辆）</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7</w:t>
            </w:r>
            <w:r>
              <w:rPr>
                <w:rFonts w:ascii="仿宋" w:hAnsi="仿宋" w:eastAsia="仿宋" w:cs="Calibri"/>
                <w:sz w:val="24"/>
              </w:rPr>
              <w:t>~</w:t>
            </w:r>
            <w:r>
              <w:rPr>
                <w:rFonts w:hint="eastAsia" w:ascii="仿宋" w:hAnsi="仿宋" w:eastAsia="仿宋" w:cs="Calibri"/>
                <w:sz w:val="24"/>
              </w:rPr>
              <w:t>9</w:t>
            </w:r>
          </w:p>
        </w:tc>
        <w:tc>
          <w:tcPr>
            <w:tcW w:w="110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5～7</w:t>
            </w:r>
          </w:p>
        </w:tc>
        <w:tc>
          <w:tcPr>
            <w:tcW w:w="113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2~4</w:t>
            </w:r>
          </w:p>
        </w:tc>
      </w:tr>
    </w:tbl>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各类消防站常用消防车辆品种配备标准（辆）</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1206"/>
        <w:gridCol w:w="2074"/>
        <w:gridCol w:w="2362"/>
        <w:gridCol w:w="1417"/>
        <w:gridCol w:w="1469"/>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jc w:val="center"/>
        </w:trPr>
        <w:tc>
          <w:tcPr>
            <w:tcW w:w="1923" w:type="pct"/>
            <w:gridSpan w:val="2"/>
            <w:tcBorders>
              <w:tl2br w:val="single" w:color="538135" w:sz="8" w:space="0"/>
            </w:tcBorders>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b/>
                <w:bCs/>
                <w:color w:val="000000"/>
                <w:sz w:val="24"/>
              </w:rPr>
              <w:t xml:space="preserve"> </w:t>
            </w:r>
            <w:r>
              <w:rPr>
                <w:rFonts w:ascii="仿宋" w:hAnsi="仿宋" w:eastAsia="仿宋" w:cs="Calibri"/>
                <w:b/>
                <w:bCs/>
                <w:color w:val="000000"/>
                <w:sz w:val="24"/>
              </w:rPr>
              <w:t xml:space="preserve">             </w:t>
            </w:r>
            <w:r>
              <w:rPr>
                <w:rFonts w:hint="eastAsia" w:ascii="仿宋" w:hAnsi="仿宋" w:eastAsia="仿宋" w:cs="Calibri"/>
                <w:b/>
                <w:bCs/>
                <w:color w:val="000000"/>
                <w:sz w:val="24"/>
              </w:rPr>
              <w:t>消防站类别</w:t>
            </w:r>
          </w:p>
          <w:p>
            <w:pPr>
              <w:adjustRightInd w:val="0"/>
              <w:snapToGrid w:val="0"/>
              <w:spacing w:before="0" w:beforeLines="0" w:after="0" w:afterLines="0" w:line="240" w:lineRule="auto"/>
              <w:ind w:firstLine="722" w:firstLineChars="300"/>
              <w:jc w:val="left"/>
              <w:rPr>
                <w:rFonts w:ascii="仿宋" w:hAnsi="仿宋" w:eastAsia="仿宋" w:cs="Calibri"/>
                <w:color w:val="000000"/>
                <w:sz w:val="24"/>
              </w:rPr>
            </w:pPr>
            <w:r>
              <w:rPr>
                <w:rFonts w:hint="eastAsia" w:ascii="仿宋" w:hAnsi="仿宋" w:eastAsia="仿宋" w:cs="Calibri"/>
                <w:b/>
                <w:bCs/>
                <w:color w:val="000000"/>
                <w:sz w:val="24"/>
              </w:rPr>
              <w:t>品种</w:t>
            </w:r>
          </w:p>
        </w:tc>
        <w:tc>
          <w:tcPr>
            <w:tcW w:w="1385"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特勤站</w:t>
            </w:r>
          </w:p>
        </w:tc>
        <w:tc>
          <w:tcPr>
            <w:tcW w:w="83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ascii="仿宋" w:hAnsi="仿宋" w:eastAsia="仿宋" w:cs="Calibri"/>
                <w:b/>
                <w:bCs/>
                <w:color w:val="000000"/>
                <w:sz w:val="24"/>
              </w:rPr>
              <w:t>一级普通站</w:t>
            </w:r>
          </w:p>
        </w:tc>
        <w:tc>
          <w:tcPr>
            <w:tcW w:w="86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sz w:val="24"/>
              </w:rPr>
              <w:t>二级普通站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灭火消防车</w:t>
            </w: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水罐或泡沫消防车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3</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2</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压缩空气泡沫消防车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泡沫干粉联用消防车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干粉消防车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举高消防车</w:t>
            </w: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登高平台消防车</w:t>
            </w:r>
          </w:p>
        </w:tc>
        <w:tc>
          <w:tcPr>
            <w:tcW w:w="1385"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p>
        </w:tc>
        <w:tc>
          <w:tcPr>
            <w:tcW w:w="831"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1</w:t>
            </w:r>
          </w:p>
        </w:tc>
        <w:tc>
          <w:tcPr>
            <w:tcW w:w="861"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云梯消防车</w:t>
            </w:r>
          </w:p>
        </w:tc>
        <w:tc>
          <w:tcPr>
            <w:tcW w:w="1385"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831"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861"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举高喷射消防车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专勤消防车</w:t>
            </w: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抢险救援消防车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1</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排烟消防车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照明消防车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化学事故抢险救援消防车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防化洗消消防车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核生化侦检消防车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通信指挥消防车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restar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战勤保障消防车</w:t>
            </w: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供气消防车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器材消防车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供液消防车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供水消防车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自装卸式消防车（含</w:t>
            </w:r>
          </w:p>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器材保障、生活保障、供气、供液等模块）</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装备抢修车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饮食保障车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加油车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运兵车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宿营车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卫勤保障车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发电车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707" w:type="pct"/>
            <w:vMerge w:val="continue"/>
            <w:shd w:val="clear" w:color="auto" w:fill="auto"/>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p>
        </w:tc>
        <w:tc>
          <w:tcPr>
            <w:tcW w:w="121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淋浴车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923" w:type="pct"/>
            <w:gridSpan w:val="2"/>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工程机械车辆（挖掘机、铲车等）</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1923" w:type="pct"/>
            <w:gridSpan w:val="2"/>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消防摩托车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sz w:val="24"/>
              </w:rPr>
            </w:pPr>
            <w:r>
              <w:rPr>
                <w:rFonts w:hint="eastAsia" w:ascii="仿宋" w:hAnsi="仿宋" w:eastAsia="仿宋" w:cs="Calibri"/>
                <w:sz w:val="24"/>
              </w:rPr>
              <w:t>△</w:t>
            </w:r>
          </w:p>
        </w:tc>
        <w:tc>
          <w:tcPr>
            <w:tcW w:w="8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w:t>
            </w:r>
          </w:p>
        </w:tc>
      </w:tr>
    </w:tbl>
    <w:p>
      <w:pPr>
        <w:spacing w:before="0" w:beforeLines="0" w:after="0" w:afterLines="0" w:line="240" w:lineRule="auto"/>
        <w:ind w:firstLine="480"/>
        <w:rPr>
          <w:rFonts w:ascii="仿宋" w:hAnsi="仿宋" w:eastAsia="仿宋"/>
          <w:sz w:val="24"/>
        </w:rPr>
      </w:pPr>
      <w:r>
        <w:rPr>
          <w:rFonts w:hint="eastAsia" w:ascii="仿宋" w:hAnsi="仿宋" w:eastAsia="仿宋"/>
          <w:sz w:val="24"/>
        </w:rPr>
        <w:t>注：①表中带“△”车种、根据实际需要选配；</w:t>
      </w:r>
    </w:p>
    <w:p>
      <w:pPr>
        <w:spacing w:before="0" w:beforeLines="0" w:after="0" w:afterLines="0" w:line="240" w:lineRule="auto"/>
        <w:ind w:firstLine="960" w:firstLineChars="400"/>
        <w:rPr>
          <w:rFonts w:ascii="仿宋" w:hAnsi="仿宋" w:eastAsia="仿宋"/>
          <w:sz w:val="24"/>
        </w:rPr>
      </w:pPr>
      <w:r>
        <w:rPr>
          <w:rFonts w:hint="eastAsia" w:ascii="仿宋" w:hAnsi="仿宋" w:eastAsia="仿宋"/>
          <w:sz w:val="24"/>
        </w:rPr>
        <w:t>②在配备规定数量消防车的基础上，可根据需要选配消防摩托车。</w:t>
      </w:r>
    </w:p>
    <w:p>
      <w:pPr>
        <w:pStyle w:val="4"/>
        <w:spacing w:before="0" w:beforeLines="0" w:after="0" w:afterLines="0" w:line="240" w:lineRule="auto"/>
        <w:rPr>
          <w:rFonts w:ascii="宋体" w:hAnsi="宋体"/>
          <w:szCs w:val="30"/>
        </w:rPr>
      </w:pPr>
      <w:bookmarkStart w:id="462" w:name="_Toc8710"/>
      <w:bookmarkStart w:id="463" w:name="_Toc17124"/>
      <w:bookmarkStart w:id="464" w:name="_Toc12733"/>
      <w:bookmarkStart w:id="465" w:name="_Toc59386363"/>
      <w:r>
        <w:rPr>
          <w:rFonts w:hint="eastAsia" w:ascii="宋体" w:hAnsi="宋体"/>
          <w:szCs w:val="30"/>
        </w:rPr>
        <w:t>7.2.2消防灭火器材</w:t>
      </w:r>
      <w:bookmarkEnd w:id="462"/>
      <w:bookmarkEnd w:id="463"/>
      <w:bookmarkEnd w:id="464"/>
      <w:bookmarkEnd w:id="465"/>
    </w:p>
    <w:p>
      <w:pPr>
        <w:spacing w:before="190" w:after="190"/>
        <w:ind w:firstLine="560"/>
        <w:rPr>
          <w:rFonts w:ascii="宋体" w:hAnsi="宋体"/>
        </w:rPr>
      </w:pPr>
      <w:r>
        <w:rPr>
          <w:rFonts w:hint="eastAsia" w:ascii="宋体" w:hAnsi="宋体"/>
        </w:rPr>
        <w:t>普通消防站的灭火器材配备不应低于下表规定。</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消防站灭火器材配置表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Layout w:type="autofit"/>
        <w:tblCellMar>
          <w:top w:w="0" w:type="dxa"/>
          <w:left w:w="108" w:type="dxa"/>
          <w:bottom w:w="0" w:type="dxa"/>
          <w:right w:w="108" w:type="dxa"/>
        </w:tblCellMar>
      </w:tblPr>
      <w:tblGrid>
        <w:gridCol w:w="2925"/>
        <w:gridCol w:w="2362"/>
        <w:gridCol w:w="1653"/>
        <w:gridCol w:w="1588"/>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340" w:hRule="atLeast"/>
          <w:tblHeader/>
          <w:jc w:val="center"/>
        </w:trPr>
        <w:tc>
          <w:tcPr>
            <w:tcW w:w="1715" w:type="pct"/>
            <w:tcBorders>
              <w:tl2br w:val="single" w:color="538135" w:sz="8" w:space="0"/>
            </w:tcBorders>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 xml:space="preserve"> </w:t>
            </w:r>
            <w:r>
              <w:rPr>
                <w:rFonts w:ascii="仿宋" w:hAnsi="仿宋" w:eastAsia="仿宋" w:cs="Calibri"/>
                <w:b/>
                <w:bCs/>
                <w:color w:val="000000"/>
                <w:sz w:val="24"/>
              </w:rPr>
              <w:t xml:space="preserve">         </w:t>
            </w:r>
            <w:r>
              <w:rPr>
                <w:rFonts w:hint="eastAsia" w:ascii="仿宋" w:hAnsi="仿宋" w:eastAsia="仿宋" w:cs="Calibri"/>
                <w:b/>
                <w:bCs/>
                <w:color w:val="000000"/>
                <w:sz w:val="24"/>
              </w:rPr>
              <w:t>消防站类别</w:t>
            </w:r>
          </w:p>
          <w:p>
            <w:pPr>
              <w:adjustRightInd w:val="0"/>
              <w:snapToGrid w:val="0"/>
              <w:spacing w:before="0" w:beforeLines="0" w:after="0" w:afterLines="0" w:line="240" w:lineRule="auto"/>
              <w:ind w:firstLine="722" w:firstLineChars="300"/>
              <w:rPr>
                <w:rFonts w:ascii="仿宋" w:hAnsi="仿宋" w:eastAsia="仿宋" w:cs="Calibri"/>
                <w:b/>
                <w:bCs/>
                <w:color w:val="000000"/>
                <w:sz w:val="24"/>
              </w:rPr>
            </w:pPr>
            <w:r>
              <w:rPr>
                <w:rFonts w:hint="eastAsia" w:ascii="仿宋" w:hAnsi="仿宋" w:eastAsia="仿宋" w:cs="Calibri"/>
                <w:b/>
                <w:bCs/>
                <w:color w:val="000000"/>
                <w:sz w:val="24"/>
              </w:rPr>
              <w:t>名称</w:t>
            </w:r>
          </w:p>
        </w:tc>
        <w:tc>
          <w:tcPr>
            <w:tcW w:w="1385"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color w:val="000000"/>
                <w:sz w:val="24"/>
              </w:rPr>
              <w:t>特勤站</w:t>
            </w:r>
          </w:p>
        </w:tc>
        <w:tc>
          <w:tcPr>
            <w:tcW w:w="969"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color w:val="000000"/>
                <w:sz w:val="24"/>
              </w:rPr>
              <w:t>一级普通站</w:t>
            </w:r>
          </w:p>
        </w:tc>
        <w:tc>
          <w:tcPr>
            <w:tcW w:w="93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color w:val="000000"/>
                <w:sz w:val="24"/>
              </w:rPr>
              <w:t>二级普通站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机动消防泵</w:t>
            </w:r>
          </w:p>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（含手抬泵、浮艇泵）</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4台</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2台</w:t>
            </w:r>
          </w:p>
        </w:tc>
        <w:tc>
          <w:tcPr>
            <w:tcW w:w="9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台</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移动式水带卷盘或水带槽</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4个</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2个</w:t>
            </w:r>
          </w:p>
        </w:tc>
        <w:tc>
          <w:tcPr>
            <w:tcW w:w="9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个</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移动式消防炮</w:t>
            </w:r>
          </w:p>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（手动炮、遥控炮、自摆炮等）</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5个</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3个</w:t>
            </w:r>
          </w:p>
        </w:tc>
        <w:tc>
          <w:tcPr>
            <w:tcW w:w="9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个</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泡沫比例混合器、泡沫液桶、泡沫枪</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4套</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2套</w:t>
            </w:r>
          </w:p>
        </w:tc>
        <w:tc>
          <w:tcPr>
            <w:tcW w:w="9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套</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二节拉梯</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5架</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3</w:t>
            </w:r>
            <w:r>
              <w:rPr>
                <w:rFonts w:hint="eastAsia" w:ascii="仿宋" w:hAnsi="仿宋" w:eastAsia="仿宋" w:cs="Calibri"/>
                <w:color w:val="000000"/>
                <w:sz w:val="24"/>
              </w:rPr>
              <w:t>架</w:t>
            </w:r>
          </w:p>
        </w:tc>
        <w:tc>
          <w:tcPr>
            <w:tcW w:w="9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架</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三节拉梯</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4架</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2架</w:t>
            </w:r>
          </w:p>
        </w:tc>
        <w:tc>
          <w:tcPr>
            <w:tcW w:w="9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1</w:t>
            </w:r>
            <w:r>
              <w:rPr>
                <w:rFonts w:hint="eastAsia" w:ascii="仿宋" w:hAnsi="仿宋" w:eastAsia="仿宋" w:cs="Calibri"/>
                <w:color w:val="000000"/>
                <w:sz w:val="24"/>
              </w:rPr>
              <w:t>架</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挂钩梯</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5架</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3架</w:t>
            </w:r>
          </w:p>
        </w:tc>
        <w:tc>
          <w:tcPr>
            <w:tcW w:w="9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架</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常压水带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2</w:t>
            </w:r>
            <w:r>
              <w:rPr>
                <w:rFonts w:hint="eastAsia" w:ascii="仿宋" w:hAnsi="仿宋" w:eastAsia="仿宋" w:cs="Calibri"/>
                <w:color w:val="000000"/>
                <w:sz w:val="24"/>
              </w:rPr>
              <w:t>8</w:t>
            </w:r>
            <w:r>
              <w:rPr>
                <w:rFonts w:ascii="仿宋" w:hAnsi="仿宋" w:eastAsia="仿宋" w:cs="Calibri"/>
                <w:color w:val="000000"/>
                <w:sz w:val="24"/>
              </w:rPr>
              <w:t>00</w:t>
            </w:r>
            <w:r>
              <w:rPr>
                <w:rFonts w:hint="eastAsia" w:ascii="仿宋" w:hAnsi="仿宋" w:eastAsia="仿宋" w:cs="Calibri"/>
                <w:color w:val="000000"/>
                <w:sz w:val="24"/>
              </w:rPr>
              <w:t>米</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2</w:t>
            </w:r>
            <w:r>
              <w:rPr>
                <w:rFonts w:ascii="仿宋" w:hAnsi="仿宋" w:eastAsia="仿宋" w:cs="Calibri"/>
                <w:color w:val="000000"/>
                <w:sz w:val="24"/>
              </w:rPr>
              <w:t>000米</w:t>
            </w:r>
          </w:p>
        </w:tc>
        <w:tc>
          <w:tcPr>
            <w:tcW w:w="9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1200</w:t>
            </w:r>
            <w:r>
              <w:rPr>
                <w:rFonts w:hint="eastAsia" w:ascii="仿宋" w:hAnsi="仿宋" w:eastAsia="仿宋" w:cs="Calibri"/>
                <w:color w:val="000000"/>
                <w:sz w:val="24"/>
              </w:rPr>
              <w:t>米</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中压水带</w:t>
            </w:r>
          </w:p>
        </w:tc>
        <w:tc>
          <w:tcPr>
            <w:tcW w:w="138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10</w:t>
            </w:r>
            <w:r>
              <w:rPr>
                <w:rFonts w:ascii="仿宋" w:hAnsi="仿宋" w:eastAsia="仿宋" w:cs="Calibri"/>
                <w:color w:val="000000"/>
                <w:sz w:val="24"/>
              </w:rPr>
              <w:t>00</w:t>
            </w:r>
            <w:r>
              <w:rPr>
                <w:rFonts w:hint="eastAsia" w:ascii="仿宋" w:hAnsi="仿宋" w:eastAsia="仿宋" w:cs="Calibri"/>
                <w:color w:val="000000"/>
                <w:sz w:val="24"/>
              </w:rPr>
              <w:t>米</w:t>
            </w:r>
          </w:p>
        </w:tc>
        <w:tc>
          <w:tcPr>
            <w:tcW w:w="96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500米</w:t>
            </w:r>
          </w:p>
        </w:tc>
        <w:tc>
          <w:tcPr>
            <w:tcW w:w="9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ascii="仿宋" w:hAnsi="仿宋" w:eastAsia="仿宋" w:cs="Calibri"/>
                <w:color w:val="000000"/>
                <w:sz w:val="24"/>
              </w:rPr>
              <w:t>500</w:t>
            </w:r>
            <w:r>
              <w:rPr>
                <w:rFonts w:hint="eastAsia" w:ascii="仿宋" w:hAnsi="仿宋" w:eastAsia="仿宋" w:cs="Calibri"/>
                <w:color w:val="000000"/>
                <w:sz w:val="24"/>
              </w:rPr>
              <w:t>米</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E2EFD9"/>
          <w:tblCellMar>
            <w:top w:w="0" w:type="dxa"/>
            <w:left w:w="108" w:type="dxa"/>
            <w:bottom w:w="0" w:type="dxa"/>
            <w:right w:w="108" w:type="dxa"/>
          </w:tblCellMar>
        </w:tblPrEx>
        <w:trPr>
          <w:trHeight w:val="340" w:hRule="atLeast"/>
          <w:jc w:val="center"/>
        </w:trPr>
        <w:tc>
          <w:tcPr>
            <w:tcW w:w="171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消火栓扳手、水枪、分水器以及接口、包布、护桥、挂钩、墙角保护器等常规器材工具</w:t>
            </w:r>
          </w:p>
        </w:tc>
        <w:tc>
          <w:tcPr>
            <w:tcW w:w="3285" w:type="pct"/>
            <w:gridSpan w:val="3"/>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rPr>
            </w:pPr>
            <w:r>
              <w:rPr>
                <w:rFonts w:hint="eastAsia" w:ascii="仿宋" w:hAnsi="仿宋" w:eastAsia="仿宋" w:cs="Calibri"/>
                <w:color w:val="000000"/>
                <w:sz w:val="24"/>
              </w:rPr>
              <w:t>按所配车辆技术标准要求配备，并按不小于</w:t>
            </w:r>
            <w:r>
              <w:rPr>
                <w:rFonts w:ascii="仿宋" w:hAnsi="仿宋" w:eastAsia="仿宋" w:cs="Calibri"/>
                <w:color w:val="000000"/>
                <w:sz w:val="24"/>
              </w:rPr>
              <w:t>2:1</w:t>
            </w:r>
            <w:r>
              <w:rPr>
                <w:rFonts w:hint="eastAsia" w:ascii="仿宋" w:hAnsi="仿宋" w:eastAsia="仿宋" w:cs="Calibri"/>
                <w:color w:val="000000"/>
                <w:sz w:val="24"/>
              </w:rPr>
              <w:t>的备份比备份</w:t>
            </w:r>
          </w:p>
        </w:tc>
      </w:tr>
    </w:tbl>
    <w:p>
      <w:pPr>
        <w:spacing w:before="0" w:beforeLines="0" w:after="0" w:afterLines="0" w:line="240" w:lineRule="auto"/>
        <w:ind w:firstLine="480"/>
        <w:rPr>
          <w:rFonts w:ascii="仿宋" w:hAnsi="仿宋" w:eastAsia="仿宋"/>
          <w:sz w:val="24"/>
        </w:rPr>
      </w:pPr>
      <w:r>
        <w:rPr>
          <w:rFonts w:hint="eastAsia" w:ascii="仿宋" w:hAnsi="仿宋" w:eastAsia="仿宋"/>
          <w:sz w:val="24"/>
        </w:rPr>
        <w:t>注：分水器和接口等相关附件的公称压力应与水带相匹配。</w:t>
      </w:r>
    </w:p>
    <w:p>
      <w:pPr>
        <w:pStyle w:val="4"/>
        <w:spacing w:before="190" w:after="190"/>
      </w:pPr>
      <w:bookmarkStart w:id="466" w:name="_Toc30726"/>
      <w:bookmarkStart w:id="467" w:name="_Toc59386364"/>
      <w:bookmarkStart w:id="468" w:name="_Toc18452"/>
      <w:bookmarkStart w:id="469" w:name="_Toc28886"/>
      <w:r>
        <w:rPr>
          <w:rFonts w:hint="eastAsia"/>
        </w:rPr>
        <w:t>7.2.3抢险救援器材</w:t>
      </w:r>
      <w:bookmarkEnd w:id="466"/>
      <w:bookmarkEnd w:id="467"/>
      <w:bookmarkEnd w:id="468"/>
      <w:bookmarkEnd w:id="469"/>
    </w:p>
    <w:p>
      <w:pPr>
        <w:spacing w:before="190" w:after="190"/>
        <w:ind w:firstLine="560"/>
        <w:rPr>
          <w:rFonts w:ascii="宋体" w:hAnsi="宋体"/>
        </w:rPr>
      </w:pPr>
      <w:r>
        <w:rPr>
          <w:rFonts w:hint="eastAsia" w:ascii="宋体" w:hAnsi="宋体"/>
        </w:rPr>
        <w:t>一级普通兼化工特勤消防站及普通站的抢险救援器材品种、数量配备、技术性能应符合国家有关标准。</w:t>
      </w:r>
    </w:p>
    <w:p>
      <w:pPr>
        <w:spacing w:before="190" w:after="190"/>
        <w:ind w:firstLine="560"/>
        <w:rPr>
          <w:rFonts w:ascii="宋体" w:hAnsi="宋体"/>
        </w:rPr>
      </w:pPr>
      <w:r>
        <w:rPr>
          <w:rFonts w:hint="eastAsia" w:ascii="宋体" w:hAnsi="宋体"/>
        </w:rPr>
        <w:t>特勤消防站：</w:t>
      </w:r>
    </w:p>
    <w:p>
      <w:pPr>
        <w:spacing w:before="190" w:after="190"/>
        <w:ind w:firstLine="560"/>
        <w:rPr>
          <w:rFonts w:hint="eastAsia" w:ascii="宋体" w:hAnsi="宋体"/>
        </w:rPr>
      </w:pPr>
      <w:r>
        <w:rPr>
          <w:rFonts w:hint="eastAsia" w:ascii="宋体" w:hAnsi="宋体"/>
        </w:rPr>
        <w:t>侦检器材——16项；警戒器材——7项；</w:t>
      </w:r>
    </w:p>
    <w:p>
      <w:pPr>
        <w:spacing w:before="190" w:after="190"/>
        <w:ind w:firstLine="560"/>
        <w:rPr>
          <w:rFonts w:hint="eastAsia" w:ascii="宋体" w:hAnsi="宋体"/>
        </w:rPr>
      </w:pPr>
      <w:r>
        <w:rPr>
          <w:rFonts w:hint="eastAsia" w:ascii="宋体" w:hAnsi="宋体"/>
        </w:rPr>
        <w:t>破拆器材——20项；救生器材——24项；</w:t>
      </w:r>
    </w:p>
    <w:p>
      <w:pPr>
        <w:spacing w:before="190" w:after="190"/>
        <w:ind w:firstLine="560"/>
        <w:rPr>
          <w:rFonts w:hint="eastAsia" w:ascii="宋体" w:hAnsi="宋体"/>
        </w:rPr>
      </w:pPr>
      <w:r>
        <w:rPr>
          <w:rFonts w:hint="eastAsia" w:ascii="宋体" w:hAnsi="宋体"/>
        </w:rPr>
        <w:t>堵漏器材——11项；输转器材——8项；</w:t>
      </w:r>
    </w:p>
    <w:p>
      <w:pPr>
        <w:spacing w:before="190" w:after="190"/>
        <w:ind w:firstLine="560"/>
        <w:rPr>
          <w:rFonts w:ascii="宋体" w:hAnsi="宋体"/>
        </w:rPr>
      </w:pPr>
      <w:r>
        <w:rPr>
          <w:rFonts w:hint="eastAsia" w:ascii="宋体" w:hAnsi="宋体"/>
        </w:rPr>
        <w:t>洗消器材——10项；照明、排烟器材—6项；其他器材——23项。</w:t>
      </w:r>
    </w:p>
    <w:p>
      <w:pPr>
        <w:spacing w:before="190" w:after="190"/>
        <w:ind w:firstLine="560"/>
        <w:rPr>
          <w:rFonts w:ascii="宋体" w:hAnsi="宋体"/>
        </w:rPr>
      </w:pPr>
      <w:r>
        <w:rPr>
          <w:rFonts w:hint="eastAsia" w:ascii="宋体" w:hAnsi="宋体"/>
        </w:rPr>
        <w:t>普通站：</w:t>
      </w:r>
    </w:p>
    <w:p>
      <w:pPr>
        <w:spacing w:before="190" w:after="190"/>
        <w:ind w:firstLine="560"/>
        <w:rPr>
          <w:rFonts w:ascii="宋体" w:hAnsi="宋体"/>
        </w:rPr>
      </w:pPr>
      <w:r>
        <w:rPr>
          <w:rFonts w:hint="eastAsia" w:ascii="宋体" w:hAnsi="宋体"/>
        </w:rPr>
        <w:t>侦检器材——4项；警戒器材——3项；</w:t>
      </w:r>
    </w:p>
    <w:p>
      <w:pPr>
        <w:spacing w:before="190" w:after="190"/>
        <w:ind w:firstLine="700" w:firstLineChars="250"/>
        <w:rPr>
          <w:rFonts w:ascii="宋体" w:hAnsi="宋体"/>
        </w:rPr>
      </w:pPr>
      <w:r>
        <w:rPr>
          <w:rFonts w:hint="eastAsia" w:ascii="宋体" w:hAnsi="宋体"/>
        </w:rPr>
        <w:t>破拆器材——8项；救生器材——10项；</w:t>
      </w:r>
    </w:p>
    <w:p>
      <w:pPr>
        <w:spacing w:before="190" w:after="190"/>
        <w:ind w:firstLine="560"/>
        <w:rPr>
          <w:rFonts w:ascii="宋体" w:hAnsi="宋体"/>
        </w:rPr>
      </w:pPr>
      <w:r>
        <w:rPr>
          <w:rFonts w:hint="eastAsia" w:ascii="宋体" w:hAnsi="宋体"/>
        </w:rPr>
        <w:t>堵漏器材——5项；照明、排烟器材—3项；其他器材——16项。</w:t>
      </w:r>
    </w:p>
    <w:p>
      <w:pPr>
        <w:pStyle w:val="4"/>
        <w:spacing w:before="0" w:beforeLines="0" w:after="0" w:afterLines="0" w:line="240" w:lineRule="auto"/>
        <w:rPr>
          <w:rFonts w:ascii="宋体" w:hAnsi="宋体"/>
          <w:szCs w:val="30"/>
        </w:rPr>
      </w:pPr>
      <w:bookmarkStart w:id="470" w:name="_Toc18160"/>
      <w:bookmarkStart w:id="471" w:name="_Toc59386365"/>
      <w:bookmarkStart w:id="472" w:name="_Toc6427"/>
      <w:bookmarkStart w:id="473" w:name="_Toc790"/>
      <w:r>
        <w:rPr>
          <w:rFonts w:hint="eastAsia" w:ascii="宋体" w:hAnsi="宋体"/>
          <w:szCs w:val="30"/>
        </w:rPr>
        <w:t>7.2.4消防员防护器材</w:t>
      </w:r>
      <w:bookmarkEnd w:id="470"/>
      <w:bookmarkEnd w:id="471"/>
      <w:bookmarkEnd w:id="472"/>
      <w:bookmarkEnd w:id="473"/>
    </w:p>
    <w:p>
      <w:pPr>
        <w:spacing w:before="190" w:after="190"/>
        <w:ind w:firstLine="560"/>
        <w:rPr>
          <w:rFonts w:ascii="仿宋" w:hAnsi="仿宋" w:eastAsia="仿宋"/>
          <w:b/>
          <w:bCs/>
          <w:sz w:val="24"/>
        </w:rPr>
      </w:pPr>
      <w:r>
        <w:rPr>
          <w:rFonts w:hint="eastAsia" w:ascii="宋体" w:hAnsi="宋体"/>
        </w:rPr>
        <w:t>消防站消防员防护装备分为基本防护装备和特种防护装备，其品种及数量不应低于下表。防护装备的技术性能应符合国家有关标准。</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消防员基本防护装备配备标准</w:t>
      </w:r>
    </w:p>
    <w:tbl>
      <w:tblPr>
        <w:tblStyle w:val="10"/>
        <w:tblW w:w="5000"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628"/>
        <w:gridCol w:w="2652"/>
        <w:gridCol w:w="1417"/>
        <w:gridCol w:w="1180"/>
        <w:gridCol w:w="1535"/>
        <w:gridCol w:w="1116"/>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trPr>
        <w:tc>
          <w:tcPr>
            <w:tcW w:w="368" w:type="pct"/>
            <w:vMerge w:val="restar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sz w:val="24"/>
              </w:rPr>
            </w:pPr>
            <w:r>
              <w:rPr>
                <w:rFonts w:ascii="仿宋" w:hAnsi="仿宋" w:eastAsia="仿宋" w:cs="Calibri"/>
                <w:b/>
                <w:bCs/>
                <w:sz w:val="24"/>
              </w:rPr>
              <w:t>序号</w:t>
            </w:r>
          </w:p>
        </w:tc>
        <w:tc>
          <w:tcPr>
            <w:tcW w:w="1555" w:type="pct"/>
            <w:vMerge w:val="restar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sz w:val="24"/>
              </w:rPr>
            </w:pPr>
            <w:r>
              <w:rPr>
                <w:rFonts w:ascii="仿宋" w:hAnsi="仿宋" w:eastAsia="仿宋" w:cs="Calibri"/>
                <w:b/>
                <w:bCs/>
                <w:sz w:val="24"/>
              </w:rPr>
              <w:t>名称</w:t>
            </w:r>
          </w:p>
        </w:tc>
        <w:tc>
          <w:tcPr>
            <w:tcW w:w="1523" w:type="pct"/>
            <w:gridSpan w:val="2"/>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sz w:val="24"/>
              </w:rPr>
            </w:pPr>
            <w:r>
              <w:rPr>
                <w:rFonts w:ascii="仿宋" w:hAnsi="仿宋" w:eastAsia="仿宋" w:cs="Calibri"/>
                <w:b/>
                <w:bCs/>
                <w:sz w:val="24"/>
              </w:rPr>
              <w:t>普通站</w:t>
            </w:r>
          </w:p>
        </w:tc>
        <w:tc>
          <w:tcPr>
            <w:tcW w:w="1554" w:type="pct"/>
            <w:gridSpan w:val="2"/>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sz w:val="24"/>
              </w:rPr>
            </w:pPr>
            <w:r>
              <w:rPr>
                <w:rFonts w:hint="eastAsia" w:ascii="仿宋" w:hAnsi="仿宋" w:eastAsia="仿宋" w:cs="Calibri"/>
                <w:b/>
                <w:bCs/>
                <w:sz w:val="24"/>
              </w:rPr>
              <w:t>特勤消防站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trPr>
        <w:tc>
          <w:tcPr>
            <w:tcW w:w="368" w:type="pct"/>
            <w:vMerge w:val="continue"/>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p>
        </w:tc>
        <w:tc>
          <w:tcPr>
            <w:tcW w:w="1555" w:type="pct"/>
            <w:vMerge w:val="continue"/>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p>
        </w:tc>
        <w:tc>
          <w:tcPr>
            <w:tcW w:w="83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r>
              <w:rPr>
                <w:rFonts w:ascii="仿宋" w:hAnsi="仿宋" w:eastAsia="仿宋" w:cs="Calibri"/>
                <w:b/>
                <w:sz w:val="24"/>
              </w:rPr>
              <w:t>配备</w:t>
            </w:r>
          </w:p>
        </w:tc>
        <w:tc>
          <w:tcPr>
            <w:tcW w:w="69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r>
              <w:rPr>
                <w:rFonts w:ascii="仿宋" w:hAnsi="仿宋" w:eastAsia="仿宋" w:cs="Calibri"/>
                <w:b/>
                <w:sz w:val="24"/>
              </w:rPr>
              <w:t>备份比</w:t>
            </w:r>
          </w:p>
        </w:tc>
        <w:tc>
          <w:tcPr>
            <w:tcW w:w="900"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r>
              <w:rPr>
                <w:rFonts w:ascii="仿宋" w:hAnsi="仿宋" w:eastAsia="仿宋" w:cs="Calibri"/>
                <w:b/>
                <w:sz w:val="24"/>
              </w:rPr>
              <w:t>配备</w:t>
            </w:r>
          </w:p>
        </w:tc>
        <w:tc>
          <w:tcPr>
            <w:tcW w:w="65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r>
              <w:rPr>
                <w:rFonts w:ascii="仿宋" w:hAnsi="仿宋" w:eastAsia="仿宋" w:cs="Calibri"/>
                <w:b/>
                <w:sz w:val="24"/>
              </w:rPr>
              <w:t>备份比</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消防头盔</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2顶/人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2顶/人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消防员灭火防护服</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2套/人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2套/人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3</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消防手套</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2副/人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2副/人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消防安全腰带</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1根/人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1根/人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5</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消防员灭火防护靴</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2双/人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2双/人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正压式消防空气呼吸器</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1具/人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1具/人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7</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佩戴式防爆照明灯</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5:1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5:1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8</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消防员呼救器</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9</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消防员方位灯</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10</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应急逃生自救安全绳</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1套/人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1套/人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消防腰斧</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1把/人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5:1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1把/人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5:1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12</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消防员灭火防护头套</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2个/人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2个/人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13</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防静电内衣</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2套/人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2套/人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14</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消防护目镜</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15</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消防员抢险救援头盔</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1顶/人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1顶/人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16</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消防员抢险救援手套</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2副/人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2副/人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17</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消防员抢险救援防护服</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2套/人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2套/人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18</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护膝、护肘</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2副/人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2副/人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19</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消防员抢险救援靴</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2双/人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2双/人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20</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消防员呼救器后场接收装置</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骨传导通话装置</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1个/2人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1个/2人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22</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手持电台</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1个/人</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1个/人</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6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23</w:t>
            </w:r>
          </w:p>
        </w:tc>
        <w:tc>
          <w:tcPr>
            <w:tcW w:w="155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消防员单兵定位装置</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69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90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65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bl>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消防员特种防护装备配备标准</w:t>
      </w:r>
    </w:p>
    <w:tbl>
      <w:tblPr>
        <w:tblStyle w:val="10"/>
        <w:tblW w:w="5000" w:type="pct"/>
        <w:tblInd w:w="0" w:type="dxa"/>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655"/>
        <w:gridCol w:w="2627"/>
        <w:gridCol w:w="1298"/>
        <w:gridCol w:w="1298"/>
        <w:gridCol w:w="1417"/>
        <w:gridCol w:w="1233"/>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trPr>
        <w:tc>
          <w:tcPr>
            <w:tcW w:w="384" w:type="pct"/>
            <w:vMerge w:val="restart"/>
            <w:tcBorders>
              <w:bottom w:val="single" w:color="538135" w:sz="8" w:space="0"/>
            </w:tcBorders>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sz w:val="24"/>
              </w:rPr>
            </w:pPr>
            <w:r>
              <w:rPr>
                <w:rFonts w:hint="eastAsia" w:ascii="仿宋" w:hAnsi="仿宋" w:eastAsia="仿宋" w:cs="Calibri"/>
                <w:b/>
                <w:bCs/>
                <w:sz w:val="24"/>
              </w:rPr>
              <w:t>序号</w:t>
            </w:r>
          </w:p>
        </w:tc>
        <w:tc>
          <w:tcPr>
            <w:tcW w:w="1540" w:type="pct"/>
            <w:vMerge w:val="restart"/>
            <w:tcBorders>
              <w:bottom w:val="single" w:color="538135" w:sz="8" w:space="0"/>
            </w:tcBorders>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sz w:val="24"/>
              </w:rPr>
            </w:pPr>
            <w:r>
              <w:rPr>
                <w:rFonts w:hint="eastAsia" w:ascii="仿宋" w:hAnsi="仿宋" w:eastAsia="仿宋" w:cs="Calibri"/>
                <w:b/>
                <w:bCs/>
                <w:sz w:val="24"/>
              </w:rPr>
              <w:t>名 称</w:t>
            </w:r>
          </w:p>
        </w:tc>
        <w:tc>
          <w:tcPr>
            <w:tcW w:w="1522" w:type="pct"/>
            <w:gridSpan w:val="2"/>
            <w:tcBorders>
              <w:bottom w:val="single" w:color="538135" w:sz="8" w:space="0"/>
            </w:tcBorders>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sz w:val="24"/>
              </w:rPr>
            </w:pPr>
            <w:r>
              <w:rPr>
                <w:rFonts w:hint="eastAsia" w:ascii="仿宋" w:hAnsi="仿宋" w:eastAsia="仿宋" w:cs="Calibri"/>
                <w:b/>
                <w:bCs/>
                <w:sz w:val="24"/>
              </w:rPr>
              <w:t>普通站</w:t>
            </w:r>
          </w:p>
        </w:tc>
        <w:tc>
          <w:tcPr>
            <w:tcW w:w="1554" w:type="pct"/>
            <w:gridSpan w:val="2"/>
            <w:tcBorders>
              <w:bottom w:val="single" w:color="538135" w:sz="8" w:space="0"/>
            </w:tcBorders>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sz w:val="24"/>
              </w:rPr>
            </w:pPr>
            <w:r>
              <w:rPr>
                <w:rFonts w:hint="eastAsia" w:ascii="仿宋" w:hAnsi="仿宋" w:eastAsia="仿宋" w:cs="Calibri"/>
                <w:b/>
                <w:bCs/>
                <w:sz w:val="24"/>
              </w:rPr>
              <w:t>一级普通兼化工特勤消防站</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blHeader/>
        </w:trPr>
        <w:tc>
          <w:tcPr>
            <w:tcW w:w="384" w:type="pct"/>
            <w:vMerge w:val="continue"/>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p>
        </w:tc>
        <w:tc>
          <w:tcPr>
            <w:tcW w:w="1540" w:type="pct"/>
            <w:vMerge w:val="continue"/>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p>
        </w:tc>
        <w:tc>
          <w:tcPr>
            <w:tcW w:w="76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r>
              <w:rPr>
                <w:rFonts w:hint="eastAsia" w:ascii="仿宋" w:hAnsi="仿宋" w:eastAsia="仿宋" w:cs="Calibri"/>
                <w:b/>
                <w:sz w:val="24"/>
              </w:rPr>
              <w:t>配备</w:t>
            </w:r>
          </w:p>
        </w:tc>
        <w:tc>
          <w:tcPr>
            <w:tcW w:w="76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r>
              <w:rPr>
                <w:rFonts w:hint="eastAsia" w:ascii="仿宋" w:hAnsi="仿宋" w:eastAsia="仿宋" w:cs="Calibri"/>
                <w:b/>
                <w:sz w:val="24"/>
              </w:rPr>
              <w:t>备份比</w:t>
            </w:r>
          </w:p>
        </w:tc>
        <w:tc>
          <w:tcPr>
            <w:tcW w:w="831"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r>
              <w:rPr>
                <w:rFonts w:hint="eastAsia" w:ascii="仿宋" w:hAnsi="仿宋" w:eastAsia="仿宋" w:cs="Calibri"/>
                <w:b/>
                <w:sz w:val="24"/>
              </w:rPr>
              <w:t>配备</w:t>
            </w:r>
          </w:p>
        </w:tc>
        <w:tc>
          <w:tcPr>
            <w:tcW w:w="72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sz w:val="24"/>
              </w:rPr>
            </w:pPr>
            <w:r>
              <w:rPr>
                <w:rFonts w:hint="eastAsia" w:ascii="仿宋" w:hAnsi="仿宋" w:eastAsia="仿宋" w:cs="Calibri"/>
                <w:b/>
                <w:sz w:val="24"/>
              </w:rPr>
              <w:t>备份比</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消防员隔热防护服</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班</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班</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消防员避火防护服</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3</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二级化学防护服</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8</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人</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一级化学防护服</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16</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5</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特级化学防护服</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6</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核沾染防护服</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7</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化学防护手套</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副</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8</w:t>
            </w:r>
            <w:r>
              <w:rPr>
                <w:rFonts w:hint="eastAsia" w:ascii="仿宋" w:hAnsi="仿宋" w:eastAsia="仿宋" w:cs="Calibri"/>
                <w:sz w:val="24"/>
              </w:rPr>
              <w:t>副</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8</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内置劳动保护手套</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r>
              <w:rPr>
                <w:rFonts w:hint="eastAsia" w:ascii="仿宋" w:hAnsi="仿宋" w:eastAsia="仿宋" w:cs="Calibri"/>
                <w:sz w:val="24"/>
              </w:rPr>
              <w:t>副</w:t>
            </w:r>
            <w:r>
              <w:rPr>
                <w:rFonts w:ascii="仿宋" w:hAnsi="仿宋" w:eastAsia="仿宋" w:cs="Calibri"/>
                <w:sz w:val="24"/>
              </w:rPr>
              <w:t>/</w:t>
            </w:r>
            <w:r>
              <w:rPr>
                <w:rFonts w:hint="eastAsia" w:ascii="仿宋" w:hAnsi="仿宋" w:eastAsia="仿宋" w:cs="Calibri"/>
                <w:sz w:val="24"/>
              </w:rPr>
              <w:t>人</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r>
              <w:rPr>
                <w:rFonts w:hint="eastAsia" w:ascii="仿宋" w:hAnsi="仿宋" w:eastAsia="仿宋" w:cs="Calibri"/>
                <w:sz w:val="24"/>
              </w:rPr>
              <w:t>副</w:t>
            </w:r>
            <w:r>
              <w:rPr>
                <w:rFonts w:ascii="仿宋" w:hAnsi="仿宋" w:eastAsia="仿宋" w:cs="Calibri"/>
                <w:sz w:val="24"/>
              </w:rPr>
              <w:t>/</w:t>
            </w:r>
            <w:r>
              <w:rPr>
                <w:rFonts w:hint="eastAsia" w:ascii="仿宋" w:hAnsi="仿宋" w:eastAsia="仿宋" w:cs="Calibri"/>
                <w:sz w:val="24"/>
              </w:rPr>
              <w:t>人</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9</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防高温手套</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副</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8</w:t>
            </w:r>
            <w:r>
              <w:rPr>
                <w:rFonts w:hint="eastAsia" w:ascii="仿宋" w:hAnsi="仿宋" w:eastAsia="仿宋" w:cs="Calibri"/>
                <w:sz w:val="24"/>
              </w:rPr>
              <w:t>副</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10</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消防员防蜂服</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电绝缘装具</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12</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防静电服</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12</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13</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消防阻燃毛衣</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r>
              <w:rPr>
                <w:rFonts w:hint="eastAsia" w:ascii="仿宋" w:hAnsi="仿宋" w:eastAsia="仿宋" w:cs="Calibri"/>
                <w:sz w:val="24"/>
              </w:rPr>
              <w:t>件</w:t>
            </w:r>
            <w:r>
              <w:rPr>
                <w:rFonts w:ascii="仿宋" w:hAnsi="仿宋" w:eastAsia="仿宋" w:cs="Calibri"/>
                <w:sz w:val="24"/>
              </w:rPr>
              <w:t>/</w:t>
            </w:r>
            <w:r>
              <w:rPr>
                <w:rFonts w:hint="eastAsia" w:ascii="仿宋" w:hAnsi="仿宋" w:eastAsia="仿宋" w:cs="Calibri"/>
                <w:sz w:val="24"/>
              </w:rPr>
              <w:t>人</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r>
              <w:rPr>
                <w:rFonts w:hint="eastAsia" w:ascii="仿宋" w:hAnsi="仿宋" w:eastAsia="仿宋" w:cs="Calibri"/>
                <w:sz w:val="24"/>
              </w:rPr>
              <w:t>件</w:t>
            </w:r>
            <w:r>
              <w:rPr>
                <w:rFonts w:ascii="仿宋" w:hAnsi="仿宋" w:eastAsia="仿宋" w:cs="Calibri"/>
                <w:sz w:val="24"/>
              </w:rPr>
              <w:t>/</w:t>
            </w:r>
            <w:r>
              <w:rPr>
                <w:rFonts w:hint="eastAsia" w:ascii="仿宋" w:hAnsi="仿宋" w:eastAsia="仿宋" w:cs="Calibri"/>
                <w:sz w:val="24"/>
              </w:rPr>
              <w:t>人</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14</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消防员降温背心</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件</w:t>
            </w:r>
            <w:r>
              <w:rPr>
                <w:rFonts w:ascii="仿宋" w:hAnsi="仿宋" w:eastAsia="仿宋" w:cs="Calibri"/>
                <w:sz w:val="24"/>
              </w:rPr>
              <w:t>/</w:t>
            </w:r>
            <w:r>
              <w:rPr>
                <w:rFonts w:hint="eastAsia" w:ascii="仿宋" w:hAnsi="仿宋" w:eastAsia="仿宋" w:cs="Calibri"/>
                <w:sz w:val="24"/>
              </w:rPr>
              <w:t>班</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件</w:t>
            </w:r>
            <w:r>
              <w:rPr>
                <w:rFonts w:ascii="仿宋" w:hAnsi="仿宋" w:eastAsia="仿宋" w:cs="Calibri"/>
                <w:sz w:val="24"/>
              </w:rPr>
              <w:t>/</w:t>
            </w:r>
            <w:r>
              <w:rPr>
                <w:rFonts w:hint="eastAsia" w:ascii="仿宋" w:hAnsi="仿宋" w:eastAsia="仿宋" w:cs="Calibri"/>
                <w:sz w:val="24"/>
              </w:rPr>
              <w:t>班</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15</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移动供气源</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16</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正压式消防氧气呼吸器</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具</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17</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强制送风呼吸器</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18</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消防过滤式综合防毒面具</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r>
              <w:rPr>
                <w:rFonts w:hint="eastAsia" w:ascii="仿宋" w:hAnsi="仿宋" w:eastAsia="仿宋" w:cs="Calibri"/>
                <w:sz w:val="24"/>
              </w:rPr>
              <w:t>套</w:t>
            </w:r>
            <w:r>
              <w:rPr>
                <w:rFonts w:ascii="仿宋" w:hAnsi="仿宋" w:eastAsia="仿宋" w:cs="Calibri"/>
                <w:sz w:val="24"/>
              </w:rPr>
              <w:t>/2</w:t>
            </w:r>
            <w:r>
              <w:rPr>
                <w:rFonts w:hint="eastAsia" w:ascii="仿宋" w:hAnsi="仿宋" w:eastAsia="仿宋" w:cs="Calibri"/>
                <w:sz w:val="24"/>
              </w:rPr>
              <w:t>人</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19</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潜水装备</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20</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消防用救生衣</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r>
              <w:rPr>
                <w:rFonts w:hint="eastAsia" w:ascii="仿宋" w:hAnsi="仿宋" w:eastAsia="仿宋" w:cs="Calibri"/>
                <w:sz w:val="24"/>
              </w:rPr>
              <w:t>件</w:t>
            </w:r>
            <w:r>
              <w:rPr>
                <w:rFonts w:ascii="仿宋" w:hAnsi="仿宋" w:eastAsia="仿宋" w:cs="Calibri"/>
                <w:sz w:val="24"/>
              </w:rPr>
              <w:t>/</w:t>
            </w:r>
            <w:r>
              <w:rPr>
                <w:rFonts w:hint="eastAsia" w:ascii="仿宋" w:hAnsi="仿宋" w:eastAsia="仿宋" w:cs="Calibri"/>
                <w:sz w:val="24"/>
              </w:rPr>
              <w:t>人</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1</w:t>
            </w:r>
            <w:r>
              <w:rPr>
                <w:rFonts w:hint="eastAsia" w:ascii="仿宋" w:hAnsi="仿宋" w:eastAsia="仿宋" w:cs="Calibri"/>
                <w:sz w:val="24"/>
              </w:rPr>
              <w:t>件</w:t>
            </w:r>
            <w:r>
              <w:rPr>
                <w:rFonts w:ascii="仿宋" w:hAnsi="仿宋" w:eastAsia="仿宋" w:cs="Calibri"/>
                <w:sz w:val="24"/>
              </w:rPr>
              <w:t>/</w:t>
            </w:r>
            <w:r>
              <w:rPr>
                <w:rFonts w:hint="eastAsia" w:ascii="仿宋" w:hAnsi="仿宋" w:eastAsia="仿宋" w:cs="Calibri"/>
                <w:sz w:val="24"/>
              </w:rPr>
              <w:t>人</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消防坐式半身安全吊带</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条</w:t>
            </w:r>
            <w:r>
              <w:rPr>
                <w:rFonts w:ascii="仿宋" w:hAnsi="仿宋" w:eastAsia="仿宋" w:cs="Calibri"/>
                <w:sz w:val="24"/>
              </w:rPr>
              <w:t>/</w:t>
            </w:r>
            <w:r>
              <w:rPr>
                <w:rFonts w:hint="eastAsia" w:ascii="仿宋" w:hAnsi="仿宋" w:eastAsia="仿宋" w:cs="Calibri"/>
                <w:sz w:val="24"/>
              </w:rPr>
              <w:t>班</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条</w:t>
            </w:r>
            <w:r>
              <w:rPr>
                <w:rFonts w:ascii="仿宋" w:hAnsi="仿宋" w:eastAsia="仿宋" w:cs="Calibri"/>
                <w:sz w:val="24"/>
              </w:rPr>
              <w:t>/</w:t>
            </w:r>
            <w:r>
              <w:rPr>
                <w:rFonts w:hint="eastAsia" w:ascii="仿宋" w:hAnsi="仿宋" w:eastAsia="仿宋" w:cs="Calibri"/>
                <w:sz w:val="24"/>
              </w:rPr>
              <w:t>班</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22</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消防全身式安全吊带</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条</w:t>
            </w:r>
            <w:r>
              <w:rPr>
                <w:rFonts w:ascii="仿宋" w:hAnsi="仿宋" w:eastAsia="仿宋" w:cs="Calibri"/>
                <w:sz w:val="24"/>
              </w:rPr>
              <w:t>/</w:t>
            </w:r>
            <w:r>
              <w:rPr>
                <w:rFonts w:hint="eastAsia" w:ascii="仿宋" w:hAnsi="仿宋" w:eastAsia="仿宋" w:cs="Calibri"/>
                <w:sz w:val="24"/>
              </w:rPr>
              <w:t>班</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条</w:t>
            </w:r>
            <w:r>
              <w:rPr>
                <w:rFonts w:ascii="仿宋" w:hAnsi="仿宋" w:eastAsia="仿宋" w:cs="Calibri"/>
                <w:sz w:val="24"/>
              </w:rPr>
              <w:t>/</w:t>
            </w:r>
            <w:r>
              <w:rPr>
                <w:rFonts w:hint="eastAsia" w:ascii="仿宋" w:hAnsi="仿宋" w:eastAsia="仿宋" w:cs="Calibri"/>
                <w:sz w:val="24"/>
              </w:rPr>
              <w:t>班</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23</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消防轻型安全绳</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24</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消防通用安全绳</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根</w:t>
            </w:r>
            <w:r>
              <w:rPr>
                <w:rFonts w:ascii="仿宋" w:hAnsi="仿宋" w:eastAsia="仿宋" w:cs="Calibri"/>
                <w:sz w:val="24"/>
              </w:rPr>
              <w:t>/</w:t>
            </w:r>
            <w:r>
              <w:rPr>
                <w:rFonts w:hint="eastAsia" w:ascii="仿宋" w:hAnsi="仿宋" w:eastAsia="仿宋" w:cs="Calibri"/>
                <w:sz w:val="24"/>
              </w:rPr>
              <w:t>班</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根</w:t>
            </w:r>
            <w:r>
              <w:rPr>
                <w:rFonts w:ascii="仿宋" w:hAnsi="仿宋" w:eastAsia="仿宋" w:cs="Calibri"/>
                <w:sz w:val="24"/>
              </w:rPr>
              <w:t>/</w:t>
            </w:r>
            <w:r>
              <w:rPr>
                <w:rFonts w:hint="eastAsia" w:ascii="仿宋" w:hAnsi="仿宋" w:eastAsia="仿宋" w:cs="Calibri"/>
                <w:sz w:val="24"/>
              </w:rPr>
              <w:t>班</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25</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消防防坠落辅助部件</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班</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班</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26</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手提式强光照明灯</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具</w:t>
            </w:r>
            <w:r>
              <w:rPr>
                <w:rFonts w:ascii="仿宋" w:hAnsi="仿宋" w:eastAsia="仿宋" w:cs="Calibri"/>
                <w:sz w:val="24"/>
              </w:rPr>
              <w:t>/</w:t>
            </w:r>
            <w:r>
              <w:rPr>
                <w:rFonts w:hint="eastAsia" w:ascii="仿宋" w:hAnsi="仿宋" w:eastAsia="仿宋" w:cs="Calibri"/>
                <w:sz w:val="24"/>
              </w:rPr>
              <w:t>班</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w:t>
            </w:r>
            <w:r>
              <w:rPr>
                <w:rFonts w:hint="eastAsia" w:ascii="仿宋" w:hAnsi="仿宋" w:eastAsia="仿宋" w:cs="Calibri"/>
                <w:sz w:val="24"/>
              </w:rPr>
              <w:t>具</w:t>
            </w:r>
            <w:r>
              <w:rPr>
                <w:rFonts w:ascii="仿宋" w:hAnsi="仿宋" w:eastAsia="仿宋" w:cs="Calibri"/>
                <w:sz w:val="24"/>
              </w:rPr>
              <w:t>/</w:t>
            </w:r>
            <w:r>
              <w:rPr>
                <w:rFonts w:hint="eastAsia" w:ascii="仿宋" w:hAnsi="仿宋" w:eastAsia="仿宋" w:cs="Calibri"/>
                <w:sz w:val="24"/>
              </w:rPr>
              <w:t>班</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27</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消防用荧光棒</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根</w:t>
            </w:r>
            <w:r>
              <w:rPr>
                <w:rFonts w:ascii="仿宋" w:hAnsi="仿宋" w:eastAsia="仿宋" w:cs="Calibri"/>
                <w:sz w:val="24"/>
              </w:rPr>
              <w:t>/</w:t>
            </w:r>
            <w:r>
              <w:rPr>
                <w:rFonts w:hint="eastAsia" w:ascii="仿宋" w:hAnsi="仿宋" w:eastAsia="仿宋" w:cs="Calibri"/>
                <w:sz w:val="24"/>
              </w:rPr>
              <w:t>人</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根</w:t>
            </w:r>
            <w:r>
              <w:rPr>
                <w:rFonts w:ascii="仿宋" w:hAnsi="仿宋" w:eastAsia="仿宋" w:cs="Calibri"/>
                <w:sz w:val="24"/>
              </w:rPr>
              <w:t>/</w:t>
            </w:r>
            <w:r>
              <w:rPr>
                <w:rFonts w:hint="eastAsia" w:ascii="仿宋" w:hAnsi="仿宋" w:eastAsia="仿宋" w:cs="Calibri"/>
                <w:sz w:val="24"/>
              </w:rPr>
              <w:t>人</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28</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水域救援漂浮救生绳</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200m/</w:t>
            </w:r>
            <w:r>
              <w:rPr>
                <w:rFonts w:hint="eastAsia" w:ascii="仿宋" w:hAnsi="仿宋" w:eastAsia="仿宋" w:cs="Calibri"/>
                <w:sz w:val="24"/>
              </w:rPr>
              <w:t>站</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400m/</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29</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消防员水域救援防护服</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8</w:t>
            </w:r>
            <w:r>
              <w:rPr>
                <w:rFonts w:hint="eastAsia" w:ascii="仿宋" w:hAnsi="仿宋" w:eastAsia="仿宋" w:cs="Calibri"/>
                <w:sz w:val="24"/>
              </w:rPr>
              <w:t>套</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trPr>
        <w:tc>
          <w:tcPr>
            <w:tcW w:w="38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30</w:t>
            </w:r>
          </w:p>
        </w:tc>
        <w:tc>
          <w:tcPr>
            <w:tcW w:w="154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消防员水域救援头盔</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76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w:t>
            </w:r>
          </w:p>
        </w:tc>
        <w:tc>
          <w:tcPr>
            <w:tcW w:w="831"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8</w:t>
            </w:r>
            <w:r>
              <w:rPr>
                <w:rFonts w:hint="eastAsia" w:ascii="仿宋" w:hAnsi="仿宋" w:eastAsia="仿宋" w:cs="Calibri"/>
                <w:sz w:val="24"/>
              </w:rPr>
              <w:t>顶</w:t>
            </w:r>
            <w:r>
              <w:rPr>
                <w:rFonts w:ascii="仿宋" w:hAnsi="仿宋" w:eastAsia="仿宋" w:cs="Calibri"/>
                <w:sz w:val="24"/>
              </w:rPr>
              <w:t>/</w:t>
            </w:r>
            <w:r>
              <w:rPr>
                <w:rFonts w:hint="eastAsia" w:ascii="仿宋" w:hAnsi="仿宋" w:eastAsia="仿宋" w:cs="Calibri"/>
                <w:sz w:val="24"/>
              </w:rPr>
              <w:t>站</w:t>
            </w:r>
          </w:p>
        </w:tc>
        <w:tc>
          <w:tcPr>
            <w:tcW w:w="7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2:1</w:t>
            </w:r>
          </w:p>
        </w:tc>
      </w:tr>
    </w:tbl>
    <w:p>
      <w:pPr>
        <w:pStyle w:val="3"/>
        <w:spacing w:before="190" w:after="190"/>
        <w:rPr>
          <w:rFonts w:ascii="宋体" w:hAnsi="宋体"/>
          <w:szCs w:val="32"/>
        </w:rPr>
      </w:pPr>
      <w:bookmarkStart w:id="474" w:name="_Toc1299"/>
      <w:bookmarkStart w:id="475" w:name="_Toc13119"/>
      <w:bookmarkStart w:id="476" w:name="_Toc12650"/>
      <w:r>
        <w:rPr>
          <w:rFonts w:hint="eastAsia" w:ascii="宋体" w:hAnsi="宋体"/>
          <w:szCs w:val="32"/>
        </w:rPr>
        <w:t>7.3消防人员规划</w:t>
      </w:r>
      <w:bookmarkEnd w:id="474"/>
      <w:bookmarkEnd w:id="475"/>
      <w:bookmarkEnd w:id="476"/>
    </w:p>
    <w:p>
      <w:pPr>
        <w:spacing w:before="190" w:after="190"/>
        <w:ind w:firstLine="840" w:firstLineChars="300"/>
        <w:rPr>
          <w:rFonts w:ascii="宋体" w:hAnsi="宋体"/>
        </w:rPr>
      </w:pPr>
      <w:r>
        <w:rPr>
          <w:rFonts w:hint="eastAsia" w:ascii="宋体" w:hAnsi="宋体"/>
        </w:rPr>
        <w:t>消防站人员配备应达到下表规定的标准。</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消防站人员配备标准表</w:t>
      </w:r>
    </w:p>
    <w:tbl>
      <w:tblPr>
        <w:tblStyle w:val="10"/>
        <w:tblW w:w="4917" w:type="pct"/>
        <w:tblInd w:w="108" w:type="dxa"/>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Layout w:type="autofit"/>
        <w:tblCellMar>
          <w:top w:w="0" w:type="dxa"/>
          <w:left w:w="108" w:type="dxa"/>
          <w:bottom w:w="0" w:type="dxa"/>
          <w:right w:w="108" w:type="dxa"/>
        </w:tblCellMar>
      </w:tblPr>
      <w:tblGrid>
        <w:gridCol w:w="2096"/>
        <w:gridCol w:w="2096"/>
        <w:gridCol w:w="2097"/>
        <w:gridCol w:w="2097"/>
      </w:tblGrid>
      <w:tr>
        <w:tblPrEx>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CellMar>
            <w:top w:w="0" w:type="dxa"/>
            <w:left w:w="108" w:type="dxa"/>
            <w:bottom w:w="0" w:type="dxa"/>
            <w:right w:w="108" w:type="dxa"/>
          </w:tblCellMar>
        </w:tblPrEx>
        <w:trPr>
          <w:trHeight w:val="454" w:hRule="atLeast"/>
        </w:trPr>
        <w:tc>
          <w:tcPr>
            <w:tcW w:w="1250" w:type="pct"/>
            <w:shd w:val="clear" w:color="auto" w:fill="A8D08D"/>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bCs/>
                <w:color w:val="000000"/>
                <w:sz w:val="24"/>
              </w:rPr>
            </w:pPr>
            <w:r>
              <w:rPr>
                <w:rFonts w:ascii="仿宋" w:hAnsi="仿宋" w:eastAsia="仿宋" w:cs="Calibri"/>
                <w:b/>
                <w:bCs/>
                <w:color w:val="000000"/>
                <w:sz w:val="24"/>
              </w:rPr>
              <w:t>消防站类别</w:t>
            </w:r>
          </w:p>
        </w:tc>
        <w:tc>
          <w:tcPr>
            <w:tcW w:w="1250"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一级普通站</w:t>
            </w:r>
          </w:p>
        </w:tc>
        <w:tc>
          <w:tcPr>
            <w:tcW w:w="1250"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二级普通站</w:t>
            </w:r>
          </w:p>
        </w:tc>
        <w:tc>
          <w:tcPr>
            <w:tcW w:w="1250"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bCs/>
                <w:color w:val="000000"/>
                <w:sz w:val="24"/>
              </w:rPr>
            </w:pPr>
            <w:r>
              <w:rPr>
                <w:rFonts w:hint="eastAsia" w:ascii="仿宋" w:hAnsi="仿宋" w:eastAsia="仿宋" w:cs="Calibri"/>
                <w:b/>
                <w:bCs/>
                <w:color w:val="000000"/>
                <w:sz w:val="24"/>
              </w:rPr>
              <w:t>特勤站</w:t>
            </w:r>
          </w:p>
        </w:tc>
      </w:tr>
      <w:tr>
        <w:tblPrEx>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CellMar>
            <w:top w:w="0" w:type="dxa"/>
            <w:left w:w="108" w:type="dxa"/>
            <w:bottom w:w="0" w:type="dxa"/>
            <w:right w:w="108" w:type="dxa"/>
          </w:tblCellMar>
        </w:tblPrEx>
        <w:trPr>
          <w:trHeight w:val="454" w:hRule="atLeast"/>
        </w:trPr>
        <w:tc>
          <w:tcPr>
            <w:tcW w:w="1250" w:type="pct"/>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szCs w:val="28"/>
              </w:rPr>
            </w:pPr>
            <w:r>
              <w:rPr>
                <w:rFonts w:hint="eastAsia" w:ascii="仿宋" w:hAnsi="仿宋" w:eastAsia="仿宋" w:cs="Calibri"/>
                <w:sz w:val="24"/>
                <w:szCs w:val="28"/>
              </w:rPr>
              <w:t>人数</w:t>
            </w:r>
          </w:p>
        </w:tc>
        <w:tc>
          <w:tcPr>
            <w:tcW w:w="1250" w:type="pct"/>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szCs w:val="28"/>
              </w:rPr>
            </w:pPr>
            <w:r>
              <w:rPr>
                <w:rFonts w:ascii="仿宋" w:hAnsi="仿宋" w:eastAsia="仿宋" w:cs="Calibri"/>
                <w:sz w:val="24"/>
                <w:szCs w:val="28"/>
              </w:rPr>
              <w:t>30</w:t>
            </w:r>
            <w:r>
              <w:rPr>
                <w:rFonts w:hint="eastAsia" w:ascii="仿宋" w:hAnsi="仿宋" w:eastAsia="仿宋" w:cs="Calibri"/>
                <w:sz w:val="24"/>
                <w:szCs w:val="28"/>
              </w:rPr>
              <w:t>～</w:t>
            </w:r>
            <w:r>
              <w:rPr>
                <w:rFonts w:ascii="仿宋" w:hAnsi="仿宋" w:eastAsia="仿宋" w:cs="Calibri"/>
                <w:sz w:val="24"/>
                <w:szCs w:val="28"/>
              </w:rPr>
              <w:t>45</w:t>
            </w:r>
          </w:p>
        </w:tc>
        <w:tc>
          <w:tcPr>
            <w:tcW w:w="1250" w:type="pct"/>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szCs w:val="28"/>
              </w:rPr>
            </w:pPr>
            <w:r>
              <w:rPr>
                <w:rFonts w:ascii="仿宋" w:hAnsi="仿宋" w:eastAsia="仿宋" w:cs="Calibri"/>
                <w:sz w:val="24"/>
                <w:szCs w:val="28"/>
              </w:rPr>
              <w:t>15</w:t>
            </w:r>
            <w:r>
              <w:rPr>
                <w:rFonts w:hint="eastAsia" w:ascii="仿宋" w:hAnsi="仿宋" w:eastAsia="仿宋" w:cs="Calibri"/>
                <w:sz w:val="24"/>
                <w:szCs w:val="28"/>
              </w:rPr>
              <w:t>～</w:t>
            </w:r>
            <w:r>
              <w:rPr>
                <w:rFonts w:ascii="仿宋" w:hAnsi="仿宋" w:eastAsia="仿宋" w:cs="Calibri"/>
                <w:sz w:val="24"/>
                <w:szCs w:val="28"/>
              </w:rPr>
              <w:t>25</w:t>
            </w:r>
          </w:p>
        </w:tc>
        <w:tc>
          <w:tcPr>
            <w:tcW w:w="1250" w:type="pct"/>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szCs w:val="28"/>
              </w:rPr>
            </w:pPr>
            <w:r>
              <w:rPr>
                <w:rFonts w:ascii="仿宋" w:hAnsi="仿宋" w:eastAsia="仿宋" w:cs="Calibri"/>
                <w:sz w:val="24"/>
                <w:szCs w:val="28"/>
              </w:rPr>
              <w:t>45</w:t>
            </w:r>
            <w:r>
              <w:rPr>
                <w:rFonts w:hint="eastAsia" w:ascii="仿宋" w:hAnsi="仿宋" w:eastAsia="仿宋" w:cs="Calibri"/>
                <w:sz w:val="24"/>
                <w:szCs w:val="28"/>
              </w:rPr>
              <w:t>～</w:t>
            </w:r>
            <w:r>
              <w:rPr>
                <w:rFonts w:ascii="仿宋" w:hAnsi="仿宋" w:eastAsia="仿宋" w:cs="Calibri"/>
                <w:sz w:val="24"/>
                <w:szCs w:val="28"/>
              </w:rPr>
              <w:t>60</w:t>
            </w:r>
          </w:p>
        </w:tc>
      </w:tr>
    </w:tbl>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各消防站规划消防人员配置表</w:t>
      </w:r>
    </w:p>
    <w:tbl>
      <w:tblPr>
        <w:tblStyle w:val="10"/>
        <w:tblW w:w="4881"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606"/>
        <w:gridCol w:w="1508"/>
        <w:gridCol w:w="2126"/>
        <w:gridCol w:w="2244"/>
        <w:gridCol w:w="1841"/>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36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序号</w:t>
            </w:r>
          </w:p>
        </w:tc>
        <w:tc>
          <w:tcPr>
            <w:tcW w:w="90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名称</w:t>
            </w:r>
          </w:p>
        </w:tc>
        <w:tc>
          <w:tcPr>
            <w:tcW w:w="1277"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规划性质</w:t>
            </w:r>
          </w:p>
        </w:tc>
        <w:tc>
          <w:tcPr>
            <w:tcW w:w="1348"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现状消防人员（人）</w:t>
            </w:r>
          </w:p>
        </w:tc>
        <w:tc>
          <w:tcPr>
            <w:tcW w:w="1105"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规划消防人员（人）</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36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1</w:t>
            </w:r>
          </w:p>
        </w:tc>
        <w:tc>
          <w:tcPr>
            <w:tcW w:w="90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花马池站</w:t>
            </w:r>
          </w:p>
        </w:tc>
        <w:tc>
          <w:tcPr>
            <w:tcW w:w="12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一级普通兼化工特勤消防站</w:t>
            </w:r>
          </w:p>
        </w:tc>
        <w:tc>
          <w:tcPr>
            <w:tcW w:w="134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22</w:t>
            </w:r>
          </w:p>
        </w:tc>
        <w:tc>
          <w:tcPr>
            <w:tcW w:w="110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4</w:t>
            </w:r>
            <w:r>
              <w:rPr>
                <w:rFonts w:hint="eastAsia" w:ascii="仿宋" w:hAnsi="仿宋" w:eastAsia="仿宋" w:cs="Calibri"/>
                <w:sz w:val="24"/>
              </w:rPr>
              <w:t>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36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2</w:t>
            </w:r>
          </w:p>
        </w:tc>
        <w:tc>
          <w:tcPr>
            <w:tcW w:w="90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规划一号站</w:t>
            </w:r>
          </w:p>
        </w:tc>
        <w:tc>
          <w:tcPr>
            <w:tcW w:w="12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一级普通消防站</w:t>
            </w:r>
          </w:p>
        </w:tc>
        <w:tc>
          <w:tcPr>
            <w:tcW w:w="134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新建</w:t>
            </w:r>
          </w:p>
        </w:tc>
        <w:tc>
          <w:tcPr>
            <w:tcW w:w="110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ascii="仿宋" w:hAnsi="仿宋" w:eastAsia="仿宋" w:cs="Calibri"/>
                <w:sz w:val="24"/>
              </w:rPr>
              <w:t>35</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36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sz w:val="24"/>
              </w:rPr>
            </w:pPr>
            <w:r>
              <w:rPr>
                <w:rFonts w:ascii="仿宋" w:hAnsi="仿宋" w:eastAsia="仿宋" w:cs="Calibri"/>
                <w:sz w:val="24"/>
              </w:rPr>
              <w:t>3</w:t>
            </w:r>
          </w:p>
        </w:tc>
        <w:tc>
          <w:tcPr>
            <w:tcW w:w="90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规划二号站</w:t>
            </w:r>
          </w:p>
        </w:tc>
        <w:tc>
          <w:tcPr>
            <w:tcW w:w="1277"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二级普通消防站</w:t>
            </w:r>
          </w:p>
        </w:tc>
        <w:tc>
          <w:tcPr>
            <w:tcW w:w="1348"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新建</w:t>
            </w:r>
          </w:p>
        </w:tc>
        <w:tc>
          <w:tcPr>
            <w:tcW w:w="1105"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sz w:val="24"/>
              </w:rPr>
            </w:pPr>
            <w:r>
              <w:rPr>
                <w:rFonts w:hint="eastAsia" w:ascii="仿宋" w:hAnsi="仿宋" w:eastAsia="仿宋" w:cs="Calibri"/>
                <w:sz w:val="24"/>
              </w:rPr>
              <w:t>22</w:t>
            </w:r>
          </w:p>
        </w:tc>
      </w:tr>
    </w:tbl>
    <w:p>
      <w:pPr>
        <w:pStyle w:val="2"/>
        <w:numPr>
          <w:ilvl w:val="0"/>
          <w:numId w:val="3"/>
        </w:numPr>
        <w:spacing w:before="190" w:after="190"/>
        <w:ind w:firstLine="0"/>
        <w:jc w:val="center"/>
        <w:rPr>
          <w:rFonts w:ascii="宋体" w:hAnsi="宋体"/>
          <w:b/>
        </w:rPr>
      </w:pPr>
      <w:bookmarkStart w:id="477" w:name="_Toc15379"/>
      <w:bookmarkStart w:id="478" w:name="_Toc14123"/>
      <w:bookmarkStart w:id="479" w:name="_Toc27193"/>
      <w:r>
        <w:rPr>
          <w:rFonts w:ascii="宋体" w:hAnsi="宋体"/>
          <w:b/>
        </w:rPr>
        <w:br w:type="column"/>
      </w:r>
      <w:r>
        <w:rPr>
          <w:rFonts w:hint="eastAsia" w:ascii="宋体" w:hAnsi="宋体"/>
          <w:b/>
        </w:rPr>
        <w:t>消防通信规划</w:t>
      </w:r>
      <w:bookmarkEnd w:id="477"/>
      <w:bookmarkEnd w:id="478"/>
      <w:bookmarkEnd w:id="479"/>
    </w:p>
    <w:p>
      <w:pPr>
        <w:pStyle w:val="3"/>
        <w:spacing w:before="190" w:after="190"/>
        <w:rPr>
          <w:rFonts w:ascii="宋体" w:hAnsi="宋体"/>
          <w:szCs w:val="32"/>
        </w:rPr>
      </w:pPr>
      <w:bookmarkStart w:id="480" w:name="_Toc21199"/>
      <w:bookmarkStart w:id="481" w:name="_Toc26"/>
      <w:bookmarkStart w:id="482" w:name="_Toc15244"/>
      <w:r>
        <w:rPr>
          <w:rFonts w:hint="eastAsia" w:ascii="宋体" w:hAnsi="宋体"/>
          <w:szCs w:val="32"/>
        </w:rPr>
        <w:t>8.1消防通信规划</w:t>
      </w:r>
      <w:bookmarkEnd w:id="480"/>
      <w:bookmarkEnd w:id="481"/>
      <w:bookmarkEnd w:id="482"/>
    </w:p>
    <w:p>
      <w:pPr>
        <w:spacing w:before="190" w:after="190"/>
        <w:ind w:firstLine="560"/>
        <w:rPr>
          <w:rFonts w:ascii="宋体" w:hAnsi="宋体"/>
        </w:rPr>
      </w:pPr>
      <w:r>
        <w:rPr>
          <w:rFonts w:hint="eastAsia" w:ascii="宋体" w:hAnsi="宋体"/>
        </w:rPr>
        <w:t>消防通信指挥系统是现代城市消防不可缺少的重要技术装备，也是城市公共基础设施的重要组成部分。随着国民经济和城市建设的迅速发展，各种火灾因素也不断增加，对消防通信指挥提出了许多新的课题和更高的要求，现代城市消防通信指挥仅仅依靠传统的方法和手段己经远远不够了。近年来，现代通信、计算机、信息处理等高新技术和设备越来越多地应用到消防通信的实战中，建立技术先进、性能优良的消防通信指挥系统，可以大幅度提高消防队伍技术装备水平和灭火作战的效能。消防通信指挥系统作为一种现代消防技术装备，在现代城市消防工作中发挥着不可替代的至关重要的作用。</w:t>
      </w:r>
    </w:p>
    <w:p>
      <w:pPr>
        <w:spacing w:before="190" w:after="190"/>
        <w:ind w:firstLine="560"/>
        <w:rPr>
          <w:rFonts w:ascii="宋体" w:hAnsi="宋体"/>
        </w:rPr>
      </w:pPr>
      <w:r>
        <w:rPr>
          <w:rFonts w:hint="eastAsia" w:ascii="宋体" w:hAnsi="宋体"/>
        </w:rPr>
        <w:t>城市消防通信指挥系统应包括火灾报警、火警受理、火场指挥、消防信息综合管理和训练模拟等子系统。城市消防通信系统规划和建设应符合《消防通信指挥系统设计规范》(GB 50313-2013)的有关规定。</w:t>
      </w:r>
    </w:p>
    <w:p>
      <w:pPr>
        <w:spacing w:before="190" w:after="190"/>
        <w:ind w:firstLine="560"/>
        <w:rPr>
          <w:rFonts w:ascii="宋体" w:hAnsi="宋体"/>
        </w:rPr>
      </w:pPr>
      <w:r>
        <w:rPr>
          <w:rFonts w:hint="eastAsia" w:ascii="宋体" w:hAnsi="宋体"/>
        </w:rPr>
        <w:t>规划盐池县消防通信指挥由吴忠市消防通信指挥中心统一调度、指挥，消防通信指挥系统应覆盖全县，并具有受理火灾及其他灾害事故报警、灭火救援指挥调度、情报信息支持等主要功能。</w:t>
      </w:r>
    </w:p>
    <w:p>
      <w:pPr>
        <w:keepNext w:val="0"/>
        <w:keepLines w:val="0"/>
        <w:pageBreakBefore w:val="0"/>
        <w:widowControl w:val="0"/>
        <w:kinsoku/>
        <w:wordWrap/>
        <w:overflowPunct/>
        <w:topLinePunct w:val="0"/>
        <w:autoSpaceDE/>
        <w:autoSpaceDN/>
        <w:bidi w:val="0"/>
        <w:adjustRightInd/>
        <w:snapToGrid/>
        <w:spacing w:before="190" w:after="190"/>
        <w:ind w:firstLine="0" w:firstLineChars="0"/>
        <w:jc w:val="left"/>
        <w:textAlignment w:val="auto"/>
        <w:rPr>
          <w:shd w:val="clear" w:color="auto" w:fill="C5E0B3"/>
        </w:rPr>
      </w:pPr>
      <w:r>
        <w:rPr>
          <w:rFonts w:hint="eastAsia"/>
          <w:shd w:val="clear" w:color="auto" w:fill="C5E0B3"/>
        </w:rPr>
        <w:drawing>
          <wp:inline distT="0" distB="0" distL="114300" distR="114300">
            <wp:extent cx="5302250" cy="4139565"/>
            <wp:effectExtent l="0" t="0" r="12700" b="13335"/>
            <wp:docPr id="14"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true"/>
                    </pic:cNvPicPr>
                  </pic:nvPicPr>
                  <pic:blipFill>
                    <a:blip r:embed="rId35"/>
                    <a:stretch>
                      <a:fillRect/>
                    </a:stretch>
                  </pic:blipFill>
                  <pic:spPr>
                    <a:xfrm>
                      <a:off x="0" y="0"/>
                      <a:ext cx="5302250" cy="4139565"/>
                    </a:xfrm>
                    <a:prstGeom prst="rect">
                      <a:avLst/>
                    </a:prstGeom>
                    <a:noFill/>
                    <a:ln>
                      <a:noFill/>
                    </a:ln>
                  </pic:spPr>
                </pic:pic>
              </a:graphicData>
            </a:graphic>
          </wp:inline>
        </w:drawing>
      </w:r>
    </w:p>
    <w:p>
      <w:pPr>
        <w:spacing w:before="190" w:after="190"/>
        <w:ind w:firstLine="560"/>
        <w:rPr>
          <w:rFonts w:ascii="宋体" w:hAnsi="宋体"/>
        </w:rPr>
      </w:pPr>
      <w:r>
        <w:rPr>
          <w:rFonts w:ascii="宋体" w:hAnsi="宋体"/>
        </w:rPr>
        <w:t>通过建设“三台合一”系统等方式，建立多部门与消防指挥中心系统智能化接入。通过对基础数据的深度整合及辅助平台的深度应用，实现扁平化、移动化、智能化指挥。立足火灾防控预警“自动化”、灭火救援指挥“智能化”、消防管理工作“信息化”的实际需要，规划近期将作战指挥中心建成以灭火救援指挥系统为核心，以图像综合集成传输平台、车辆定位及智能导航平台、消防“大数据”及移动指挥中心为辅助的新型作战指挥平台。</w:t>
      </w:r>
    </w:p>
    <w:p>
      <w:pPr>
        <w:spacing w:before="190" w:after="190"/>
        <w:ind w:firstLine="560"/>
        <w:rPr>
          <w:rFonts w:ascii="宋体" w:hAnsi="宋体"/>
        </w:rPr>
      </w:pPr>
      <w:r>
        <w:rPr>
          <w:rFonts w:ascii="宋体" w:hAnsi="宋体"/>
        </w:rPr>
        <w:t>根据</w:t>
      </w:r>
      <w:r>
        <w:rPr>
          <w:rFonts w:hint="eastAsia" w:ascii="宋体" w:hAnsi="宋体"/>
        </w:rPr>
        <w:t>盐池县</w:t>
      </w:r>
      <w:r>
        <w:rPr>
          <w:rFonts w:ascii="宋体" w:hAnsi="宋体"/>
        </w:rPr>
        <w:t>的实际需求，消防通</w:t>
      </w:r>
      <w:r>
        <w:rPr>
          <w:rFonts w:hint="eastAsia" w:ascii="宋体" w:hAnsi="宋体"/>
        </w:rPr>
        <w:t>信</w:t>
      </w:r>
      <w:r>
        <w:rPr>
          <w:rFonts w:ascii="宋体" w:hAnsi="宋体"/>
        </w:rPr>
        <w:t>装备建设必须立足实战、适度超前，应拥有一定数量</w:t>
      </w:r>
      <w:r>
        <w:rPr>
          <w:rFonts w:hint="eastAsia" w:ascii="宋体" w:hAnsi="宋体"/>
        </w:rPr>
        <w:t>、</w:t>
      </w:r>
      <w:r>
        <w:rPr>
          <w:rFonts w:ascii="宋体" w:hAnsi="宋体"/>
        </w:rPr>
        <w:t>科技含量较高、满足灭火救援现实需求的通讯技术装备，达到国内同类型城市消防</w:t>
      </w:r>
      <w:r>
        <w:rPr>
          <w:rFonts w:hint="eastAsia" w:ascii="宋体" w:hAnsi="宋体"/>
        </w:rPr>
        <w:t>通信</w:t>
      </w:r>
      <w:r>
        <w:rPr>
          <w:rFonts w:ascii="宋体" w:hAnsi="宋体"/>
        </w:rPr>
        <w:t>装备的</w:t>
      </w:r>
      <w:r>
        <w:rPr>
          <w:rFonts w:hint="eastAsia" w:ascii="宋体" w:hAnsi="宋体"/>
        </w:rPr>
        <w:t>先进</w:t>
      </w:r>
      <w:r>
        <w:rPr>
          <w:rFonts w:ascii="宋体" w:hAnsi="宋体"/>
        </w:rPr>
        <w:t>水平。</w:t>
      </w:r>
    </w:p>
    <w:p>
      <w:pPr>
        <w:spacing w:before="190" w:after="190"/>
        <w:ind w:firstLine="560"/>
        <w:rPr>
          <w:rFonts w:ascii="宋体" w:hAnsi="宋体"/>
        </w:rPr>
      </w:pPr>
      <w:r>
        <w:rPr>
          <w:rFonts w:hint="eastAsia" w:ascii="宋体" w:hAnsi="宋体"/>
        </w:rPr>
        <w:t>消防通信规划方案：</w:t>
      </w:r>
    </w:p>
    <w:p>
      <w:pPr>
        <w:spacing w:before="190" w:after="190"/>
        <w:ind w:firstLineChars="150"/>
        <w:rPr>
          <w:rFonts w:ascii="宋体" w:hAnsi="宋体"/>
        </w:rPr>
      </w:pPr>
      <w:r>
        <w:rPr>
          <w:rFonts w:ascii="宋体" w:hAnsi="宋体"/>
        </w:rPr>
        <w:t>（1）</w:t>
      </w:r>
      <w:r>
        <w:rPr>
          <w:rFonts w:hint="eastAsia" w:ascii="宋体" w:hAnsi="宋体"/>
        </w:rPr>
        <w:t>有线通信系统采用“集中接警”的方式接警。</w:t>
      </w:r>
    </w:p>
    <w:p>
      <w:pPr>
        <w:spacing w:before="190" w:after="190"/>
        <w:ind w:firstLineChars="150"/>
        <w:rPr>
          <w:rFonts w:ascii="宋体" w:hAnsi="宋体"/>
        </w:rPr>
      </w:pPr>
      <w:r>
        <w:rPr>
          <w:rFonts w:hint="eastAsia" w:ascii="宋体" w:hAnsi="宋体"/>
        </w:rPr>
        <w:t>（2）消防无线通信系统以实现火场通信“三级组网”和有线、无线汇接为基本要求。</w:t>
      </w:r>
    </w:p>
    <w:p>
      <w:pPr>
        <w:spacing w:before="190" w:after="190"/>
        <w:ind w:firstLineChars="150"/>
        <w:rPr>
          <w:rFonts w:ascii="宋体" w:hAnsi="宋体"/>
        </w:rPr>
      </w:pPr>
      <w:r>
        <w:rPr>
          <w:rFonts w:hint="eastAsia" w:ascii="宋体" w:hAnsi="宋体"/>
        </w:rPr>
        <w:t>（3）为保证消防指挥功能准确、快捷，应加强对新技术的运用，建立全方位计算机处理信息系统、图像传输系统，并全程掌握消防车运行轨迹的定位系统。</w:t>
      </w:r>
    </w:p>
    <w:p>
      <w:pPr>
        <w:spacing w:before="190" w:after="190"/>
        <w:ind w:firstLineChars="150"/>
        <w:rPr>
          <w:rFonts w:ascii="宋体" w:hAnsi="宋体"/>
        </w:rPr>
      </w:pPr>
      <w:r>
        <w:rPr>
          <w:rFonts w:hint="eastAsia" w:ascii="宋体" w:hAnsi="宋体"/>
        </w:rPr>
        <w:t>（4）采用计算机及网络通信技术，建立城市火灾自动报警监控管理网络系统。</w:t>
      </w:r>
    </w:p>
    <w:p>
      <w:pPr>
        <w:spacing w:before="190" w:after="190"/>
        <w:ind w:firstLineChars="150"/>
        <w:rPr>
          <w:rFonts w:ascii="宋体" w:hAnsi="宋体"/>
        </w:rPr>
      </w:pPr>
      <w:r>
        <w:rPr>
          <w:rFonts w:hint="eastAsia" w:ascii="宋体" w:hAnsi="宋体"/>
        </w:rPr>
        <w:t>（5）组建城市报警系统，实现消防指挥中心与各重点单位、政府、医院等相关部门的城市联防系统。</w:t>
      </w:r>
    </w:p>
    <w:p>
      <w:pPr>
        <w:spacing w:before="190" w:after="190"/>
        <w:ind w:firstLineChars="150"/>
        <w:rPr>
          <w:rFonts w:ascii="宋体" w:hAnsi="宋体"/>
        </w:rPr>
      </w:pPr>
      <w:r>
        <w:rPr>
          <w:rFonts w:hint="eastAsia" w:ascii="宋体" w:hAnsi="宋体"/>
        </w:rPr>
        <w:t>（6）近期建设覆盖县域的集中接警模式，实现消防救援大队集中接警、统一指挥、智能分发。</w:t>
      </w:r>
    </w:p>
    <w:p>
      <w:pPr>
        <w:spacing w:before="190" w:after="190"/>
        <w:ind w:firstLineChars="150"/>
        <w:rPr>
          <w:rFonts w:ascii="宋体" w:hAnsi="宋体"/>
        </w:rPr>
      </w:pPr>
      <w:r>
        <w:rPr>
          <w:rFonts w:hint="eastAsia" w:ascii="宋体" w:hAnsi="宋体"/>
        </w:rPr>
        <w:t>（7）城市119报警服务台与各消防站之间应至少设一条火警调度专线，可用于语音调度或数据指令调度；与公安、交通管理、医疗救护、供水、供电、供气、通信、环保、气象、地震等部门或联动单位之间应至少设1条火警调度专线或数据指令调度通道；与消防重点保护单位之间应设1条火警调度专线。</w:t>
      </w:r>
    </w:p>
    <w:p>
      <w:pPr>
        <w:spacing w:before="190" w:after="190"/>
        <w:ind w:firstLineChars="150"/>
        <w:rPr>
          <w:rFonts w:ascii="宋体" w:hAnsi="宋体"/>
        </w:rPr>
      </w:pPr>
      <w:r>
        <w:rPr>
          <w:rFonts w:hint="eastAsia" w:ascii="宋体" w:hAnsi="宋体"/>
        </w:rPr>
        <w:t>（8）建设视频监控、远程监控系统。盐池县消防救援大队可对全县所有消防站的视频监控实时图像，以便对人员管理、一日生活制度落实及接处警出动的情况进行视频监控；负责全县消防安全重点单位的消防远程监控和视频监控重点单位、重点部位的实时视频监控。</w:t>
      </w:r>
    </w:p>
    <w:p>
      <w:pPr>
        <w:spacing w:before="190" w:after="190"/>
        <w:ind w:firstLineChars="150"/>
        <w:rPr>
          <w:rFonts w:hint="eastAsia" w:ascii="宋体" w:hAnsi="宋体"/>
        </w:rPr>
      </w:pPr>
    </w:p>
    <w:p>
      <w:pPr>
        <w:pStyle w:val="3"/>
        <w:spacing w:before="190" w:after="190"/>
        <w:rPr>
          <w:rFonts w:ascii="宋体" w:hAnsi="宋体"/>
        </w:rPr>
      </w:pPr>
      <w:bookmarkStart w:id="483" w:name="_Toc17369"/>
      <w:bookmarkStart w:id="484" w:name="_Toc22829"/>
      <w:bookmarkStart w:id="485" w:name="_Toc4466"/>
      <w:r>
        <w:rPr>
          <w:rFonts w:hint="eastAsia" w:ascii="宋体" w:hAnsi="宋体"/>
          <w:szCs w:val="32"/>
        </w:rPr>
        <w:t>8.2</w:t>
      </w:r>
      <w:r>
        <w:rPr>
          <w:rFonts w:ascii="宋体" w:hAnsi="宋体"/>
        </w:rPr>
        <w:t xml:space="preserve"> </w:t>
      </w:r>
      <w:r>
        <w:rPr>
          <w:rFonts w:hint="eastAsia" w:ascii="宋体" w:hAnsi="宋体"/>
          <w:szCs w:val="32"/>
        </w:rPr>
        <w:t>智慧消防建设</w:t>
      </w:r>
      <w:bookmarkEnd w:id="483"/>
      <w:bookmarkEnd w:id="484"/>
      <w:bookmarkEnd w:id="485"/>
    </w:p>
    <w:p>
      <w:pPr>
        <w:spacing w:before="190" w:after="190"/>
        <w:ind w:firstLine="560"/>
        <w:rPr>
          <w:rFonts w:cs="Calibri"/>
          <w:szCs w:val="28"/>
        </w:rPr>
      </w:pPr>
      <w:r>
        <w:rPr>
          <w:rFonts w:cs="Calibri"/>
          <w:szCs w:val="28"/>
        </w:rPr>
        <w:drawing>
          <wp:inline distT="0" distB="0" distL="114300" distR="114300">
            <wp:extent cx="5240020" cy="3432175"/>
            <wp:effectExtent l="0" t="0" r="17780" b="15875"/>
            <wp:docPr id="1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1"/>
                    <pic:cNvPicPr>
                      <a:picLocks noChangeAspect="true"/>
                    </pic:cNvPicPr>
                  </pic:nvPicPr>
                  <pic:blipFill>
                    <a:blip r:embed="rId36"/>
                    <a:srcRect t="723" b="2197"/>
                    <a:stretch>
                      <a:fillRect/>
                    </a:stretch>
                  </pic:blipFill>
                  <pic:spPr>
                    <a:xfrm>
                      <a:off x="0" y="0"/>
                      <a:ext cx="5240020" cy="3432175"/>
                    </a:xfrm>
                    <a:prstGeom prst="rect">
                      <a:avLst/>
                    </a:prstGeom>
                    <a:noFill/>
                    <a:ln>
                      <a:noFill/>
                    </a:ln>
                  </pic:spPr>
                </pic:pic>
              </a:graphicData>
            </a:graphic>
          </wp:inline>
        </w:drawing>
      </w:r>
    </w:p>
    <w:p>
      <w:pPr>
        <w:spacing w:before="190" w:after="190"/>
        <w:ind w:firstLine="560"/>
        <w:rPr>
          <w:rFonts w:ascii="宋体" w:hAnsi="宋体"/>
        </w:rPr>
      </w:pPr>
      <w:r>
        <w:rPr>
          <w:rFonts w:hint="eastAsia" w:ascii="宋体" w:hAnsi="宋体"/>
        </w:rPr>
        <w:t>（1）推进消防信息建设。</w:t>
      </w:r>
    </w:p>
    <w:p>
      <w:pPr>
        <w:spacing w:before="190" w:after="190"/>
        <w:ind w:firstLine="560"/>
        <w:rPr>
          <w:rFonts w:ascii="宋体" w:hAnsi="宋体"/>
        </w:rPr>
      </w:pPr>
      <w:r>
        <w:rPr>
          <w:rFonts w:hint="eastAsia" w:ascii="宋体" w:hAnsi="宋体"/>
        </w:rPr>
        <w:t>对消防基础网络进行优化升级，消防大队指挥视频全部实现高清接入，实现高质量、超高速、大容量传输。购置卫星通信指挥车，建成移动指挥中心，并配齐配全新型单兵定位装置、便携式中继等设备以及无人飞行器、轻型卫星移动站、专网海事卫星图传设备、移动指挥终端、消防车车载图像采集终端等设备，全面实现战区协同作战区域全覆盖、无盲区、立体化的通信模式。</w:t>
      </w:r>
    </w:p>
    <w:p>
      <w:pPr>
        <w:spacing w:before="190" w:after="190"/>
        <w:ind w:firstLine="560"/>
        <w:rPr>
          <w:rFonts w:ascii="宋体" w:hAnsi="宋体"/>
        </w:rPr>
      </w:pPr>
      <w:r>
        <w:rPr>
          <w:rFonts w:hint="eastAsia" w:ascii="宋体" w:hAnsi="宋体"/>
        </w:rPr>
        <w:t>规划近期利用消防App智能终端实现多样化功能和海量信息数据共享。远期研发“消防云”、“大数据”、“互联网+消防”应用平台，建成消防装备物联网系统和容灾备份中心。利用物联网技术构建智能消防安全信息平台，实现智慧防控、智慧作战、智慧执法、智慧管理。</w:t>
      </w:r>
    </w:p>
    <w:p>
      <w:pPr>
        <w:spacing w:before="190" w:after="190"/>
        <w:ind w:firstLine="560"/>
        <w:rPr>
          <w:rFonts w:ascii="宋体" w:hAnsi="宋体"/>
        </w:rPr>
      </w:pPr>
      <w:r>
        <w:rPr>
          <w:rFonts w:hint="eastAsia" w:ascii="宋体" w:hAnsi="宋体"/>
        </w:rPr>
        <w:t>（2）加强消防技术措施。</w:t>
      </w:r>
    </w:p>
    <w:p>
      <w:pPr>
        <w:spacing w:before="190" w:after="190"/>
        <w:ind w:firstLine="560"/>
        <w:rPr>
          <w:rFonts w:ascii="宋体" w:hAnsi="宋体"/>
        </w:rPr>
      </w:pPr>
      <w:r>
        <w:rPr>
          <w:rFonts w:hint="eastAsia" w:ascii="宋体" w:hAnsi="宋体"/>
        </w:rPr>
        <w:t>借助移动物联网技术，探索实行对自动消防设施的联网控制，前移消防安全监控和处置关口。结合智慧城市建设，组织开展控制模块和系统研发，并完成技术测试工作。</w:t>
      </w:r>
    </w:p>
    <w:p>
      <w:pPr>
        <w:spacing w:before="190" w:after="190"/>
        <w:ind w:firstLine="560"/>
        <w:rPr>
          <w:rFonts w:ascii="宋体" w:hAnsi="宋体"/>
        </w:rPr>
      </w:pPr>
      <w:r>
        <w:rPr>
          <w:rFonts w:hint="eastAsia" w:ascii="宋体" w:hAnsi="宋体"/>
        </w:rPr>
        <w:t>规划近期，在消防安全重点单位普及应用物联网消防控制技术。加快独立式烟感火灾探测报警器和简易喷水灭火系统行业推广，广泛在养老院、福利院、残疾人服务机构、特困人员供养服务机构、幼儿园等老年人、残疾人和儿童建筑进行安装。完成社会福利机构推广应用，独立式烟感火灾探测报警器和简易喷水灭火系统的社会普及程度大幅提高，在此基础上探索研发报警监控平台，实现全社会联网监控。</w:t>
      </w:r>
    </w:p>
    <w:p>
      <w:pPr>
        <w:pStyle w:val="2"/>
        <w:numPr>
          <w:ilvl w:val="0"/>
          <w:numId w:val="3"/>
        </w:numPr>
        <w:spacing w:before="190" w:after="190"/>
        <w:ind w:firstLine="0"/>
        <w:jc w:val="center"/>
        <w:rPr>
          <w:rFonts w:ascii="宋体" w:hAnsi="宋体"/>
          <w:b/>
        </w:rPr>
        <w:sectPr>
          <w:pgSz w:w="11906" w:h="16838"/>
          <w:pgMar w:top="1440" w:right="1797" w:bottom="1440" w:left="1797" w:header="851" w:footer="992" w:gutter="0"/>
          <w:cols w:space="720" w:num="1"/>
          <w:docGrid w:type="lines" w:linePitch="381" w:charSpace="0"/>
        </w:sectPr>
      </w:pPr>
    </w:p>
    <w:p>
      <w:pPr>
        <w:pStyle w:val="2"/>
        <w:numPr>
          <w:ilvl w:val="0"/>
          <w:numId w:val="3"/>
        </w:numPr>
        <w:spacing w:before="190" w:after="190"/>
        <w:ind w:firstLine="0"/>
        <w:jc w:val="center"/>
        <w:rPr>
          <w:rFonts w:ascii="宋体" w:hAnsi="宋体"/>
          <w:b/>
        </w:rPr>
      </w:pPr>
      <w:bookmarkStart w:id="486" w:name="_Toc19831"/>
      <w:bookmarkStart w:id="487" w:name="_Toc31101"/>
      <w:bookmarkStart w:id="488" w:name="_Toc6648"/>
      <w:r>
        <w:rPr>
          <w:rFonts w:hint="eastAsia" w:ascii="宋体" w:hAnsi="宋体"/>
          <w:b/>
        </w:rPr>
        <w:t>消防给水规划</w:t>
      </w:r>
      <w:bookmarkEnd w:id="486"/>
      <w:bookmarkEnd w:id="487"/>
      <w:bookmarkEnd w:id="488"/>
    </w:p>
    <w:p>
      <w:pPr>
        <w:spacing w:before="190" w:after="190"/>
        <w:ind w:firstLine="560"/>
        <w:rPr>
          <w:rFonts w:ascii="宋体" w:hAnsi="宋体"/>
        </w:rPr>
      </w:pPr>
      <w:r>
        <w:rPr>
          <w:rFonts w:hint="eastAsia" w:ascii="宋体" w:hAnsi="宋体"/>
        </w:rPr>
        <w:t>根据《消防给水及消火栓系统技术规范》（GB 50974-2014）的有关规定，结合盐池县城市总体规划，城市消防用水量：近期按同一时间内的火灾次数2次，一次灭火用水量35L/s考虑，远期按同一时间内的火灾次数2次，一次灭火用水量45L/s考虑。</w:t>
      </w:r>
    </w:p>
    <w:p>
      <w:pPr>
        <w:pStyle w:val="3"/>
        <w:spacing w:before="190" w:after="190"/>
        <w:rPr>
          <w:rFonts w:ascii="宋体" w:hAnsi="宋体"/>
          <w:szCs w:val="32"/>
        </w:rPr>
      </w:pPr>
      <w:bookmarkStart w:id="489" w:name="_Toc29269"/>
      <w:bookmarkStart w:id="490" w:name="_Toc10221"/>
      <w:bookmarkStart w:id="491" w:name="_Toc23255"/>
      <w:r>
        <w:rPr>
          <w:rFonts w:hint="eastAsia" w:ascii="宋体" w:hAnsi="宋体"/>
          <w:szCs w:val="32"/>
        </w:rPr>
        <w:t>9.</w:t>
      </w:r>
      <w:r>
        <w:rPr>
          <w:rFonts w:ascii="宋体" w:hAnsi="宋体"/>
          <w:szCs w:val="32"/>
        </w:rPr>
        <w:t>1</w:t>
      </w:r>
      <w:r>
        <w:rPr>
          <w:rFonts w:hint="eastAsia" w:ascii="宋体" w:hAnsi="宋体"/>
          <w:szCs w:val="32"/>
        </w:rPr>
        <w:t>消防供水水源</w:t>
      </w:r>
      <w:bookmarkEnd w:id="489"/>
      <w:bookmarkEnd w:id="490"/>
      <w:bookmarkEnd w:id="491"/>
    </w:p>
    <w:p>
      <w:pPr>
        <w:spacing w:before="190" w:after="190"/>
        <w:ind w:firstLine="560"/>
        <w:rPr>
          <w:rFonts w:ascii="宋体" w:hAnsi="宋体"/>
        </w:rPr>
      </w:pPr>
      <w:r>
        <w:rPr>
          <w:rFonts w:hint="eastAsia" w:ascii="宋体" w:hAnsi="宋体"/>
        </w:rPr>
        <w:t>城市远期最高日用水量为 4.2 万立方米/日。居民生活及对水质要求较高的工业用水由城市供水管网统一供应，远期供水规模3.</w:t>
      </w:r>
      <w:r>
        <w:rPr>
          <w:rFonts w:ascii="宋体" w:hAnsi="宋体"/>
        </w:rPr>
        <w:t>0</w:t>
      </w:r>
      <w:r>
        <w:rPr>
          <w:rFonts w:hint="eastAsia" w:ascii="宋体" w:hAnsi="宋体"/>
        </w:rPr>
        <w:t>万立方米/日；道路、绿地浇洒用水、景观用水、洗车用水及对水质要求不高的工业用水等由规划再生水厂和再生水管网供应，远期再生水规模1.2万立方米/日。</w:t>
      </w:r>
    </w:p>
    <w:p>
      <w:pPr>
        <w:spacing w:before="190" w:after="190"/>
        <w:ind w:firstLine="560"/>
        <w:rPr>
          <w:rFonts w:ascii="宋体" w:hAnsi="宋体"/>
        </w:rPr>
      </w:pPr>
      <w:r>
        <w:rPr>
          <w:rFonts w:hint="eastAsia" w:ascii="宋体" w:hAnsi="宋体"/>
        </w:rPr>
        <w:t>规划供水水源是以供水以刘家沟水库和鸭子荡水库为主水源，骆驼井水源地为应急备用水源。</w:t>
      </w:r>
    </w:p>
    <w:p>
      <w:pPr>
        <w:pStyle w:val="3"/>
        <w:spacing w:before="190" w:after="190"/>
        <w:rPr>
          <w:rFonts w:ascii="宋体" w:hAnsi="宋体"/>
          <w:szCs w:val="32"/>
        </w:rPr>
      </w:pPr>
      <w:bookmarkStart w:id="492" w:name="_Toc25908"/>
      <w:bookmarkStart w:id="493" w:name="_Toc15793"/>
      <w:bookmarkStart w:id="494" w:name="_Toc2644"/>
      <w:r>
        <w:rPr>
          <w:rFonts w:hint="eastAsia" w:ascii="宋体" w:hAnsi="宋体"/>
          <w:szCs w:val="32"/>
        </w:rPr>
        <w:t>9.</w:t>
      </w:r>
      <w:r>
        <w:rPr>
          <w:rFonts w:ascii="宋体" w:hAnsi="宋体"/>
          <w:szCs w:val="32"/>
        </w:rPr>
        <w:t>2</w:t>
      </w:r>
      <w:r>
        <w:rPr>
          <w:rFonts w:hint="eastAsia" w:ascii="宋体" w:hAnsi="宋体"/>
          <w:szCs w:val="32"/>
        </w:rPr>
        <w:t>消防供水管网</w:t>
      </w:r>
      <w:bookmarkEnd w:id="492"/>
      <w:bookmarkEnd w:id="493"/>
      <w:bookmarkEnd w:id="494"/>
    </w:p>
    <w:p>
      <w:pPr>
        <w:spacing w:before="190" w:after="190"/>
        <w:ind w:firstLine="560"/>
        <w:rPr>
          <w:rFonts w:ascii="宋体" w:hAnsi="宋体"/>
        </w:rPr>
      </w:pPr>
      <w:r>
        <w:rPr>
          <w:rFonts w:hint="eastAsia" w:ascii="宋体" w:hAnsi="宋体"/>
        </w:rPr>
        <w:t>近年来，城市给水管网经过不断改造，城市供水的安全性和可靠性已进一步增强，但仍有部分地段给水管道未进行改造，部分市政消火栓压力仍达不到规范要求。</w:t>
      </w:r>
    </w:p>
    <w:p>
      <w:pPr>
        <w:spacing w:before="190" w:after="190"/>
        <w:ind w:firstLine="560"/>
        <w:rPr>
          <w:rFonts w:ascii="宋体" w:hAnsi="宋体"/>
        </w:rPr>
      </w:pPr>
      <w:r>
        <w:rPr>
          <w:rFonts w:hint="eastAsia" w:ascii="宋体" w:hAnsi="宋体"/>
        </w:rPr>
        <w:t>为保证城市消防供水的水量和水压要求。规划期内逐步改造和完善城区配水管网，使城区内配水主管网布置成环状，以提高供水保证率。应有计划地对老城区内部分老旧供水管道进行改造，改善部分地区水量、水压不足的问题，增加供水能力。城市消防供水管道与城市生产、生活给水管道合并使用，但在设计时应保证在生产用水和生活用水高峰时段，仍能供应全部消防用水量。</w:t>
      </w:r>
    </w:p>
    <w:p>
      <w:pPr>
        <w:spacing w:before="190" w:after="190"/>
        <w:ind w:firstLine="0" w:firstLineChars="0"/>
        <w:jc w:val="center"/>
        <w:rPr>
          <w:rFonts w:hint="eastAsia" w:ascii="宋体" w:hAnsi="宋体"/>
        </w:rPr>
      </w:pPr>
      <w:r>
        <w:rPr>
          <w:rFonts w:hint="eastAsia" w:ascii="宋体" w:hAnsi="宋体"/>
        </w:rPr>
        <w:drawing>
          <wp:inline distT="0" distB="0" distL="114300" distR="114300">
            <wp:extent cx="5351145" cy="3938270"/>
            <wp:effectExtent l="0" t="0" r="1905" b="5080"/>
            <wp:docPr id="15" name="图片 22" descr="14-城市消防供水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22" descr="14-城市消防供水规划图"/>
                    <pic:cNvPicPr>
                      <a:picLocks noChangeAspect="true"/>
                    </pic:cNvPicPr>
                  </pic:nvPicPr>
                  <pic:blipFill>
                    <a:blip r:embed="rId37"/>
                    <a:srcRect l="3629"/>
                    <a:stretch>
                      <a:fillRect/>
                    </a:stretch>
                  </pic:blipFill>
                  <pic:spPr>
                    <a:xfrm>
                      <a:off x="0" y="0"/>
                      <a:ext cx="5351145" cy="3938270"/>
                    </a:xfrm>
                    <a:prstGeom prst="rect">
                      <a:avLst/>
                    </a:prstGeom>
                    <a:noFill/>
                    <a:ln>
                      <a:noFill/>
                    </a:ln>
                  </pic:spPr>
                </pic:pic>
              </a:graphicData>
            </a:graphic>
          </wp:inline>
        </w:drawing>
      </w:r>
    </w:p>
    <w:p>
      <w:pPr>
        <w:pStyle w:val="3"/>
        <w:spacing w:before="190" w:after="190"/>
        <w:rPr>
          <w:rFonts w:ascii="宋体" w:hAnsi="宋体"/>
          <w:szCs w:val="32"/>
        </w:rPr>
      </w:pPr>
      <w:bookmarkStart w:id="495" w:name="_Toc13781"/>
      <w:bookmarkStart w:id="496" w:name="_Toc10544"/>
      <w:bookmarkStart w:id="497" w:name="_Toc27191"/>
      <w:r>
        <w:rPr>
          <w:rFonts w:hint="eastAsia" w:ascii="宋体" w:hAnsi="宋体"/>
          <w:szCs w:val="32"/>
        </w:rPr>
        <w:t>9.3市政消防栓</w:t>
      </w:r>
      <w:bookmarkEnd w:id="495"/>
      <w:bookmarkEnd w:id="496"/>
      <w:bookmarkEnd w:id="497"/>
    </w:p>
    <w:p>
      <w:pPr>
        <w:spacing w:before="190" w:after="190"/>
        <w:ind w:firstLine="560"/>
        <w:rPr>
          <w:rFonts w:ascii="宋体" w:hAnsi="宋体"/>
        </w:rPr>
      </w:pPr>
      <w:r>
        <w:rPr>
          <w:rFonts w:hint="eastAsia" w:ascii="宋体" w:hAnsi="宋体"/>
        </w:rPr>
        <w:t>新建城区、工业园区应按规定设置消火栓，结合旧城改造，对老城区消火栓损坏或应设而未设消火栓地段，维修、补足市政消火栓。对现状城市道路应分年度解决现有消火栓严重不足的问题，提高城市的消防能力，确保城市安全。规划期内消火栓建有率应达到100%，完好率达到98%。城市现状消火栓1</w:t>
      </w:r>
      <w:r>
        <w:rPr>
          <w:rFonts w:ascii="宋体" w:hAnsi="宋体"/>
        </w:rPr>
        <w:t>74个，规划新增</w:t>
      </w:r>
      <w:r>
        <w:rPr>
          <w:rFonts w:hint="eastAsia" w:ascii="宋体" w:hAnsi="宋体"/>
        </w:rPr>
        <w:t>消火栓7</w:t>
      </w:r>
      <w:r>
        <w:rPr>
          <w:rFonts w:ascii="宋体" w:hAnsi="宋体"/>
        </w:rPr>
        <w:t>80个，规划</w:t>
      </w:r>
      <w:r>
        <w:rPr>
          <w:rFonts w:hint="eastAsia" w:ascii="宋体" w:hAnsi="宋体"/>
        </w:rPr>
        <w:t>消火栓总数达到9</w:t>
      </w:r>
      <w:r>
        <w:rPr>
          <w:rFonts w:ascii="宋体" w:hAnsi="宋体"/>
        </w:rPr>
        <w:t>54个。</w:t>
      </w:r>
      <w:r>
        <w:rPr>
          <w:rFonts w:hint="eastAsia" w:ascii="宋体" w:hAnsi="宋体"/>
        </w:rPr>
        <w:t xml:space="preserve">根据《消防给水及消火栓系统技术规范》（GB 50974-2014），市政消火栓均采用地下式，采用直径DN150的室外消火栓，并应符合下列要求： </w:t>
      </w:r>
    </w:p>
    <w:p>
      <w:pPr>
        <w:spacing w:before="190" w:after="190"/>
        <w:ind w:firstLine="560"/>
        <w:rPr>
          <w:rFonts w:ascii="宋体" w:hAnsi="宋体"/>
        </w:rPr>
      </w:pPr>
      <w:r>
        <w:rPr>
          <w:rFonts w:hint="eastAsia" w:ascii="宋体" w:hAnsi="宋体"/>
        </w:rPr>
        <w:t>（1）市政消火栓宜在道路的一侧设置，并宜靠近十字路口，但当市政道路宽度超过60米时，应在道路的两侧交叉错落设置市政消火栓。</w:t>
      </w:r>
    </w:p>
    <w:p>
      <w:pPr>
        <w:spacing w:before="190" w:after="190"/>
        <w:ind w:firstLine="560"/>
        <w:rPr>
          <w:rFonts w:hint="eastAsia" w:ascii="宋体" w:hAnsi="宋体"/>
        </w:rPr>
      </w:pPr>
      <w:r>
        <w:rPr>
          <w:rFonts w:hint="eastAsia" w:ascii="宋体" w:hAnsi="宋体"/>
        </w:rPr>
        <w:t>（2）市政桥桥头和城市交通隧道出入口等市政公用设施处，应设置市政消火栓。</w:t>
      </w:r>
    </w:p>
    <w:p>
      <w:pPr>
        <w:spacing w:before="190" w:after="190"/>
        <w:ind w:firstLine="560"/>
        <w:rPr>
          <w:rFonts w:ascii="宋体" w:hAnsi="宋体"/>
        </w:rPr>
      </w:pPr>
      <w:r>
        <w:rPr>
          <w:rFonts w:hint="eastAsia" w:ascii="宋体" w:hAnsi="宋体"/>
        </w:rPr>
        <w:t>（3）市政消火栓应布置在消防车易于接近的人行道和绿地等地点，且不应妨碍交通，距路边不宜小于0.5米，并不应大于2.0米，距建筑外墙或外墙边缘不宜小于5.0米。</w:t>
      </w:r>
    </w:p>
    <w:p>
      <w:pPr>
        <w:spacing w:before="190" w:after="190"/>
        <w:ind w:firstLine="560"/>
        <w:rPr>
          <w:rFonts w:ascii="宋体" w:hAnsi="宋体"/>
        </w:rPr>
      </w:pPr>
      <w:r>
        <w:rPr>
          <w:rFonts w:hint="eastAsia" w:ascii="宋体" w:hAnsi="宋体"/>
        </w:rPr>
        <w:t>（4）当市政给水管网设有市政消火栓时，其平时运行工作压力不应小于0.14兆帕，火灾时水力最不利市政消火栓的出流量不应小于15升/秒，且供水圧力从地面算起不应小于0.10兆帕。</w:t>
      </w:r>
    </w:p>
    <w:p>
      <w:pPr>
        <w:spacing w:before="190" w:after="190"/>
        <w:ind w:firstLine="560"/>
        <w:rPr>
          <w:rFonts w:hint="eastAsia" w:ascii="宋体" w:hAnsi="宋体"/>
        </w:rPr>
      </w:pPr>
      <w:r>
        <w:rPr>
          <w:rFonts w:hint="eastAsia" w:ascii="宋体" w:hAnsi="宋体"/>
        </w:rPr>
        <w:t>（5）地下式市政消火栓应有明显的永久性标志，取水口在冰冻线以上时，应采取保温措施。</w:t>
      </w:r>
    </w:p>
    <w:p>
      <w:pPr>
        <w:spacing w:before="190" w:after="190"/>
        <w:ind w:firstLine="560"/>
        <w:rPr>
          <w:rFonts w:ascii="宋体" w:hAnsi="宋体"/>
        </w:rPr>
      </w:pPr>
      <w:r>
        <w:rPr>
          <w:rFonts w:hint="eastAsia" w:ascii="宋体" w:hAnsi="宋体"/>
        </w:rPr>
        <w:t>（6）市政消火栓的保护半径不应超过150米，间距不应大于120米。</w:t>
      </w:r>
    </w:p>
    <w:p>
      <w:pPr>
        <w:spacing w:before="0" w:beforeLines="0" w:after="0" w:afterLines="0"/>
        <w:ind w:firstLine="0" w:firstLineChars="0"/>
        <w:jc w:val="center"/>
        <w:rPr>
          <w:rFonts w:ascii="仿宋" w:hAnsi="仿宋" w:eastAsia="仿宋"/>
          <w:b/>
          <w:bCs/>
          <w:sz w:val="24"/>
        </w:rPr>
      </w:pPr>
      <w:r>
        <w:rPr>
          <w:rFonts w:hint="eastAsia" w:ascii="仿宋" w:hAnsi="仿宋" w:eastAsia="仿宋"/>
          <w:b/>
          <w:bCs/>
          <w:sz w:val="24"/>
        </w:rPr>
        <w:t>市政消火栓规划一览表</w:t>
      </w:r>
    </w:p>
    <w:tbl>
      <w:tblPr>
        <w:tblStyle w:val="10"/>
        <w:tblW w:w="4878"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A8D08D"/>
        <w:tblLayout w:type="autofit"/>
        <w:tblCellMar>
          <w:top w:w="0" w:type="dxa"/>
          <w:left w:w="108" w:type="dxa"/>
          <w:bottom w:w="0" w:type="dxa"/>
          <w:right w:w="108" w:type="dxa"/>
        </w:tblCellMar>
      </w:tblPr>
      <w:tblGrid>
        <w:gridCol w:w="602"/>
        <w:gridCol w:w="1931"/>
        <w:gridCol w:w="1929"/>
        <w:gridCol w:w="1929"/>
        <w:gridCol w:w="1929"/>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454" w:hRule="atLeast"/>
          <w:jc w:val="center"/>
        </w:trPr>
        <w:tc>
          <w:tcPr>
            <w:tcW w:w="36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辖区</w:t>
            </w:r>
          </w:p>
        </w:tc>
        <w:tc>
          <w:tcPr>
            <w:tcW w:w="1160"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现状道路总长度</w:t>
            </w:r>
          </w:p>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（公里）</w:t>
            </w:r>
          </w:p>
        </w:tc>
        <w:tc>
          <w:tcPr>
            <w:tcW w:w="1159"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现状消火栓数量</w:t>
            </w:r>
          </w:p>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（个）</w:t>
            </w:r>
          </w:p>
        </w:tc>
        <w:tc>
          <w:tcPr>
            <w:tcW w:w="1159"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规划道路总长度</w:t>
            </w:r>
          </w:p>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（公里）</w:t>
            </w:r>
          </w:p>
        </w:tc>
        <w:tc>
          <w:tcPr>
            <w:tcW w:w="1159"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规划消火栓数量</w:t>
            </w:r>
          </w:p>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（个）</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shd w:val="clear" w:color="auto" w:fill="A8D08D"/>
          <w:tblCellMar>
            <w:top w:w="0" w:type="dxa"/>
            <w:left w:w="108" w:type="dxa"/>
            <w:bottom w:w="0" w:type="dxa"/>
            <w:right w:w="108" w:type="dxa"/>
          </w:tblCellMar>
        </w:tblPrEx>
        <w:trPr>
          <w:trHeight w:val="454" w:hRule="atLeast"/>
          <w:jc w:val="center"/>
        </w:trPr>
        <w:tc>
          <w:tcPr>
            <w:tcW w:w="36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shd w:val="clear" w:color="auto" w:fill="E2EFD9"/>
              </w:rPr>
            </w:pPr>
            <w:r>
              <w:rPr>
                <w:rFonts w:hint="eastAsia" w:ascii="仿宋" w:hAnsi="仿宋" w:eastAsia="仿宋" w:cs="Calibri"/>
                <w:bCs/>
                <w:color w:val="000000"/>
                <w:sz w:val="24"/>
                <w:shd w:val="clear" w:color="auto" w:fill="E2EFD9"/>
              </w:rPr>
              <w:t>城区</w:t>
            </w:r>
          </w:p>
        </w:tc>
        <w:tc>
          <w:tcPr>
            <w:tcW w:w="1160"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shd w:val="clear" w:color="auto" w:fill="E2EFD9"/>
              </w:rPr>
            </w:pPr>
            <w:r>
              <w:rPr>
                <w:rFonts w:hint="eastAsia" w:ascii="仿宋" w:hAnsi="仿宋" w:eastAsia="仿宋" w:cs="Calibri"/>
                <w:color w:val="000000"/>
                <w:sz w:val="24"/>
                <w:shd w:val="clear" w:color="auto" w:fill="E2EFD9"/>
              </w:rPr>
              <w:t>80.69</w:t>
            </w:r>
          </w:p>
        </w:tc>
        <w:tc>
          <w:tcPr>
            <w:tcW w:w="115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shd w:val="clear" w:color="auto" w:fill="E2EFD9"/>
              </w:rPr>
            </w:pPr>
            <w:r>
              <w:rPr>
                <w:rFonts w:hint="eastAsia" w:ascii="仿宋" w:hAnsi="仿宋" w:eastAsia="仿宋" w:cs="Calibri"/>
                <w:color w:val="000000"/>
                <w:sz w:val="24"/>
                <w:shd w:val="clear" w:color="auto" w:fill="E2EFD9"/>
              </w:rPr>
              <w:t>174</w:t>
            </w:r>
          </w:p>
        </w:tc>
        <w:tc>
          <w:tcPr>
            <w:tcW w:w="115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shd w:val="clear" w:color="auto" w:fill="E2EFD9"/>
              </w:rPr>
            </w:pPr>
            <w:r>
              <w:rPr>
                <w:rFonts w:hint="eastAsia" w:ascii="仿宋" w:hAnsi="仿宋" w:eastAsia="仿宋" w:cs="Calibri"/>
                <w:color w:val="000000"/>
                <w:sz w:val="24"/>
                <w:shd w:val="clear" w:color="auto" w:fill="E2EFD9"/>
              </w:rPr>
              <w:t>114.56</w:t>
            </w:r>
          </w:p>
        </w:tc>
        <w:tc>
          <w:tcPr>
            <w:tcW w:w="1159"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color w:val="000000"/>
                <w:sz w:val="24"/>
                <w:shd w:val="clear" w:color="auto" w:fill="E2EFD9"/>
              </w:rPr>
            </w:pPr>
            <w:r>
              <w:rPr>
                <w:rFonts w:hint="eastAsia" w:ascii="仿宋" w:hAnsi="仿宋" w:eastAsia="仿宋" w:cs="Calibri"/>
                <w:color w:val="000000"/>
                <w:sz w:val="24"/>
                <w:shd w:val="clear" w:color="auto" w:fill="E2EFD9"/>
              </w:rPr>
              <w:t>954</w:t>
            </w:r>
          </w:p>
        </w:tc>
      </w:tr>
    </w:tbl>
    <w:p>
      <w:pPr>
        <w:pStyle w:val="3"/>
        <w:spacing w:before="190" w:after="190"/>
        <w:rPr>
          <w:rFonts w:ascii="宋体" w:hAnsi="宋体"/>
          <w:szCs w:val="32"/>
        </w:rPr>
      </w:pPr>
      <w:bookmarkStart w:id="498" w:name="_Toc8003"/>
      <w:bookmarkStart w:id="499" w:name="_Toc23868"/>
      <w:bookmarkStart w:id="500" w:name="_Toc1180"/>
      <w:r>
        <w:rPr>
          <w:rFonts w:hint="eastAsia" w:ascii="宋体" w:hAnsi="宋体"/>
          <w:szCs w:val="32"/>
        </w:rPr>
        <w:t>9.4消防水鹤</w:t>
      </w:r>
      <w:bookmarkEnd w:id="498"/>
      <w:bookmarkEnd w:id="499"/>
      <w:bookmarkEnd w:id="500"/>
    </w:p>
    <w:p>
      <w:pPr>
        <w:spacing w:before="190" w:after="190"/>
        <w:ind w:firstLine="560"/>
        <w:rPr>
          <w:rFonts w:ascii="宋体" w:hAnsi="宋体"/>
        </w:rPr>
      </w:pPr>
      <w:r>
        <w:rPr>
          <w:rFonts w:hint="eastAsia" w:ascii="宋体" w:hAnsi="宋体"/>
        </w:rPr>
        <w:t>消防水鹤能为迅速扑救特大火灾及时提供水源，尤其在北方寒冷地区，能快速有效地为消防车补水。盐池属北方寒冷地区，宜增设消防水鹤，在城市主要干道上设置消防水鹤的布置间距宜为1000米，连接消防水鹤的市政给水管的管径不宜小于200毫米，火灾时消防水鹤的出流量不应低于30升/秒，且供水圧力从地面起算不应小于0.10兆帕。</w:t>
      </w:r>
    </w:p>
    <w:p>
      <w:pPr>
        <w:spacing w:before="190" w:after="190"/>
        <w:ind w:firstLine="560"/>
        <w:rPr>
          <w:rFonts w:ascii="宋体" w:hAnsi="宋体"/>
        </w:rPr>
      </w:pPr>
      <w:r>
        <w:rPr>
          <w:rFonts w:hint="eastAsia" w:ascii="宋体" w:hAnsi="宋体"/>
        </w:rPr>
        <w:t>规划按照服务半径不宜大于1000米的规范要求，共设置消防水鹤9处，其中现状3处、新增6处。</w:t>
      </w:r>
    </w:p>
    <w:p>
      <w:pPr>
        <w:spacing w:before="190" w:after="190"/>
        <w:ind w:firstLine="0" w:firstLineChars="0"/>
        <w:rPr>
          <w:rFonts w:ascii="宋体" w:hAnsi="宋体"/>
        </w:rPr>
      </w:pPr>
      <w:r>
        <w:rPr>
          <w:rFonts w:hint="eastAsia" w:ascii="宋体" w:hAnsi="宋体"/>
        </w:rPr>
        <w:drawing>
          <wp:inline distT="0" distB="0" distL="114300" distR="114300">
            <wp:extent cx="5569585" cy="3938270"/>
            <wp:effectExtent l="0" t="0" r="12065" b="5080"/>
            <wp:docPr id="16" name="图片 23" descr="15-消防水鹤布局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3" descr="15-消防水鹤布局规划图"/>
                    <pic:cNvPicPr>
                      <a:picLocks noChangeAspect="true"/>
                    </pic:cNvPicPr>
                  </pic:nvPicPr>
                  <pic:blipFill>
                    <a:blip r:embed="rId38"/>
                    <a:stretch>
                      <a:fillRect/>
                    </a:stretch>
                  </pic:blipFill>
                  <pic:spPr>
                    <a:xfrm>
                      <a:off x="0" y="0"/>
                      <a:ext cx="5569585" cy="3938270"/>
                    </a:xfrm>
                    <a:prstGeom prst="rect">
                      <a:avLst/>
                    </a:prstGeom>
                    <a:noFill/>
                    <a:ln>
                      <a:noFill/>
                    </a:ln>
                  </pic:spPr>
                </pic:pic>
              </a:graphicData>
            </a:graphic>
          </wp:inline>
        </w:drawing>
      </w:r>
    </w:p>
    <w:p>
      <w:pPr>
        <w:pStyle w:val="3"/>
        <w:spacing w:before="190" w:after="190"/>
        <w:rPr>
          <w:rFonts w:ascii="宋体" w:hAnsi="宋体"/>
          <w:szCs w:val="32"/>
        </w:rPr>
      </w:pPr>
      <w:bookmarkStart w:id="501" w:name="_Toc13051"/>
      <w:bookmarkStart w:id="502" w:name="_Toc1389"/>
      <w:bookmarkStart w:id="503" w:name="_Toc12850"/>
      <w:r>
        <w:rPr>
          <w:rFonts w:hint="eastAsia" w:ascii="宋体" w:hAnsi="宋体"/>
          <w:szCs w:val="32"/>
        </w:rPr>
        <w:t>9.5消防应急、备用水源</w:t>
      </w:r>
      <w:bookmarkEnd w:id="501"/>
      <w:bookmarkEnd w:id="502"/>
      <w:bookmarkEnd w:id="503"/>
    </w:p>
    <w:p>
      <w:pPr>
        <w:spacing w:before="190" w:after="190"/>
        <w:ind w:firstLine="560"/>
        <w:rPr>
          <w:rFonts w:ascii="宋体" w:hAnsi="宋体"/>
        </w:rPr>
      </w:pPr>
      <w:r>
        <w:rPr>
          <w:rFonts w:hint="eastAsia" w:ascii="宋体" w:hAnsi="宋体"/>
        </w:rPr>
        <w:t>重视利用地表水源作为城市消防应急、备用水源，可多渠道、全方位保障消防供水。根据盐池县城市周边地表水源现状及利用的可行性，规划将城市饮马湖、虎胜墩水库作为城市消防备用水源，在其适当位置规划取水口，设置明显标志，严禁占用和堆放物品。配合市政、园林绿化建设，布置一些水景储水池（消防水池），切实提高城市抗御重特大火灾的能力。</w:t>
      </w:r>
    </w:p>
    <w:p>
      <w:pPr>
        <w:pStyle w:val="2"/>
        <w:numPr>
          <w:ilvl w:val="0"/>
          <w:numId w:val="3"/>
        </w:numPr>
        <w:spacing w:before="190" w:after="190"/>
        <w:ind w:firstLine="0"/>
        <w:jc w:val="center"/>
        <w:rPr>
          <w:rFonts w:ascii="宋体" w:hAnsi="宋体"/>
          <w:b/>
        </w:rPr>
      </w:pPr>
      <w:bookmarkStart w:id="504" w:name="_Toc2060"/>
      <w:bookmarkStart w:id="505" w:name="_Toc29263"/>
      <w:bookmarkStart w:id="506" w:name="_Toc8704"/>
      <w:r>
        <w:rPr>
          <w:rFonts w:hint="eastAsia" w:ascii="宋体" w:hAnsi="宋体"/>
          <w:b/>
        </w:rPr>
        <w:t>消防通道规划</w:t>
      </w:r>
      <w:bookmarkEnd w:id="504"/>
      <w:bookmarkEnd w:id="505"/>
      <w:bookmarkEnd w:id="506"/>
    </w:p>
    <w:p>
      <w:pPr>
        <w:pStyle w:val="3"/>
        <w:spacing w:before="190" w:after="190"/>
        <w:rPr>
          <w:rFonts w:ascii="宋体" w:hAnsi="宋体"/>
          <w:szCs w:val="32"/>
        </w:rPr>
      </w:pPr>
      <w:bookmarkStart w:id="507" w:name="_Toc30216"/>
      <w:bookmarkStart w:id="508" w:name="_Toc22990"/>
      <w:bookmarkStart w:id="509" w:name="_Toc18391"/>
      <w:r>
        <w:rPr>
          <w:rFonts w:hint="eastAsia" w:ascii="宋体" w:hAnsi="宋体"/>
          <w:szCs w:val="32"/>
        </w:rPr>
        <w:t>10.1消防通道规划</w:t>
      </w:r>
      <w:bookmarkEnd w:id="507"/>
      <w:bookmarkEnd w:id="508"/>
      <w:bookmarkEnd w:id="509"/>
    </w:p>
    <w:p>
      <w:pPr>
        <w:spacing w:before="190" w:after="190"/>
        <w:ind w:firstLine="560"/>
        <w:rPr>
          <w:rFonts w:ascii="宋体" w:hAnsi="宋体"/>
        </w:rPr>
      </w:pPr>
      <w:r>
        <w:rPr>
          <w:rFonts w:hint="eastAsia" w:ascii="宋体" w:hAnsi="宋体"/>
        </w:rPr>
        <w:t>消防通道是指在发生火灾时，保证消防车辆和消防队队员及时到达火灾现场，进行扑救以及疏散人员、物资的通道。</w:t>
      </w:r>
    </w:p>
    <w:p>
      <w:pPr>
        <w:spacing w:before="190" w:after="190"/>
        <w:ind w:firstLine="560"/>
        <w:rPr>
          <w:rFonts w:ascii="宋体" w:hAnsi="宋体"/>
        </w:rPr>
      </w:pPr>
      <w:r>
        <w:rPr>
          <w:rFonts w:hint="eastAsia" w:ascii="宋体" w:hAnsi="宋体"/>
        </w:rPr>
        <w:t>规划消防车通道主要依托城市道路网络系统，由城市各级道路、居住区和企事业单位内部道路、建筑物消防车通道以及用于自然或人工水源取水的消防车通道等组成。城市各级道路应建设成环状，尽可能减少尽端路的设置。城市居住区和企事业单位内部道路应考虑城市综合防灾救灾和避难疏散的需要，满足消防车通行的要求。</w:t>
      </w:r>
    </w:p>
    <w:p>
      <w:pPr>
        <w:spacing w:before="190" w:after="190"/>
        <w:ind w:firstLine="560"/>
        <w:rPr>
          <w:rFonts w:ascii="宋体" w:hAnsi="宋体"/>
        </w:rPr>
      </w:pPr>
      <w:r>
        <w:rPr>
          <w:rFonts w:hint="eastAsia" w:ascii="宋体" w:hAnsi="宋体"/>
        </w:rPr>
        <w:t>本次城市消防通道规划分三个等级：</w:t>
      </w:r>
    </w:p>
    <w:p>
      <w:pPr>
        <w:spacing w:before="190" w:after="190"/>
        <w:ind w:firstLine="560"/>
        <w:rPr>
          <w:rFonts w:ascii="宋体" w:hAnsi="宋体"/>
        </w:rPr>
      </w:pPr>
      <w:r>
        <w:rPr>
          <w:rFonts w:hint="eastAsia" w:ascii="宋体" w:hAnsi="宋体"/>
        </w:rPr>
        <w:t>一级消防通道、二级消防通道、三级消防通道。</w:t>
      </w:r>
    </w:p>
    <w:p>
      <w:pPr>
        <w:spacing w:before="190" w:after="190"/>
        <w:ind w:firstLine="560"/>
        <w:rPr>
          <w:rFonts w:ascii="宋体" w:hAnsi="宋体"/>
        </w:rPr>
      </w:pPr>
      <w:r>
        <w:rPr>
          <w:rFonts w:hint="eastAsia" w:ascii="宋体" w:hAnsi="宋体"/>
        </w:rPr>
        <w:t>（1）一级消防通道</w:t>
      </w:r>
    </w:p>
    <w:p>
      <w:pPr>
        <w:spacing w:before="190" w:after="190"/>
        <w:ind w:firstLine="560"/>
        <w:rPr>
          <w:rFonts w:ascii="宋体" w:hAnsi="宋体"/>
        </w:rPr>
      </w:pPr>
      <w:r>
        <w:rPr>
          <w:rFonts w:hint="eastAsia" w:ascii="宋体" w:hAnsi="宋体"/>
        </w:rPr>
        <w:t>高速公路、国省道公路、城市主干路（连接各组团的城市主干路），设计行驶速度为40—60公里小时以上。</w:t>
      </w:r>
    </w:p>
    <w:p>
      <w:pPr>
        <w:spacing w:before="190" w:after="190"/>
        <w:ind w:firstLine="560"/>
        <w:rPr>
          <w:rFonts w:ascii="宋体" w:hAnsi="宋体"/>
        </w:rPr>
      </w:pPr>
      <w:r>
        <w:rPr>
          <w:rFonts w:hint="eastAsia" w:ascii="宋体" w:hAnsi="宋体"/>
        </w:rPr>
        <w:t>（2）二级消防通道</w:t>
      </w:r>
    </w:p>
    <w:p>
      <w:pPr>
        <w:spacing w:before="190" w:after="190"/>
        <w:ind w:firstLine="560"/>
        <w:rPr>
          <w:rFonts w:ascii="宋体" w:hAnsi="宋体"/>
        </w:rPr>
      </w:pPr>
      <w:r>
        <w:rPr>
          <w:rFonts w:hint="eastAsia" w:ascii="宋体" w:hAnsi="宋体"/>
        </w:rPr>
        <w:t>城市主干路（各组团内部主干路），城市次干路、城市支路。</w:t>
      </w:r>
    </w:p>
    <w:p>
      <w:pPr>
        <w:spacing w:before="190" w:after="190"/>
        <w:ind w:firstLine="560"/>
        <w:rPr>
          <w:rFonts w:ascii="宋体" w:hAnsi="宋体"/>
        </w:rPr>
      </w:pPr>
      <w:r>
        <w:rPr>
          <w:rFonts w:hint="eastAsia" w:ascii="宋体" w:hAnsi="宋体"/>
        </w:rPr>
        <w:t>（3）三级消防通道</w:t>
      </w:r>
    </w:p>
    <w:p>
      <w:pPr>
        <w:spacing w:before="190" w:after="190"/>
        <w:ind w:firstLine="560"/>
        <w:rPr>
          <w:rFonts w:ascii="宋体" w:hAnsi="宋体"/>
        </w:rPr>
      </w:pPr>
      <w:r>
        <w:rPr>
          <w:rFonts w:hint="eastAsia" w:ascii="宋体" w:hAnsi="宋体"/>
        </w:rPr>
        <w:t>居住区、小区、组团内部道路。</w:t>
      </w:r>
    </w:p>
    <w:p>
      <w:pPr>
        <w:spacing w:before="190" w:after="190"/>
        <w:ind w:firstLine="560"/>
        <w:rPr>
          <w:rFonts w:ascii="宋体" w:hAnsi="宋体"/>
        </w:rPr>
      </w:pPr>
      <w:r>
        <w:rPr>
          <w:rFonts w:hint="eastAsia" w:ascii="宋体" w:hAnsi="宋体"/>
        </w:rPr>
        <w:t>消防车通道的技术指标应符合下列要求：</w:t>
      </w:r>
    </w:p>
    <w:p>
      <w:pPr>
        <w:spacing w:before="190" w:after="190"/>
        <w:ind w:firstLine="560"/>
        <w:rPr>
          <w:rFonts w:hint="eastAsia" w:ascii="宋体" w:hAnsi="宋体"/>
        </w:rPr>
      </w:pPr>
      <w:r>
        <w:rPr>
          <w:rFonts w:hint="eastAsia" w:ascii="宋体" w:hAnsi="宋体"/>
        </w:rPr>
        <w:t>（1）街区内供消防车通行的道路中心线间距不宜超过160米，当建筑物的沿街部分长度超过150米或总长度超过220米时，宜设置穿过建筑物的消防车通道；消防车通道净宽度和净空高度不应低于4米，与建筑外墙宜大于5米。</w:t>
      </w:r>
    </w:p>
    <w:p>
      <w:pPr>
        <w:spacing w:before="190" w:after="190"/>
        <w:ind w:firstLine="560"/>
        <w:rPr>
          <w:rFonts w:hint="eastAsia" w:ascii="宋体" w:hAnsi="宋体"/>
        </w:rPr>
      </w:pPr>
      <w:r>
        <w:rPr>
          <w:rFonts w:hint="eastAsia" w:ascii="宋体" w:hAnsi="宋体"/>
        </w:rPr>
        <w:t>（2）石油化工区的生产工艺装置、储罐区等处的消防车通道宽度不应小于6米，路面上净空高度不应低于5m，路面内缘转弯半径不宜小于12米。</w:t>
      </w:r>
    </w:p>
    <w:p>
      <w:pPr>
        <w:spacing w:before="190" w:after="190"/>
        <w:ind w:firstLine="560"/>
        <w:rPr>
          <w:rFonts w:hint="eastAsia" w:ascii="宋体" w:hAnsi="宋体"/>
        </w:rPr>
      </w:pPr>
      <w:r>
        <w:rPr>
          <w:rFonts w:hint="eastAsia" w:ascii="宋体" w:hAnsi="宋体"/>
        </w:rPr>
        <w:t>（3）消防车通道的坡度不应影响消防车的安全行驶、停靠、作业等，举高消防车停留作业场地的坡度不宜大于3%。</w:t>
      </w:r>
    </w:p>
    <w:p>
      <w:pPr>
        <w:spacing w:before="190" w:after="190"/>
        <w:ind w:firstLine="560"/>
        <w:rPr>
          <w:rFonts w:hint="eastAsia" w:ascii="宋体" w:hAnsi="宋体"/>
        </w:rPr>
      </w:pPr>
      <w:r>
        <w:rPr>
          <w:rFonts w:hint="eastAsia" w:ascii="宋体" w:hAnsi="宋体"/>
        </w:rPr>
        <w:t>（4）消防车通道的回车场地面积不应小于12米×12米，高层民用建筑消防车回车场地面积不宜小于15米×15米，供大型消防车使用的回车场地面积不宜小于18米×18米。</w:t>
      </w:r>
    </w:p>
    <w:p>
      <w:pPr>
        <w:spacing w:before="190" w:after="190"/>
        <w:ind w:firstLine="560"/>
        <w:rPr>
          <w:rFonts w:ascii="宋体" w:hAnsi="宋体"/>
        </w:rPr>
      </w:pPr>
      <w:r>
        <w:rPr>
          <w:rFonts w:hint="eastAsia" w:ascii="宋体" w:hAnsi="宋体"/>
        </w:rPr>
        <w:t>（5）消防车通道下的管道和暗沟等应能承受大型消防车辆的荷载，具体荷载指标应满足能承受规划区域内配置的最大型消防车辆的重量。</w:t>
      </w:r>
    </w:p>
    <w:p>
      <w:pPr>
        <w:pStyle w:val="3"/>
        <w:spacing w:before="190" w:after="190"/>
        <w:rPr>
          <w:rFonts w:ascii="宋体" w:hAnsi="宋体"/>
          <w:szCs w:val="32"/>
        </w:rPr>
      </w:pPr>
      <w:bookmarkStart w:id="510" w:name="_Toc26956"/>
      <w:bookmarkStart w:id="511" w:name="_Toc21568"/>
      <w:bookmarkStart w:id="512" w:name="_Toc25727"/>
      <w:r>
        <w:rPr>
          <w:rFonts w:hint="eastAsia" w:ascii="宋体" w:hAnsi="宋体"/>
          <w:szCs w:val="32"/>
        </w:rPr>
        <w:t>10.2危险品运输路线规划</w:t>
      </w:r>
      <w:bookmarkEnd w:id="510"/>
      <w:bookmarkEnd w:id="511"/>
      <w:bookmarkEnd w:id="512"/>
    </w:p>
    <w:p>
      <w:pPr>
        <w:spacing w:before="190" w:after="190"/>
        <w:ind w:firstLine="560"/>
        <w:rPr>
          <w:rFonts w:ascii="宋体" w:hAnsi="宋体"/>
        </w:rPr>
      </w:pPr>
      <w:r>
        <w:rPr>
          <w:rFonts w:hint="eastAsia" w:ascii="宋体" w:hAnsi="宋体"/>
        </w:rPr>
        <w:t>生产用剧毒、易燃易爆物品的运输，由其主管销售、运输部门，根据交通运输流量、季节、上下班高峰和有关重大事项，限定时间按指定路线运输，必要时由有关部门实行押运。生活用小批量易燃易爆气体、液体（不含易燃易爆炸品），在市内应避开交通高峰和高温时段，具体办法由危险品运输管理部门制定实施。</w:t>
      </w:r>
    </w:p>
    <w:p>
      <w:pPr>
        <w:spacing w:before="190" w:after="190"/>
        <w:ind w:firstLine="560"/>
        <w:rPr>
          <w:rFonts w:hint="eastAsia" w:ascii="宋体" w:hAnsi="宋体"/>
        </w:rPr>
      </w:pPr>
      <w:r>
        <w:rPr>
          <w:rFonts w:hint="eastAsia" w:ascii="宋体" w:hAnsi="宋体"/>
        </w:rPr>
        <w:t>生产用易燃易爆原料，一般不宜进入城市中心区，特殊情况由危险品运输管理部门审定路线和通行时间段，市区内应避开交通高峰。</w:t>
      </w:r>
    </w:p>
    <w:p>
      <w:pPr>
        <w:spacing w:before="190" w:after="190"/>
        <w:ind w:firstLine="560"/>
        <w:rPr>
          <w:rFonts w:ascii="宋体" w:hAnsi="宋体"/>
        </w:rPr>
      </w:pPr>
      <w:r>
        <w:rPr>
          <w:rFonts w:hint="eastAsia" w:ascii="宋体" w:hAnsi="宋体"/>
        </w:rPr>
        <w:t>（1）危险品运输路线</w:t>
      </w:r>
    </w:p>
    <w:p>
      <w:pPr>
        <w:spacing w:before="190" w:after="190"/>
        <w:ind w:firstLine="560"/>
        <w:rPr>
          <w:rFonts w:ascii="宋体" w:hAnsi="宋体"/>
        </w:rPr>
      </w:pPr>
      <w:r>
        <w:rPr>
          <w:rFonts w:hint="eastAsia" w:ascii="宋体" w:hAnsi="宋体"/>
        </w:rPr>
        <w:t>危险品运输路线一：外围公路和环城道路，主要担负危险品绕城运输任务，可快速疏散危险品，减少其在城区停留时间，避免运输穿越城市主要建成区。危险品运输路线一由青银高速、307国道、五原南路、凝萃路、东二环路等组成。</w:t>
      </w:r>
    </w:p>
    <w:p>
      <w:pPr>
        <w:spacing w:before="190" w:after="190"/>
        <w:ind w:firstLine="560"/>
        <w:rPr>
          <w:rFonts w:ascii="宋体" w:hAnsi="宋体"/>
        </w:rPr>
      </w:pPr>
      <w:r>
        <w:rPr>
          <w:rFonts w:hint="eastAsia" w:ascii="宋体" w:hAnsi="宋体"/>
        </w:rPr>
        <w:t>危险品运输路线二：市区内危险品运输线路，主要担负危险性相对较低的油品、燃气等城市居民生产、生活的必需品运输，并尽可能避开城市商业办公、居住人口稠密地带等重点消防保护地区。危险品运输路线二由东顺街、民族东街等组成。</w:t>
      </w:r>
    </w:p>
    <w:p>
      <w:pPr>
        <w:spacing w:before="190" w:after="190"/>
        <w:ind w:firstLine="560"/>
        <w:rPr>
          <w:rFonts w:ascii="宋体" w:hAnsi="宋体"/>
        </w:rPr>
      </w:pPr>
      <w:r>
        <w:rPr>
          <w:rFonts w:hint="eastAsia" w:ascii="宋体" w:hAnsi="宋体"/>
        </w:rPr>
        <w:t>（2）危险品运输时间</w:t>
      </w:r>
    </w:p>
    <w:p>
      <w:pPr>
        <w:spacing w:before="190" w:after="190"/>
        <w:ind w:firstLine="560"/>
        <w:rPr>
          <w:rFonts w:ascii="宋体" w:hAnsi="宋体"/>
        </w:rPr>
      </w:pPr>
      <w:r>
        <w:rPr>
          <w:rFonts w:hint="eastAsia" w:ascii="宋体" w:hAnsi="宋体"/>
        </w:rPr>
        <w:t>为确保危险品过境运输的安全性，规划运输车辆应避开高峰时段，运输时间为：</w:t>
      </w:r>
    </w:p>
    <w:p>
      <w:pPr>
        <w:spacing w:before="190" w:after="190"/>
        <w:ind w:firstLine="560"/>
        <w:rPr>
          <w:rFonts w:ascii="宋体" w:hAnsi="宋体"/>
        </w:rPr>
      </w:pPr>
      <w:r>
        <w:rPr>
          <w:rFonts w:hint="eastAsia" w:ascii="宋体" w:hAnsi="宋体"/>
        </w:rPr>
        <w:t>危险品运输路线一：</w:t>
      </w:r>
    </w:p>
    <w:p>
      <w:pPr>
        <w:spacing w:before="190" w:after="190"/>
        <w:ind w:firstLine="560"/>
        <w:rPr>
          <w:rFonts w:ascii="宋体" w:hAnsi="宋体"/>
        </w:rPr>
      </w:pPr>
      <w:r>
        <w:rPr>
          <w:rFonts w:hint="eastAsia" w:ascii="宋体" w:hAnsi="宋体"/>
        </w:rPr>
        <w:t>（20:00—7:00）和（10:00—15:00）</w:t>
      </w:r>
    </w:p>
    <w:p>
      <w:pPr>
        <w:spacing w:before="190" w:after="190"/>
        <w:ind w:firstLine="560"/>
        <w:rPr>
          <w:rFonts w:ascii="宋体" w:hAnsi="宋体"/>
        </w:rPr>
      </w:pPr>
      <w:r>
        <w:rPr>
          <w:rFonts w:hint="eastAsia" w:ascii="宋体" w:hAnsi="宋体"/>
        </w:rPr>
        <w:t>危险品运输路线二：</w:t>
      </w:r>
    </w:p>
    <w:p>
      <w:pPr>
        <w:spacing w:before="190" w:after="190"/>
        <w:ind w:firstLine="560"/>
        <w:rPr>
          <w:rFonts w:ascii="宋体" w:hAnsi="宋体"/>
        </w:rPr>
      </w:pPr>
      <w:r>
        <w:rPr>
          <w:rFonts w:hint="eastAsia" w:ascii="宋体" w:hAnsi="宋体"/>
        </w:rPr>
        <w:t>（22:00—7:00）</w:t>
      </w:r>
    </w:p>
    <w:p>
      <w:pPr>
        <w:pStyle w:val="3"/>
        <w:spacing w:before="190" w:after="190"/>
        <w:rPr>
          <w:rFonts w:ascii="宋体" w:hAnsi="宋体"/>
          <w:szCs w:val="32"/>
        </w:rPr>
      </w:pPr>
      <w:bookmarkStart w:id="513" w:name="_Toc18670"/>
      <w:bookmarkStart w:id="514" w:name="_Toc25602"/>
      <w:bookmarkStart w:id="515" w:name="_Toc5845"/>
      <w:r>
        <w:rPr>
          <w:rFonts w:hint="eastAsia" w:ascii="宋体" w:hAnsi="宋体"/>
          <w:szCs w:val="32"/>
        </w:rPr>
        <w:t>10.3消防通道规划措施</w:t>
      </w:r>
      <w:bookmarkEnd w:id="513"/>
      <w:bookmarkEnd w:id="514"/>
      <w:bookmarkEnd w:id="515"/>
    </w:p>
    <w:p>
      <w:pPr>
        <w:spacing w:before="190" w:after="190"/>
        <w:ind w:firstLine="560"/>
        <w:rPr>
          <w:rFonts w:ascii="宋体" w:hAnsi="宋体"/>
        </w:rPr>
      </w:pPr>
      <w:r>
        <w:rPr>
          <w:rFonts w:hint="eastAsia" w:ascii="宋体" w:hAnsi="宋体"/>
        </w:rPr>
        <w:t>（1）城市道路设施</w:t>
      </w:r>
    </w:p>
    <w:p>
      <w:pPr>
        <w:spacing w:before="190" w:after="190"/>
        <w:ind w:firstLine="560"/>
        <w:rPr>
          <w:rFonts w:ascii="宋体" w:hAnsi="宋体"/>
        </w:rPr>
      </w:pPr>
      <w:r>
        <w:rPr>
          <w:rFonts w:hint="eastAsia" w:ascii="宋体" w:hAnsi="宋体"/>
        </w:rPr>
        <w:t>完善城市道路网络，特别是旧城区道路改造、拓宽，疏导旧城区道路交通，提高消防车的通行速度。</w:t>
      </w:r>
    </w:p>
    <w:p>
      <w:pPr>
        <w:spacing w:before="190" w:after="190"/>
        <w:ind w:firstLine="560"/>
        <w:rPr>
          <w:rFonts w:ascii="宋体" w:hAnsi="宋体"/>
        </w:rPr>
      </w:pPr>
      <w:r>
        <w:rPr>
          <w:rFonts w:hint="eastAsia" w:ascii="宋体" w:hAnsi="宋体"/>
        </w:rPr>
        <w:t>（2）出入口</w:t>
      </w:r>
    </w:p>
    <w:p>
      <w:pPr>
        <w:spacing w:before="190" w:after="190"/>
        <w:ind w:firstLine="560"/>
        <w:rPr>
          <w:rFonts w:ascii="宋体" w:hAnsi="宋体"/>
        </w:rPr>
      </w:pPr>
      <w:r>
        <w:rPr>
          <w:rFonts w:hint="eastAsia" w:ascii="宋体" w:hAnsi="宋体"/>
        </w:rPr>
        <w:t>加强城市重要仓储物流园区、工业园区与高速公路和对外交通出口间的联系。</w:t>
      </w:r>
    </w:p>
    <w:p>
      <w:pPr>
        <w:spacing w:before="190" w:after="190"/>
        <w:ind w:firstLine="560"/>
        <w:rPr>
          <w:rFonts w:ascii="宋体" w:hAnsi="宋体"/>
        </w:rPr>
      </w:pPr>
      <w:r>
        <w:rPr>
          <w:rFonts w:hint="eastAsia" w:ascii="宋体" w:hAnsi="宋体"/>
        </w:rPr>
        <w:t>（3）旧城改造</w:t>
      </w:r>
    </w:p>
    <w:p>
      <w:pPr>
        <w:spacing w:before="190" w:after="190"/>
        <w:ind w:firstLine="560"/>
        <w:rPr>
          <w:rFonts w:ascii="宋体" w:hAnsi="宋体"/>
        </w:rPr>
      </w:pPr>
      <w:r>
        <w:rPr>
          <w:rFonts w:hint="eastAsia" w:ascii="宋体" w:hAnsi="宋体"/>
        </w:rPr>
        <w:t>旧城改造应统一成片改造，打通消防车通道，改善消防条件。</w:t>
      </w:r>
    </w:p>
    <w:p>
      <w:pPr>
        <w:spacing w:before="190" w:after="190"/>
        <w:ind w:firstLine="560"/>
        <w:rPr>
          <w:rFonts w:ascii="宋体" w:hAnsi="宋体"/>
        </w:rPr>
      </w:pPr>
      <w:r>
        <w:rPr>
          <w:rFonts w:hint="eastAsia" w:ascii="宋体" w:hAnsi="宋体"/>
        </w:rPr>
        <w:t>（4）城市管理</w:t>
      </w:r>
    </w:p>
    <w:p>
      <w:pPr>
        <w:spacing w:before="190" w:after="190"/>
        <w:ind w:firstLine="560"/>
        <w:rPr>
          <w:rFonts w:ascii="宋体" w:hAnsi="宋体"/>
        </w:rPr>
      </w:pPr>
      <w:r>
        <w:rPr>
          <w:rFonts w:hint="eastAsia" w:ascii="宋体" w:hAnsi="宋体"/>
        </w:rPr>
        <w:t>取缔占道经营、机动车占道停车、乱停乱放等多种违章行为，确保消防通道畅通。</w:t>
      </w:r>
    </w:p>
    <w:p>
      <w:pPr>
        <w:spacing w:before="190" w:after="190"/>
        <w:ind w:firstLine="560"/>
        <w:rPr>
          <w:rFonts w:ascii="宋体" w:hAnsi="宋体"/>
        </w:rPr>
      </w:pPr>
      <w:r>
        <w:rPr>
          <w:rFonts w:hint="eastAsia" w:ascii="宋体" w:hAnsi="宋体"/>
        </w:rPr>
        <w:t>（5）多方协同作战</w:t>
      </w:r>
    </w:p>
    <w:p>
      <w:pPr>
        <w:spacing w:before="190" w:after="190"/>
        <w:ind w:firstLine="560"/>
        <w:rPr>
          <w:rFonts w:ascii="宋体" w:hAnsi="宋体"/>
        </w:rPr>
      </w:pPr>
      <w:r>
        <w:rPr>
          <w:rFonts w:hint="eastAsia" w:ascii="宋体" w:hAnsi="宋体"/>
        </w:rPr>
        <w:t>加强公安、交警、消防等多方协同作战，及时作好消防出行路线上的交通疏导和管制工作，为消防工作提供必要的快速交通环境。</w:t>
      </w:r>
    </w:p>
    <w:p>
      <w:pPr>
        <w:spacing w:before="190" w:after="190"/>
        <w:ind w:firstLine="0" w:firstLineChars="0"/>
        <w:jc w:val="center"/>
        <w:rPr>
          <w:rFonts w:hint="eastAsia" w:ascii="宋体" w:hAnsi="宋体"/>
        </w:rPr>
      </w:pPr>
      <w:r>
        <w:rPr>
          <w:rFonts w:hint="eastAsia" w:ascii="宋体" w:hAnsi="宋体"/>
        </w:rPr>
        <w:drawing>
          <wp:inline distT="0" distB="0" distL="114300" distR="114300">
            <wp:extent cx="5367020" cy="3938270"/>
            <wp:effectExtent l="0" t="0" r="5080" b="5080"/>
            <wp:docPr id="17" name="图片 24" descr="16-城市消防通道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4" descr="16-城市消防通道规划图"/>
                    <pic:cNvPicPr>
                      <a:picLocks noChangeAspect="true"/>
                    </pic:cNvPicPr>
                  </pic:nvPicPr>
                  <pic:blipFill>
                    <a:blip r:embed="rId39"/>
                    <a:srcRect l="3258"/>
                    <a:stretch>
                      <a:fillRect/>
                    </a:stretch>
                  </pic:blipFill>
                  <pic:spPr>
                    <a:xfrm>
                      <a:off x="0" y="0"/>
                      <a:ext cx="5367020" cy="3938270"/>
                    </a:xfrm>
                    <a:prstGeom prst="rect">
                      <a:avLst/>
                    </a:prstGeom>
                    <a:noFill/>
                    <a:ln>
                      <a:noFill/>
                    </a:ln>
                  </pic:spPr>
                </pic:pic>
              </a:graphicData>
            </a:graphic>
          </wp:inline>
        </w:drawing>
      </w:r>
    </w:p>
    <w:p>
      <w:pPr>
        <w:pStyle w:val="2"/>
        <w:numPr>
          <w:ilvl w:val="0"/>
          <w:numId w:val="3"/>
        </w:numPr>
        <w:spacing w:before="190" w:after="190"/>
        <w:ind w:firstLine="0"/>
        <w:jc w:val="center"/>
        <w:rPr>
          <w:rFonts w:ascii="宋体" w:hAnsi="宋体"/>
          <w:b/>
        </w:rPr>
      </w:pPr>
      <w:bookmarkStart w:id="516" w:name="_Toc10040"/>
      <w:bookmarkStart w:id="517" w:name="_Toc3240"/>
      <w:bookmarkStart w:id="518" w:name="_Toc1732"/>
      <w:r>
        <w:rPr>
          <w:rFonts w:hint="eastAsia" w:ascii="宋体" w:hAnsi="宋体"/>
          <w:b/>
        </w:rPr>
        <w:t>消防供电规划</w:t>
      </w:r>
      <w:bookmarkEnd w:id="516"/>
      <w:bookmarkEnd w:id="517"/>
      <w:bookmarkEnd w:id="518"/>
    </w:p>
    <w:p>
      <w:pPr>
        <w:pStyle w:val="3"/>
        <w:spacing w:before="190" w:after="190"/>
        <w:rPr>
          <w:rFonts w:ascii="宋体" w:hAnsi="宋体"/>
          <w:szCs w:val="32"/>
        </w:rPr>
      </w:pPr>
      <w:bookmarkStart w:id="519" w:name="_Toc31038"/>
      <w:bookmarkStart w:id="520" w:name="_Toc26511"/>
      <w:bookmarkStart w:id="521" w:name="_Toc17763"/>
      <w:r>
        <w:rPr>
          <w:rFonts w:hint="eastAsia" w:ascii="宋体" w:hAnsi="宋体"/>
          <w:szCs w:val="32"/>
        </w:rPr>
        <w:t>11.1 城市供电规划</w:t>
      </w:r>
      <w:bookmarkEnd w:id="519"/>
      <w:bookmarkEnd w:id="520"/>
      <w:bookmarkEnd w:id="521"/>
    </w:p>
    <w:p>
      <w:pPr>
        <w:spacing w:before="190" w:after="190"/>
        <w:ind w:firstLine="560"/>
        <w:rPr>
          <w:rFonts w:ascii="宋体" w:hAnsi="宋体"/>
        </w:rPr>
      </w:pPr>
      <w:r>
        <w:rPr>
          <w:rFonts w:hint="eastAsia" w:ascii="宋体" w:hAnsi="宋体"/>
        </w:rPr>
        <w:t>盐池县城市供电电源来自盐池110千伏变电站，电源引自盐州330千伏变电站，110千伏进线3回（州盐甲、州盐乙、州盐丙）。随着用电负荷增加，变电站新增变压器容量，逐渐将目前2×31.5千伏安变压器扩至3×63千伏安。</w:t>
      </w:r>
    </w:p>
    <w:p>
      <w:pPr>
        <w:spacing w:before="190" w:after="190"/>
        <w:ind w:firstLine="560"/>
        <w:rPr>
          <w:rFonts w:ascii="宋体" w:hAnsi="宋体"/>
        </w:rPr>
      </w:pPr>
      <w:r>
        <w:rPr>
          <w:rFonts w:hint="eastAsia" w:ascii="宋体" w:hAnsi="宋体"/>
        </w:rPr>
        <w:t>规划新增10千伏中压配网大部分采用地下电缆环网形式敷设，沿城市道路供电线路原则上敷设于道路两旁，与电信线路分侧布置，新建中压配网统一安排在路东或路南。原有的城市供配电网，随着城市建设的拓展，作相应调整、更新、改造，满足城市建设发展需求。</w:t>
      </w:r>
    </w:p>
    <w:p>
      <w:pPr>
        <w:spacing w:before="190" w:after="190"/>
        <w:ind w:firstLine="560"/>
        <w:rPr>
          <w:rFonts w:ascii="宋体" w:hAnsi="宋体"/>
        </w:rPr>
      </w:pPr>
      <w:r>
        <w:rPr>
          <w:rFonts w:hint="eastAsia" w:ascii="宋体" w:hAnsi="宋体"/>
        </w:rPr>
        <w:t>35千伏及以上线路应设置高压走廊，合理设置防护绿地，统一规范线路走径，尽量减少对建设用地的影响。110千伏高压架空线走廊宽度不少于30米， 35千伏高压架空线走廊宽度不少于20 米。高压走廊下宜为防护绿带或农田，不应种植高大乔木，严禁违章建、构筑物侵入保护范围内。</w:t>
      </w:r>
    </w:p>
    <w:p>
      <w:pPr>
        <w:pStyle w:val="3"/>
        <w:spacing w:before="190" w:after="190"/>
        <w:rPr>
          <w:rFonts w:ascii="宋体" w:hAnsi="宋体"/>
          <w:szCs w:val="32"/>
        </w:rPr>
      </w:pPr>
      <w:bookmarkStart w:id="522" w:name="_Toc5086"/>
      <w:bookmarkStart w:id="523" w:name="_Toc8982"/>
      <w:bookmarkStart w:id="524" w:name="_Toc20269"/>
      <w:r>
        <w:rPr>
          <w:rFonts w:hint="eastAsia" w:ascii="宋体" w:hAnsi="宋体"/>
          <w:szCs w:val="32"/>
        </w:rPr>
        <w:t>11.2消防供电规划</w:t>
      </w:r>
      <w:bookmarkEnd w:id="522"/>
      <w:bookmarkEnd w:id="523"/>
      <w:bookmarkEnd w:id="524"/>
    </w:p>
    <w:p>
      <w:pPr>
        <w:spacing w:before="190" w:after="190"/>
        <w:ind w:firstLine="560"/>
        <w:rPr>
          <w:rFonts w:ascii="宋体" w:hAnsi="宋体"/>
        </w:rPr>
      </w:pPr>
      <w:r>
        <w:rPr>
          <w:rFonts w:hint="eastAsia" w:ascii="宋体" w:hAnsi="宋体"/>
        </w:rPr>
        <w:t>城市供电、供气、通信、医疗、消防等重要部门均应双电源供电；对个别消防安全重点单位供电设备损坏严重的，应限期整改。</w:t>
      </w:r>
    </w:p>
    <w:p>
      <w:pPr>
        <w:spacing w:before="190" w:after="190"/>
        <w:ind w:firstLine="560"/>
        <w:rPr>
          <w:rFonts w:ascii="宋体" w:hAnsi="宋体"/>
        </w:rPr>
      </w:pPr>
      <w:r>
        <w:rPr>
          <w:rFonts w:hint="eastAsia" w:ascii="宋体" w:hAnsi="宋体"/>
        </w:rPr>
        <w:t>在设计、施工、管理中严格执行有关规定，确保建筑物消防供电的可靠性，保障建筑物内部消防、疏散设备在火灾发生时，能正常使用。一级负荷用电单位必须设置自动切换系统或设自发装置。大型公共建筑和重要场所的变电设施应采用不带可燃性油的高、低压配电装置。</w:t>
      </w:r>
    </w:p>
    <w:p>
      <w:pPr>
        <w:pStyle w:val="2"/>
        <w:numPr>
          <w:ilvl w:val="0"/>
          <w:numId w:val="3"/>
        </w:numPr>
        <w:spacing w:before="190" w:after="190"/>
        <w:ind w:firstLine="0"/>
        <w:jc w:val="center"/>
        <w:rPr>
          <w:rFonts w:ascii="宋体" w:hAnsi="宋体"/>
          <w:b/>
        </w:rPr>
      </w:pPr>
      <w:bookmarkStart w:id="525" w:name="_Toc29005"/>
      <w:bookmarkStart w:id="526" w:name="_Toc18364"/>
      <w:bookmarkStart w:id="527" w:name="_Toc19547"/>
      <w:r>
        <w:rPr>
          <w:rFonts w:hint="eastAsia" w:ascii="宋体" w:hAnsi="宋体"/>
          <w:b/>
        </w:rPr>
        <w:t>应急救援规划</w:t>
      </w:r>
      <w:bookmarkEnd w:id="525"/>
      <w:bookmarkEnd w:id="526"/>
      <w:bookmarkEnd w:id="527"/>
    </w:p>
    <w:p>
      <w:pPr>
        <w:spacing w:before="190" w:after="190"/>
        <w:ind w:firstLine="560"/>
        <w:rPr>
          <w:rFonts w:ascii="宋体" w:hAnsi="宋体"/>
        </w:rPr>
      </w:pPr>
      <w:r>
        <w:rPr>
          <w:rFonts w:hint="eastAsia" w:ascii="宋体" w:hAnsi="宋体"/>
        </w:rPr>
        <w:t>近年来,随着工业化和城市化进程加快,各种灾害事故日趋增多,并呈现出多发性、连锁性、复杂性和不可预见性的特点。灾害经济学揭示出,发达国家上百年工业化过程中分阶段出现的各类灾害事故问题,近年来我国已集中凸显,还造成了社会心理恐慌、投资环境恶化、政府信任危机和国际形象受损等“二次效应”。特别是南方冰雪灾害和汶川特大地震后,应急救援被推到了舆论的风口浪尖上,成为社会普遍关心的焦点问题。</w:t>
      </w:r>
    </w:p>
    <w:p>
      <w:pPr>
        <w:pStyle w:val="3"/>
        <w:spacing w:before="190" w:after="190"/>
        <w:rPr>
          <w:rFonts w:ascii="宋体" w:hAnsi="宋体"/>
          <w:szCs w:val="32"/>
        </w:rPr>
      </w:pPr>
      <w:bookmarkStart w:id="528" w:name="_Toc36114593"/>
      <w:bookmarkStart w:id="529" w:name="_Toc16717"/>
      <w:bookmarkStart w:id="530" w:name="_Toc19782"/>
      <w:bookmarkStart w:id="531" w:name="_Toc18263"/>
      <w:r>
        <w:rPr>
          <w:rFonts w:hint="eastAsia" w:ascii="宋体" w:hAnsi="宋体"/>
          <w:szCs w:val="32"/>
        </w:rPr>
        <w:t>12.1.应急救援的基本情况</w:t>
      </w:r>
      <w:bookmarkEnd w:id="528"/>
      <w:r>
        <w:rPr>
          <w:rFonts w:hint="eastAsia" w:ascii="宋体" w:hAnsi="宋体"/>
          <w:szCs w:val="32"/>
        </w:rPr>
        <w:t>与特点</w:t>
      </w:r>
      <w:bookmarkEnd w:id="529"/>
      <w:bookmarkEnd w:id="530"/>
      <w:bookmarkEnd w:id="531"/>
      <w:r>
        <w:rPr>
          <w:rFonts w:hint="eastAsia" w:ascii="宋体" w:hAnsi="宋体"/>
          <w:szCs w:val="32"/>
        </w:rPr>
        <w:t xml:space="preserve"> </w:t>
      </w:r>
    </w:p>
    <w:p>
      <w:pPr>
        <w:spacing w:before="190" w:after="190"/>
        <w:ind w:firstLine="560"/>
        <w:rPr>
          <w:rFonts w:ascii="宋体" w:hAnsi="宋体"/>
        </w:rPr>
      </w:pPr>
      <w:r>
        <w:rPr>
          <w:rFonts w:hint="eastAsia" w:ascii="宋体" w:hAnsi="宋体"/>
        </w:rPr>
        <w:t>目前国内应急救援队伍分为专业应急队伍和非专业应急队伍，其中专业应急队伍主要指分布在各行业各系统的救援队伍，有消防应急救援力量、地震灾害应急救援队伍、洪水灾害应急救援力量、核事故应急救援力量、森林火灾应急救援力量、海事应急救援力量、矿山应急救援力量、化学事故应急救援力量、医疗救护力量等。非专业应急队伍是指社会团体、企事业单位自建的应急队伍以及应急志愿者等组成，在参与各种突发事件应急处置中起次要、补充作用的应急处置队伍。</w:t>
      </w:r>
    </w:p>
    <w:p>
      <w:pPr>
        <w:spacing w:before="190" w:after="190"/>
        <w:ind w:firstLine="560"/>
        <w:rPr>
          <w:rFonts w:ascii="宋体" w:hAnsi="宋体"/>
        </w:rPr>
      </w:pPr>
      <w:r>
        <w:rPr>
          <w:rFonts w:hint="eastAsia" w:ascii="宋体" w:hAnsi="宋体"/>
        </w:rPr>
        <w:t>应急救援的主要特点：</w:t>
      </w:r>
    </w:p>
    <w:p>
      <w:pPr>
        <w:spacing w:before="190" w:after="190"/>
        <w:ind w:firstLine="560"/>
        <w:rPr>
          <w:rFonts w:ascii="宋体" w:hAnsi="宋体"/>
        </w:rPr>
      </w:pPr>
      <w:r>
        <w:rPr>
          <w:rFonts w:hint="eastAsia" w:ascii="宋体" w:hAnsi="宋体"/>
        </w:rPr>
        <w:t>（1）应急救援比重大</w:t>
      </w:r>
    </w:p>
    <w:p>
      <w:pPr>
        <w:spacing w:before="190" w:after="190"/>
        <w:ind w:firstLine="560"/>
        <w:rPr>
          <w:rFonts w:ascii="宋体" w:hAnsi="宋体"/>
        </w:rPr>
      </w:pPr>
      <w:r>
        <w:rPr>
          <w:rFonts w:hint="eastAsia" w:ascii="宋体" w:hAnsi="宋体"/>
        </w:rPr>
        <w:t>自2002年8月全国消防部队在成都召开社会抢险救援工作现场会议，明确将参与处置各类化学危险品泄漏事故、参加洪灾、风灾、地震等自然灾害的抢险救援等六项工作划入消防部门工作范围后，抢险救援在消防工作中占的比重越来越大。</w:t>
      </w:r>
    </w:p>
    <w:p>
      <w:pPr>
        <w:spacing w:before="190" w:after="190"/>
        <w:ind w:firstLine="560"/>
        <w:rPr>
          <w:rFonts w:ascii="宋体" w:hAnsi="宋体"/>
        </w:rPr>
      </w:pPr>
      <w:r>
        <w:rPr>
          <w:rFonts w:hint="eastAsia" w:ascii="宋体" w:hAnsi="宋体"/>
        </w:rPr>
        <w:t>（2）应急救援范围广</w:t>
      </w:r>
    </w:p>
    <w:p>
      <w:pPr>
        <w:spacing w:before="190" w:after="190"/>
        <w:ind w:firstLine="560"/>
        <w:rPr>
          <w:rFonts w:ascii="宋体" w:hAnsi="宋体"/>
        </w:rPr>
      </w:pPr>
      <w:r>
        <w:rPr>
          <w:rFonts w:hint="eastAsia" w:ascii="宋体" w:hAnsi="宋体"/>
        </w:rPr>
        <w:t>应急救援的范围涉及社会生活的方方面面，大到洪涝灾害、爆炸、建筑物垮塌、危险化学品泄漏、交通事故、高楼、井下、水中救人等抢险救援，小到开门取钥匙、送水、摘马蜂窝等社会救助。</w:t>
      </w:r>
    </w:p>
    <w:p>
      <w:pPr>
        <w:spacing w:before="190" w:after="190"/>
        <w:ind w:firstLine="560"/>
        <w:rPr>
          <w:rFonts w:ascii="宋体" w:hAnsi="宋体"/>
        </w:rPr>
      </w:pPr>
      <w:r>
        <w:rPr>
          <w:rFonts w:hint="eastAsia" w:ascii="宋体" w:hAnsi="宋体"/>
        </w:rPr>
        <w:t>（3）应急救援难度大</w:t>
      </w:r>
    </w:p>
    <w:p>
      <w:pPr>
        <w:spacing w:before="190" w:after="190"/>
        <w:ind w:firstLine="560"/>
      </w:pPr>
      <w:r>
        <w:rPr>
          <w:rFonts w:hint="eastAsia" w:ascii="宋体" w:hAnsi="宋体"/>
        </w:rPr>
        <w:t>应急救援作为消防部队的一项特殊任务，涉及的灾害范围和救助对象比起单一的火灾更加广泛，应急救援的场所有时更为复杂和危险，完成任务的难度更大，对救援人员的快速反应、心理素质、器材装备和指挥人员的决策、指挥、战略、战术提出了更高的要求。</w:t>
      </w:r>
    </w:p>
    <w:p>
      <w:pPr>
        <w:pStyle w:val="3"/>
        <w:spacing w:before="190" w:after="190"/>
        <w:rPr>
          <w:rFonts w:ascii="宋体" w:hAnsi="宋体"/>
          <w:szCs w:val="32"/>
        </w:rPr>
      </w:pPr>
      <w:bookmarkStart w:id="532" w:name="_Toc36114595"/>
      <w:bookmarkStart w:id="533" w:name="_Toc5759"/>
      <w:bookmarkStart w:id="534" w:name="_Toc18643"/>
      <w:bookmarkStart w:id="535" w:name="_Toc22377"/>
      <w:r>
        <w:rPr>
          <w:rFonts w:hint="eastAsia" w:ascii="宋体" w:hAnsi="宋体"/>
          <w:szCs w:val="32"/>
        </w:rPr>
        <w:t>12.2应急救援</w:t>
      </w:r>
      <w:bookmarkEnd w:id="532"/>
      <w:r>
        <w:rPr>
          <w:rFonts w:hint="eastAsia" w:ascii="宋体" w:hAnsi="宋体"/>
          <w:szCs w:val="32"/>
        </w:rPr>
        <w:t>规划</w:t>
      </w:r>
      <w:bookmarkEnd w:id="533"/>
      <w:bookmarkEnd w:id="534"/>
      <w:bookmarkEnd w:id="535"/>
    </w:p>
    <w:p>
      <w:pPr>
        <w:spacing w:before="190" w:after="190"/>
        <w:ind w:firstLine="560"/>
        <w:rPr>
          <w:rFonts w:ascii="宋体" w:hAnsi="宋体"/>
        </w:rPr>
      </w:pPr>
      <w:r>
        <w:rPr>
          <w:rFonts w:hint="eastAsia" w:ascii="宋体" w:hAnsi="宋体"/>
        </w:rPr>
        <w:t>《消防法》明确规定：“公安消防队按照国家规定承担重大灾害事故和其他以抢救人员生命为主的应急救援工作”、“公安消防队应当充分发挥火灾扑救和应急救援专业力量的骨干作用；按照国家规定，组织实施专业技能训练，配备并维护保养装备器材，提高火灾扑救和应急救援的能力”，因此应急救援已成为消防部队作战的法定作战任务之一。同时公安部消防局根据《国务院关于进一步加强消防工作的意见》、《中华人民共和国消防法》、《中华人民共和国突发事件应对法》等法律法规及有关规定，专门制定了《公安消防部队承担应急救援工作总体方案》，从职责和任务、原则和目标、响应和处置、保障措施等四个方面做出进一步要求，确保消防部队能够有效地承担应急救援的法定职责。</w:t>
      </w:r>
    </w:p>
    <w:p>
      <w:pPr>
        <w:spacing w:before="190" w:after="190"/>
        <w:ind w:firstLine="560"/>
        <w:rPr>
          <w:rFonts w:ascii="宋体" w:hAnsi="宋体"/>
        </w:rPr>
      </w:pPr>
      <w:r>
        <w:rPr>
          <w:rFonts w:hint="eastAsia" w:ascii="宋体" w:hAnsi="宋体"/>
        </w:rPr>
        <w:t>按照新《消防法》赋予消防部队应急救援职能的良好机遇,将应急救援工作置于关乎消防事业未来发展的战略地位,明确定位,加快改革,推进消防工作社会化、消防机构专业化、消防人员职业化进程,整合应急救援资源,精简非战斗职能,强化应急救援功能,实现结构性转变, 完成“战略转型”,构建起以消防部队为主体的应急救援体系。</w:t>
      </w:r>
    </w:p>
    <w:p>
      <w:pPr>
        <w:spacing w:before="190" w:after="190"/>
        <w:ind w:firstLineChars="150"/>
        <w:rPr>
          <w:rFonts w:ascii="宋体" w:hAnsi="宋体"/>
        </w:rPr>
      </w:pPr>
      <w:r>
        <w:rPr>
          <w:rFonts w:hint="eastAsia" w:ascii="宋体" w:hAnsi="宋体"/>
        </w:rPr>
        <w:t>（1）按照国家有关标准配备与本地应急救援相适应的、相对先进的装备，强化针对性的社会应急救援训练。</w:t>
      </w:r>
    </w:p>
    <w:p>
      <w:pPr>
        <w:spacing w:before="190" w:after="190"/>
        <w:ind w:firstLineChars="150"/>
        <w:rPr>
          <w:rFonts w:ascii="宋体" w:hAnsi="宋体"/>
        </w:rPr>
      </w:pPr>
      <w:r>
        <w:rPr>
          <w:rFonts w:hint="eastAsia" w:ascii="宋体" w:hAnsi="宋体"/>
        </w:rPr>
        <w:t>（2）以县级应急救援体系为单元，依托消防救援队伍，结合本地实际，开展针对本区域易发灾害事故和突发事件的训练，强化新知识、新技能和新战法的应用性训练，熟练掌握各类应急救援装备的使用。</w:t>
      </w:r>
    </w:p>
    <w:p>
      <w:pPr>
        <w:spacing w:before="190" w:after="190"/>
        <w:ind w:firstLineChars="150"/>
        <w:rPr>
          <w:rFonts w:ascii="宋体" w:hAnsi="宋体"/>
        </w:rPr>
      </w:pPr>
      <w:r>
        <w:rPr>
          <w:rFonts w:hint="eastAsia" w:ascii="宋体" w:hAnsi="宋体"/>
        </w:rPr>
        <w:t>（3）建立完善社会应急救援战勤保障，依托应急平台，建立突发事件评估机制，充分利用气象、地质、环保等有关部门对自然灾害以及公安部门对社会安全事件等突发事件的评估信息，运用重大危险源评估技术等手段，科学评估应急救援战勤保障需求总量，合理建设应急救援战勤保障中心。</w:t>
      </w:r>
    </w:p>
    <w:p>
      <w:pPr>
        <w:pStyle w:val="2"/>
        <w:numPr>
          <w:ilvl w:val="0"/>
          <w:numId w:val="3"/>
        </w:numPr>
        <w:spacing w:before="190" w:after="190"/>
        <w:ind w:firstLine="0"/>
        <w:jc w:val="center"/>
        <w:rPr>
          <w:rFonts w:ascii="宋体" w:hAnsi="宋体"/>
          <w:b/>
        </w:rPr>
      </w:pPr>
      <w:bookmarkStart w:id="536" w:name="_Toc10217"/>
      <w:bookmarkStart w:id="537" w:name="_Toc5942"/>
      <w:bookmarkStart w:id="538" w:name="_Toc23126"/>
      <w:r>
        <w:rPr>
          <w:rFonts w:hint="eastAsia" w:ascii="宋体" w:hAnsi="宋体"/>
          <w:b/>
        </w:rPr>
        <w:t>近期建设规划</w:t>
      </w:r>
      <w:bookmarkEnd w:id="536"/>
      <w:bookmarkEnd w:id="537"/>
      <w:bookmarkEnd w:id="538"/>
    </w:p>
    <w:p>
      <w:pPr>
        <w:spacing w:before="190" w:after="190"/>
        <w:ind w:firstLine="560"/>
        <w:rPr>
          <w:rFonts w:ascii="宋体" w:hAnsi="宋体"/>
        </w:rPr>
      </w:pPr>
      <w:r>
        <w:rPr>
          <w:rFonts w:hint="eastAsia" w:ascii="宋体" w:hAnsi="宋体"/>
        </w:rPr>
        <w:t>结合盐池县经济社会发展需求，遵循“全面规划、突出重点、远近结合、配套建设”的原则，体现规划的可实施性和可操作性，确定城市消防近期建设的主要内容。</w:t>
      </w:r>
    </w:p>
    <w:p>
      <w:pPr>
        <w:pStyle w:val="3"/>
        <w:spacing w:before="190" w:after="190"/>
        <w:rPr>
          <w:rFonts w:ascii="宋体" w:hAnsi="宋体"/>
          <w:szCs w:val="32"/>
        </w:rPr>
      </w:pPr>
      <w:bookmarkStart w:id="539" w:name="_Toc31903"/>
      <w:bookmarkStart w:id="540" w:name="_Toc15122"/>
      <w:bookmarkStart w:id="541" w:name="_Toc14264"/>
      <w:r>
        <w:rPr>
          <w:rFonts w:hint="eastAsia" w:ascii="宋体" w:hAnsi="宋体"/>
          <w:szCs w:val="32"/>
        </w:rPr>
        <w:t>13.1消防站建设</w:t>
      </w:r>
      <w:bookmarkEnd w:id="539"/>
      <w:bookmarkEnd w:id="540"/>
      <w:bookmarkEnd w:id="541"/>
    </w:p>
    <w:p>
      <w:pPr>
        <w:spacing w:before="190" w:after="190"/>
        <w:ind w:firstLine="560"/>
        <w:rPr>
          <w:rFonts w:ascii="宋体" w:hAnsi="宋体"/>
          <w:bCs/>
        </w:rPr>
      </w:pPr>
      <w:r>
        <w:rPr>
          <w:rFonts w:hint="eastAsia" w:ascii="宋体" w:hAnsi="宋体"/>
          <w:bCs/>
        </w:rPr>
        <w:t>（1）提升、改造花马池站，完善消防人员、消防车辆、灭火器材、防护器材等装备配置，达到一级普通兼化工特勤消防站标准。</w:t>
      </w:r>
    </w:p>
    <w:p>
      <w:pPr>
        <w:spacing w:before="190" w:after="190"/>
        <w:ind w:firstLine="560"/>
        <w:rPr>
          <w:rFonts w:ascii="宋体" w:hAnsi="宋体"/>
          <w:bCs/>
        </w:rPr>
      </w:pPr>
      <w:r>
        <w:rPr>
          <w:rFonts w:hint="eastAsia" w:ascii="宋体" w:hAnsi="宋体"/>
          <w:bCs/>
        </w:rPr>
        <w:t>（2）提升、改造高沙窝政府政府专职消防站，完善消防人员、消防车辆、灭火器材、防护器材等装备配置，达到一级普通消防站标准并兼顾森林草原灭火的要求。</w:t>
      </w:r>
    </w:p>
    <w:p>
      <w:pPr>
        <w:spacing w:before="190" w:after="190"/>
        <w:ind w:firstLine="560"/>
        <w:rPr>
          <w:rFonts w:ascii="宋体" w:hAnsi="宋体"/>
          <w:bCs/>
        </w:rPr>
      </w:pPr>
      <w:r>
        <w:rPr>
          <w:rFonts w:hint="eastAsia" w:ascii="宋体" w:hAnsi="宋体"/>
          <w:bCs/>
        </w:rPr>
        <w:t>（3）新建大水坑镇小型消防站，提升大水坑镇消防救援能力。</w:t>
      </w:r>
    </w:p>
    <w:p>
      <w:pPr>
        <w:spacing w:before="190" w:after="190"/>
        <w:ind w:firstLine="560"/>
        <w:rPr>
          <w:rFonts w:ascii="宋体" w:hAnsi="宋体"/>
          <w:bCs/>
        </w:rPr>
      </w:pPr>
      <w:r>
        <w:rPr>
          <w:rFonts w:hint="eastAsia" w:ascii="宋体" w:hAnsi="宋体"/>
          <w:bCs/>
        </w:rPr>
        <w:t>（4）提升、改造惠安堡镇乡镇专职消防队，达到一级乡镇专职消防队标准，提升惠安堡镇消防救援能力。</w:t>
      </w:r>
    </w:p>
    <w:p>
      <w:pPr>
        <w:spacing w:before="190" w:after="190"/>
        <w:ind w:firstLine="560"/>
        <w:rPr>
          <w:rFonts w:hint="eastAsia" w:ascii="宋体" w:hAnsi="宋体"/>
          <w:bCs/>
        </w:rPr>
      </w:pPr>
      <w:r>
        <w:rPr>
          <w:rFonts w:hint="eastAsia" w:ascii="宋体" w:hAnsi="宋体"/>
          <w:bCs/>
        </w:rPr>
        <w:t>（5）新建青山乡乡镇志愿消防队，按乡镇志愿消防队标准建设。</w:t>
      </w:r>
    </w:p>
    <w:p>
      <w:pPr>
        <w:pStyle w:val="3"/>
        <w:spacing w:before="190" w:after="190"/>
        <w:rPr>
          <w:rFonts w:ascii="宋体" w:hAnsi="宋体"/>
          <w:szCs w:val="32"/>
        </w:rPr>
      </w:pPr>
      <w:bookmarkStart w:id="542" w:name="_Toc28620"/>
      <w:bookmarkStart w:id="543" w:name="_Toc3758"/>
      <w:r>
        <w:rPr>
          <w:rFonts w:hint="eastAsia" w:ascii="宋体" w:hAnsi="宋体"/>
          <w:szCs w:val="32"/>
        </w:rPr>
        <w:t>1</w:t>
      </w:r>
      <w:r>
        <w:rPr>
          <w:rFonts w:ascii="宋体" w:hAnsi="宋体"/>
          <w:szCs w:val="32"/>
        </w:rPr>
        <w:t>3.2</w:t>
      </w:r>
      <w:r>
        <w:rPr>
          <w:rFonts w:hint="eastAsia" w:ascii="宋体" w:hAnsi="宋体"/>
          <w:szCs w:val="32"/>
        </w:rPr>
        <w:t>消防供水设施建设</w:t>
      </w:r>
      <w:bookmarkEnd w:id="542"/>
      <w:bookmarkEnd w:id="543"/>
    </w:p>
    <w:p>
      <w:pPr>
        <w:spacing w:before="190" w:after="190"/>
        <w:ind w:firstLine="560"/>
        <w:rPr>
          <w:rFonts w:ascii="宋体" w:hAnsi="宋体"/>
          <w:b/>
        </w:rPr>
      </w:pPr>
      <w:r>
        <w:rPr>
          <w:rFonts w:hint="eastAsia" w:ascii="宋体" w:hAnsi="宋体"/>
          <w:bCs/>
        </w:rPr>
        <w:t>近期重点加强旧城区供水管网改造，对现状损坏的消火栓进行修复，增补市政消火栓、消防水鹤，以满足消防需要。近期建设消火栓</w:t>
      </w:r>
      <w:r>
        <w:rPr>
          <w:rFonts w:ascii="宋体" w:hAnsi="宋体"/>
          <w:bCs/>
        </w:rPr>
        <w:t>100</w:t>
      </w:r>
      <w:r>
        <w:rPr>
          <w:rFonts w:hint="eastAsia" w:ascii="宋体" w:hAnsi="宋体"/>
          <w:bCs/>
        </w:rPr>
        <w:t>个、消防水鹤3个。</w:t>
      </w:r>
    </w:p>
    <w:p>
      <w:pPr>
        <w:pStyle w:val="3"/>
        <w:spacing w:before="190" w:after="190"/>
        <w:rPr>
          <w:rFonts w:ascii="宋体" w:hAnsi="宋体"/>
          <w:szCs w:val="32"/>
        </w:rPr>
      </w:pPr>
      <w:bookmarkStart w:id="544" w:name="_Toc24006"/>
      <w:bookmarkStart w:id="545" w:name="_Toc3850"/>
      <w:r>
        <w:rPr>
          <w:rFonts w:hint="eastAsia" w:ascii="宋体" w:hAnsi="宋体"/>
          <w:szCs w:val="32"/>
        </w:rPr>
        <w:t>1</w:t>
      </w:r>
      <w:r>
        <w:rPr>
          <w:rFonts w:ascii="宋体" w:hAnsi="宋体"/>
          <w:szCs w:val="32"/>
        </w:rPr>
        <w:t>3.3</w:t>
      </w:r>
      <w:r>
        <w:rPr>
          <w:rFonts w:hint="eastAsia" w:ascii="宋体" w:hAnsi="宋体"/>
          <w:szCs w:val="32"/>
        </w:rPr>
        <w:t>消防通信设施建设</w:t>
      </w:r>
      <w:bookmarkEnd w:id="544"/>
      <w:bookmarkEnd w:id="545"/>
    </w:p>
    <w:p>
      <w:pPr>
        <w:spacing w:before="190" w:after="190"/>
        <w:ind w:firstLine="560"/>
        <w:rPr>
          <w:rFonts w:ascii="宋体" w:hAnsi="宋体"/>
          <w:bCs/>
        </w:rPr>
      </w:pPr>
      <w:r>
        <w:rPr>
          <w:rFonts w:ascii="宋体" w:hAnsi="宋体"/>
          <w:bCs/>
        </w:rPr>
        <w:t>近期针对县大队</w:t>
      </w:r>
      <w:r>
        <w:rPr>
          <w:rFonts w:hint="eastAsia" w:ascii="宋体" w:hAnsi="宋体"/>
          <w:bCs/>
        </w:rPr>
        <w:t>及</w:t>
      </w:r>
      <w:r>
        <w:rPr>
          <w:rFonts w:ascii="宋体" w:hAnsi="宋体"/>
          <w:bCs/>
        </w:rPr>
        <w:t>消防站通信器材不足</w:t>
      </w:r>
      <w:r>
        <w:rPr>
          <w:rFonts w:hint="eastAsia" w:ascii="宋体" w:hAnsi="宋体"/>
          <w:bCs/>
        </w:rPr>
        <w:t>，</w:t>
      </w:r>
      <w:r>
        <w:rPr>
          <w:rFonts w:ascii="宋体" w:hAnsi="宋体"/>
          <w:bCs/>
        </w:rPr>
        <w:t>更新</w:t>
      </w:r>
      <w:r>
        <w:rPr>
          <w:rFonts w:hint="eastAsia" w:ascii="宋体" w:hAnsi="宋体"/>
          <w:bCs/>
        </w:rPr>
        <w:t>、</w:t>
      </w:r>
      <w:r>
        <w:rPr>
          <w:rFonts w:ascii="宋体" w:hAnsi="宋体"/>
          <w:bCs/>
        </w:rPr>
        <w:t>完善</w:t>
      </w:r>
      <w:r>
        <w:rPr>
          <w:rFonts w:hint="eastAsia" w:ascii="宋体" w:hAnsi="宋体"/>
          <w:bCs/>
        </w:rPr>
        <w:t>消防通信器材，满足消防报警、救援、指挥的需求。</w:t>
      </w:r>
    </w:p>
    <w:p>
      <w:pPr>
        <w:pStyle w:val="3"/>
        <w:spacing w:before="190" w:after="190"/>
        <w:rPr>
          <w:rFonts w:ascii="宋体" w:hAnsi="宋体"/>
          <w:szCs w:val="32"/>
        </w:rPr>
      </w:pPr>
      <w:bookmarkStart w:id="546" w:name="_Toc11017"/>
      <w:bookmarkStart w:id="547" w:name="_Toc12848"/>
      <w:r>
        <w:rPr>
          <w:rFonts w:hint="eastAsia" w:ascii="宋体" w:hAnsi="宋体"/>
          <w:szCs w:val="32"/>
        </w:rPr>
        <w:t>13.</w:t>
      </w:r>
      <w:r>
        <w:rPr>
          <w:rFonts w:ascii="宋体" w:hAnsi="宋体"/>
          <w:szCs w:val="32"/>
        </w:rPr>
        <w:t>4</w:t>
      </w:r>
      <w:r>
        <w:rPr>
          <w:rFonts w:hint="eastAsia" w:ascii="宋体" w:hAnsi="宋体"/>
          <w:szCs w:val="32"/>
        </w:rPr>
        <w:t>消防通道建设</w:t>
      </w:r>
      <w:bookmarkEnd w:id="546"/>
      <w:bookmarkEnd w:id="547"/>
    </w:p>
    <w:p>
      <w:pPr>
        <w:spacing w:before="190" w:after="190"/>
        <w:ind w:firstLine="560"/>
        <w:rPr>
          <w:rFonts w:ascii="宋体" w:hAnsi="宋体"/>
        </w:rPr>
      </w:pPr>
      <w:r>
        <w:rPr>
          <w:rFonts w:ascii="宋体" w:hAnsi="宋体"/>
        </w:rPr>
        <w:t>近期着重改造等级低的支路，提高支路网的密度</w:t>
      </w:r>
      <w:r>
        <w:rPr>
          <w:rFonts w:hint="eastAsia" w:ascii="宋体" w:hAnsi="宋体"/>
        </w:rPr>
        <w:t>。结合</w:t>
      </w:r>
      <w:r>
        <w:rPr>
          <w:rFonts w:ascii="宋体" w:hAnsi="宋体"/>
        </w:rPr>
        <w:t>旧城</w:t>
      </w:r>
      <w:r>
        <w:rPr>
          <w:rFonts w:hint="eastAsia" w:ascii="宋体" w:hAnsi="宋体"/>
        </w:rPr>
        <w:t>改造</w:t>
      </w:r>
      <w:r>
        <w:rPr>
          <w:rFonts w:ascii="宋体" w:hAnsi="宋体"/>
        </w:rPr>
        <w:t>，消除</w:t>
      </w:r>
      <w:r>
        <w:rPr>
          <w:rFonts w:hint="eastAsia" w:ascii="宋体" w:hAnsi="宋体"/>
        </w:rPr>
        <w:t>旧城道路</w:t>
      </w:r>
      <w:r>
        <w:rPr>
          <w:rFonts w:ascii="宋体" w:hAnsi="宋体"/>
        </w:rPr>
        <w:t>死胡同，</w:t>
      </w:r>
      <w:r>
        <w:rPr>
          <w:rFonts w:hint="eastAsia" w:ascii="宋体" w:hAnsi="宋体"/>
        </w:rPr>
        <w:t>清</w:t>
      </w:r>
      <w:r>
        <w:rPr>
          <w:rFonts w:ascii="宋体" w:hAnsi="宋体"/>
        </w:rPr>
        <w:t>除道路障碍物</w:t>
      </w:r>
      <w:r>
        <w:rPr>
          <w:rFonts w:hint="eastAsia" w:ascii="宋体" w:hAnsi="宋体"/>
        </w:rPr>
        <w:t>。</w:t>
      </w:r>
      <w:r>
        <w:rPr>
          <w:rFonts w:ascii="宋体" w:hAnsi="宋体"/>
        </w:rPr>
        <w:t>加强</w:t>
      </w:r>
      <w:r>
        <w:rPr>
          <w:rFonts w:hint="eastAsia" w:ascii="宋体" w:hAnsi="宋体"/>
        </w:rPr>
        <w:t>城市</w:t>
      </w:r>
      <w:r>
        <w:rPr>
          <w:rFonts w:ascii="宋体" w:hAnsi="宋体"/>
        </w:rPr>
        <w:t>交通管理，</w:t>
      </w:r>
      <w:r>
        <w:rPr>
          <w:rFonts w:hint="eastAsia" w:ascii="宋体" w:hAnsi="宋体"/>
        </w:rPr>
        <w:t>整治占道经营、</w:t>
      </w:r>
      <w:r>
        <w:rPr>
          <w:rFonts w:ascii="宋体" w:hAnsi="宋体"/>
        </w:rPr>
        <w:t>交通堵塞</w:t>
      </w:r>
      <w:r>
        <w:rPr>
          <w:rFonts w:hint="eastAsia" w:ascii="宋体" w:hAnsi="宋体"/>
        </w:rPr>
        <w:t>、乱停乱放等</w:t>
      </w:r>
      <w:r>
        <w:rPr>
          <w:rFonts w:ascii="宋体" w:hAnsi="宋体"/>
        </w:rPr>
        <w:t>城市交通 “瓶颈”</w:t>
      </w:r>
      <w:r>
        <w:rPr>
          <w:rFonts w:hint="eastAsia" w:ascii="宋体" w:hAnsi="宋体"/>
        </w:rPr>
        <w:t>。</w:t>
      </w:r>
    </w:p>
    <w:p>
      <w:pPr>
        <w:spacing w:before="0" w:beforeLines="0" w:after="0" w:afterLines="0"/>
        <w:ind w:firstLine="0" w:firstLineChars="0"/>
        <w:jc w:val="center"/>
        <w:rPr>
          <w:rFonts w:ascii="仿宋" w:hAnsi="仿宋" w:eastAsia="仿宋"/>
          <w:b/>
          <w:sz w:val="24"/>
        </w:rPr>
      </w:pPr>
      <w:r>
        <w:rPr>
          <w:rFonts w:hint="eastAsia" w:ascii="仿宋" w:hAnsi="仿宋" w:eastAsia="仿宋"/>
          <w:b/>
          <w:sz w:val="24"/>
        </w:rPr>
        <w:t>近期建设项目一览表</w:t>
      </w:r>
    </w:p>
    <w:tbl>
      <w:tblPr>
        <w:tblStyle w:val="10"/>
        <w:tblW w:w="5000" w:type="pct"/>
        <w:jc w:val="center"/>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Layout w:type="autofit"/>
        <w:tblCellMar>
          <w:top w:w="0" w:type="dxa"/>
          <w:left w:w="108" w:type="dxa"/>
          <w:bottom w:w="0" w:type="dxa"/>
          <w:right w:w="108" w:type="dxa"/>
        </w:tblCellMar>
      </w:tblPr>
      <w:tblGrid>
        <w:gridCol w:w="457"/>
        <w:gridCol w:w="865"/>
        <w:gridCol w:w="1039"/>
        <w:gridCol w:w="1172"/>
        <w:gridCol w:w="1108"/>
        <w:gridCol w:w="1111"/>
        <w:gridCol w:w="1719"/>
        <w:gridCol w:w="1057"/>
      </w:tblGrid>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tblHeader/>
          <w:jc w:val="center"/>
        </w:trPr>
        <w:tc>
          <w:tcPr>
            <w:tcW w:w="223"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序号</w:t>
            </w:r>
          </w:p>
        </w:tc>
        <w:tc>
          <w:tcPr>
            <w:tcW w:w="52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名称</w:t>
            </w:r>
          </w:p>
        </w:tc>
        <w:tc>
          <w:tcPr>
            <w:tcW w:w="62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位置</w:t>
            </w:r>
          </w:p>
        </w:tc>
        <w:tc>
          <w:tcPr>
            <w:tcW w:w="70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规划</w:t>
            </w:r>
          </w:p>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性质</w:t>
            </w:r>
          </w:p>
        </w:tc>
        <w:tc>
          <w:tcPr>
            <w:tcW w:w="664"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用地面积</w:t>
            </w:r>
          </w:p>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（平方米）</w:t>
            </w:r>
          </w:p>
        </w:tc>
        <w:tc>
          <w:tcPr>
            <w:tcW w:w="666"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建筑面积</w:t>
            </w:r>
          </w:p>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（平方米）</w:t>
            </w:r>
          </w:p>
        </w:tc>
        <w:tc>
          <w:tcPr>
            <w:tcW w:w="1022" w:type="pct"/>
            <w:shd w:val="clear" w:color="auto" w:fill="A8D08D"/>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建设内容</w:t>
            </w:r>
          </w:p>
        </w:tc>
        <w:tc>
          <w:tcPr>
            <w:tcW w:w="577" w:type="pct"/>
            <w:shd w:val="clear" w:color="auto" w:fill="A8D08D"/>
            <w:noWrap w:val="0"/>
            <w:vAlign w:val="top"/>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投资估算</w:t>
            </w:r>
          </w:p>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（万元）</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PrEx>
        <w:trPr>
          <w:trHeight w:val="567"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1</w:t>
            </w:r>
          </w:p>
        </w:tc>
        <w:tc>
          <w:tcPr>
            <w:tcW w:w="5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花马池站</w:t>
            </w:r>
          </w:p>
        </w:tc>
        <w:tc>
          <w:tcPr>
            <w:tcW w:w="62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花马池西街与振兴路交叉口东北侧</w:t>
            </w:r>
          </w:p>
        </w:tc>
        <w:tc>
          <w:tcPr>
            <w:tcW w:w="70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一级普通兼化工特勤消防站</w:t>
            </w:r>
          </w:p>
        </w:tc>
        <w:tc>
          <w:tcPr>
            <w:tcW w:w="66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6642.3</w:t>
            </w:r>
          </w:p>
        </w:tc>
        <w:tc>
          <w:tcPr>
            <w:tcW w:w="66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4</w:t>
            </w:r>
            <w:r>
              <w:rPr>
                <w:rFonts w:ascii="仿宋" w:hAnsi="仿宋" w:eastAsia="仿宋" w:cs="Calibri"/>
                <w:bCs/>
                <w:color w:val="000000"/>
                <w:sz w:val="24"/>
              </w:rPr>
              <w:t>000</w:t>
            </w:r>
          </w:p>
        </w:tc>
        <w:tc>
          <w:tcPr>
            <w:tcW w:w="1022" w:type="pct"/>
            <w:shd w:val="clear" w:color="auto" w:fill="E2EFD9"/>
            <w:noWrap w:val="0"/>
            <w:vAlign w:val="center"/>
          </w:tcPr>
          <w:p>
            <w:pPr>
              <w:adjustRightInd w:val="0"/>
              <w:snapToGrid w:val="0"/>
              <w:spacing w:before="0" w:beforeLines="0" w:after="0" w:afterLines="0" w:line="240" w:lineRule="auto"/>
              <w:ind w:firstLine="0" w:firstLineChars="0"/>
              <w:rPr>
                <w:rFonts w:hint="eastAsia" w:ascii="仿宋" w:hAnsi="仿宋" w:eastAsia="仿宋" w:cs="Calibri"/>
                <w:bCs/>
                <w:color w:val="000000"/>
                <w:sz w:val="24"/>
              </w:rPr>
            </w:pPr>
            <w:r>
              <w:rPr>
                <w:rFonts w:hint="eastAsia" w:ascii="仿宋" w:hAnsi="仿宋" w:eastAsia="仿宋" w:cs="Calibri"/>
                <w:bCs/>
                <w:color w:val="000000"/>
                <w:sz w:val="24"/>
              </w:rPr>
              <w:t>提升、改造花马池站，完善消防人员、消防车辆、灭火器材、防护器材等装备配置，达到一级普通兼化工特勤消防要求。</w:t>
            </w:r>
          </w:p>
        </w:tc>
        <w:tc>
          <w:tcPr>
            <w:tcW w:w="577" w:type="pct"/>
            <w:shd w:val="clear" w:color="auto" w:fill="E2EFD9"/>
            <w:noWrap w:val="0"/>
            <w:vAlign w:val="top"/>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ascii="仿宋" w:hAnsi="仿宋" w:eastAsia="仿宋" w:cs="Calibri"/>
                <w:bCs/>
                <w:color w:val="000000"/>
                <w:sz w:val="24"/>
              </w:rPr>
              <w:t>800.00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ascii="仿宋" w:hAnsi="仿宋" w:eastAsia="仿宋" w:cs="Calibri"/>
                <w:b/>
                <w:color w:val="000000"/>
                <w:sz w:val="24"/>
              </w:rPr>
              <w:t>2</w:t>
            </w:r>
          </w:p>
        </w:tc>
        <w:tc>
          <w:tcPr>
            <w:tcW w:w="52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高沙窝政府政府专职消防站</w:t>
            </w:r>
          </w:p>
        </w:tc>
        <w:tc>
          <w:tcPr>
            <w:tcW w:w="62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高沙窝工业园区</w:t>
            </w:r>
          </w:p>
        </w:tc>
        <w:tc>
          <w:tcPr>
            <w:tcW w:w="70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一级普通消防站</w:t>
            </w:r>
          </w:p>
        </w:tc>
        <w:tc>
          <w:tcPr>
            <w:tcW w:w="664"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5000</w:t>
            </w:r>
          </w:p>
        </w:tc>
        <w:tc>
          <w:tcPr>
            <w:tcW w:w="666"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3</w:t>
            </w:r>
            <w:r>
              <w:rPr>
                <w:rFonts w:ascii="仿宋" w:hAnsi="仿宋" w:eastAsia="仿宋" w:cs="Calibri"/>
                <w:bCs/>
                <w:color w:val="000000"/>
                <w:sz w:val="24"/>
              </w:rPr>
              <w:t>000</w:t>
            </w:r>
          </w:p>
        </w:tc>
        <w:tc>
          <w:tcPr>
            <w:tcW w:w="102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提升、改造花高沙窝政府政府专职消防站，完善消防人员、消防车辆、灭火器材、防护器材等装备配置，达到一级普通消防站标准并兼顾林草原灭火的要求。</w:t>
            </w:r>
          </w:p>
        </w:tc>
        <w:tc>
          <w:tcPr>
            <w:tcW w:w="577" w:type="pct"/>
            <w:shd w:val="clear" w:color="auto" w:fill="E2EFD9"/>
            <w:noWrap w:val="0"/>
            <w:vAlign w:val="top"/>
          </w:tcPr>
          <w:p>
            <w:pPr>
              <w:adjustRightInd w:val="0"/>
              <w:snapToGrid w:val="0"/>
              <w:spacing w:before="0" w:beforeLines="0" w:after="0" w:afterLines="0" w:line="240" w:lineRule="auto"/>
              <w:ind w:firstLine="0" w:firstLineChars="0"/>
              <w:rPr>
                <w:rFonts w:ascii="仿宋" w:hAnsi="仿宋" w:eastAsia="仿宋" w:cs="Calibri"/>
                <w:bCs/>
                <w:color w:val="000000"/>
                <w:sz w:val="24"/>
              </w:rPr>
            </w:pPr>
          </w:p>
          <w:p>
            <w:pPr>
              <w:adjustRightInd w:val="0"/>
              <w:snapToGrid w:val="0"/>
              <w:spacing w:before="0" w:beforeLines="0" w:after="0" w:afterLines="0" w:line="240" w:lineRule="auto"/>
              <w:ind w:firstLine="0" w:firstLineChars="0"/>
              <w:rPr>
                <w:rFonts w:ascii="仿宋" w:hAnsi="仿宋" w:eastAsia="仿宋" w:cs="Calibri"/>
                <w:bCs/>
                <w:color w:val="000000"/>
                <w:sz w:val="24"/>
              </w:rPr>
            </w:pPr>
          </w:p>
          <w:p>
            <w:pPr>
              <w:adjustRightInd w:val="0"/>
              <w:snapToGrid w:val="0"/>
              <w:spacing w:before="0" w:beforeLines="0" w:after="0" w:afterLines="0" w:line="240" w:lineRule="auto"/>
              <w:ind w:firstLine="0" w:firstLineChars="0"/>
              <w:rPr>
                <w:rFonts w:ascii="仿宋" w:hAnsi="仿宋" w:eastAsia="仿宋" w:cs="Calibri"/>
                <w:bCs/>
                <w:color w:val="000000"/>
                <w:sz w:val="24"/>
              </w:rPr>
            </w:pPr>
          </w:p>
          <w:p>
            <w:pPr>
              <w:adjustRightInd w:val="0"/>
              <w:snapToGrid w:val="0"/>
              <w:spacing w:before="0" w:beforeLines="0" w:after="0" w:afterLines="0" w:line="240" w:lineRule="auto"/>
              <w:ind w:firstLine="0" w:firstLineChars="0"/>
              <w:rPr>
                <w:rFonts w:hint="eastAsia" w:ascii="仿宋" w:hAnsi="仿宋" w:eastAsia="仿宋" w:cs="Calibri"/>
                <w:bCs/>
                <w:color w:val="000000"/>
                <w:sz w:val="24"/>
              </w:rPr>
            </w:pPr>
          </w:p>
          <w:p>
            <w:pPr>
              <w:adjustRightInd w:val="0"/>
              <w:snapToGrid w:val="0"/>
              <w:spacing w:before="0" w:beforeLines="0" w:after="0" w:afterLines="0" w:line="240" w:lineRule="auto"/>
              <w:ind w:firstLine="0" w:firstLineChars="0"/>
              <w:rPr>
                <w:rFonts w:hint="eastAsia" w:ascii="仿宋" w:hAnsi="仿宋" w:eastAsia="仿宋" w:cs="Calibri"/>
                <w:bCs/>
                <w:color w:val="000000"/>
                <w:sz w:val="24"/>
              </w:rPr>
            </w:pPr>
            <w:r>
              <w:rPr>
                <w:rFonts w:ascii="仿宋" w:hAnsi="仿宋" w:eastAsia="仿宋" w:cs="Calibri"/>
                <w:bCs/>
                <w:color w:val="000000"/>
                <w:sz w:val="24"/>
              </w:rPr>
              <w:t>400.00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PrEx>
        <w:trPr>
          <w:trHeight w:val="567"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
                <w:color w:val="000000"/>
                <w:sz w:val="24"/>
              </w:rPr>
            </w:pPr>
            <w:r>
              <w:rPr>
                <w:rFonts w:hint="eastAsia" w:ascii="仿宋" w:hAnsi="仿宋" w:eastAsia="仿宋" w:cs="Calibri"/>
                <w:b/>
                <w:color w:val="000000"/>
                <w:sz w:val="24"/>
              </w:rPr>
              <w:t>3</w:t>
            </w:r>
          </w:p>
        </w:tc>
        <w:tc>
          <w:tcPr>
            <w:tcW w:w="5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小型消防站</w:t>
            </w:r>
          </w:p>
        </w:tc>
        <w:tc>
          <w:tcPr>
            <w:tcW w:w="62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大水坑镇</w:t>
            </w:r>
          </w:p>
        </w:tc>
        <w:tc>
          <w:tcPr>
            <w:tcW w:w="70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小型消防站</w:t>
            </w:r>
          </w:p>
        </w:tc>
        <w:tc>
          <w:tcPr>
            <w:tcW w:w="66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1500</w:t>
            </w:r>
          </w:p>
        </w:tc>
        <w:tc>
          <w:tcPr>
            <w:tcW w:w="666"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1000</w:t>
            </w:r>
          </w:p>
        </w:tc>
        <w:tc>
          <w:tcPr>
            <w:tcW w:w="10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新建，按小型消防站配备消防人员、消防车辆、灭火器材、防护器材等。</w:t>
            </w:r>
          </w:p>
        </w:tc>
        <w:tc>
          <w:tcPr>
            <w:tcW w:w="577" w:type="pct"/>
            <w:shd w:val="clear" w:color="auto" w:fill="E2EFD9"/>
            <w:noWrap w:val="0"/>
            <w:vAlign w:val="top"/>
          </w:tcPr>
          <w:p>
            <w:pPr>
              <w:adjustRightInd w:val="0"/>
              <w:snapToGrid w:val="0"/>
              <w:spacing w:before="0" w:beforeLines="0" w:after="0" w:afterLines="0" w:line="240" w:lineRule="auto"/>
              <w:ind w:firstLine="0" w:firstLineChars="0"/>
              <w:rPr>
                <w:rFonts w:ascii="仿宋" w:hAnsi="仿宋" w:eastAsia="仿宋" w:cs="Calibri"/>
                <w:bCs/>
                <w:color w:val="000000"/>
                <w:sz w:val="24"/>
              </w:rPr>
            </w:pPr>
          </w:p>
          <w:p>
            <w:pPr>
              <w:adjustRightInd w:val="0"/>
              <w:snapToGrid w:val="0"/>
              <w:spacing w:before="0" w:beforeLines="0" w:after="0" w:afterLines="0" w:line="240" w:lineRule="auto"/>
              <w:ind w:firstLine="0" w:firstLineChars="0"/>
              <w:rPr>
                <w:rFonts w:ascii="仿宋" w:hAnsi="仿宋" w:eastAsia="仿宋" w:cs="Calibri"/>
                <w:bCs/>
                <w:color w:val="000000"/>
                <w:sz w:val="24"/>
              </w:rPr>
            </w:pPr>
            <w:r>
              <w:rPr>
                <w:rFonts w:hint="eastAsia" w:ascii="仿宋" w:hAnsi="仿宋" w:eastAsia="仿宋" w:cs="Calibri"/>
                <w:bCs/>
                <w:color w:val="000000"/>
                <w:sz w:val="24"/>
              </w:rPr>
              <w:t>1</w:t>
            </w:r>
            <w:r>
              <w:rPr>
                <w:rFonts w:ascii="仿宋" w:hAnsi="仿宋" w:eastAsia="仿宋" w:cs="Calibri"/>
                <w:bCs/>
                <w:color w:val="000000"/>
                <w:sz w:val="24"/>
              </w:rPr>
              <w:t>000.00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4</w:t>
            </w:r>
          </w:p>
        </w:tc>
        <w:tc>
          <w:tcPr>
            <w:tcW w:w="5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乡镇消防队</w:t>
            </w:r>
          </w:p>
        </w:tc>
        <w:tc>
          <w:tcPr>
            <w:tcW w:w="62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惠安堡镇</w:t>
            </w:r>
          </w:p>
        </w:tc>
        <w:tc>
          <w:tcPr>
            <w:tcW w:w="70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一级乡镇专职消防队</w:t>
            </w:r>
          </w:p>
        </w:tc>
        <w:tc>
          <w:tcPr>
            <w:tcW w:w="66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1</w:t>
            </w:r>
            <w:r>
              <w:rPr>
                <w:rFonts w:ascii="仿宋" w:hAnsi="仿宋" w:eastAsia="仿宋" w:cs="Calibri"/>
                <w:bCs/>
                <w:color w:val="000000"/>
                <w:sz w:val="24"/>
              </w:rPr>
              <w:t>200</w:t>
            </w:r>
          </w:p>
        </w:tc>
        <w:tc>
          <w:tcPr>
            <w:tcW w:w="666"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6</w:t>
            </w:r>
            <w:r>
              <w:rPr>
                <w:rFonts w:ascii="仿宋" w:hAnsi="仿宋" w:eastAsia="仿宋" w:cs="Calibri"/>
                <w:bCs/>
                <w:color w:val="000000"/>
                <w:sz w:val="24"/>
              </w:rPr>
              <w:t>00</w:t>
            </w:r>
          </w:p>
        </w:tc>
        <w:tc>
          <w:tcPr>
            <w:tcW w:w="10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提升、改造，按一级乡镇专职消防队标准配备消防人员、消防车辆、灭火器材、防护器材等。</w:t>
            </w:r>
          </w:p>
        </w:tc>
        <w:tc>
          <w:tcPr>
            <w:tcW w:w="577" w:type="pct"/>
            <w:shd w:val="clear" w:color="auto" w:fill="E2EFD9"/>
            <w:noWrap w:val="0"/>
            <w:vAlign w:val="top"/>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ascii="仿宋" w:hAnsi="仿宋" w:eastAsia="仿宋" w:cs="Calibri"/>
                <w:bCs/>
                <w:color w:val="000000"/>
                <w:sz w:val="24"/>
              </w:rPr>
              <w:t>100.00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PrEx>
        <w:trPr>
          <w:trHeight w:val="567"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5</w:t>
            </w:r>
          </w:p>
        </w:tc>
        <w:tc>
          <w:tcPr>
            <w:tcW w:w="5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乡镇消防队</w:t>
            </w:r>
          </w:p>
        </w:tc>
        <w:tc>
          <w:tcPr>
            <w:tcW w:w="62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青山乡</w:t>
            </w:r>
          </w:p>
        </w:tc>
        <w:tc>
          <w:tcPr>
            <w:tcW w:w="70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乡镇志愿消防队</w:t>
            </w:r>
          </w:p>
        </w:tc>
        <w:tc>
          <w:tcPr>
            <w:tcW w:w="66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4</w:t>
            </w:r>
            <w:r>
              <w:rPr>
                <w:rFonts w:ascii="仿宋" w:hAnsi="仿宋" w:eastAsia="仿宋" w:cs="Calibri"/>
                <w:bCs/>
                <w:color w:val="000000"/>
                <w:sz w:val="24"/>
              </w:rPr>
              <w:t>00</w:t>
            </w:r>
          </w:p>
        </w:tc>
        <w:tc>
          <w:tcPr>
            <w:tcW w:w="666"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2</w:t>
            </w:r>
            <w:r>
              <w:rPr>
                <w:rFonts w:ascii="仿宋" w:hAnsi="仿宋" w:eastAsia="仿宋" w:cs="Calibri"/>
                <w:bCs/>
                <w:color w:val="000000"/>
                <w:sz w:val="24"/>
              </w:rPr>
              <w:t>00</w:t>
            </w:r>
          </w:p>
        </w:tc>
        <w:tc>
          <w:tcPr>
            <w:tcW w:w="10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新建，按乡镇志愿消防队标准建设。</w:t>
            </w:r>
          </w:p>
        </w:tc>
        <w:tc>
          <w:tcPr>
            <w:tcW w:w="577" w:type="pct"/>
            <w:shd w:val="clear" w:color="auto" w:fill="E2EFD9"/>
            <w:noWrap w:val="0"/>
            <w:vAlign w:val="top"/>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5</w:t>
            </w:r>
            <w:r>
              <w:rPr>
                <w:rFonts w:ascii="仿宋" w:hAnsi="仿宋" w:eastAsia="仿宋" w:cs="Calibri"/>
                <w:bCs/>
                <w:color w:val="000000"/>
                <w:sz w:val="24"/>
              </w:rPr>
              <w:t>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6</w:t>
            </w:r>
          </w:p>
        </w:tc>
        <w:tc>
          <w:tcPr>
            <w:tcW w:w="5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市政消火栓</w:t>
            </w:r>
          </w:p>
        </w:tc>
        <w:tc>
          <w:tcPr>
            <w:tcW w:w="62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县城、工业园区</w:t>
            </w:r>
          </w:p>
        </w:tc>
        <w:tc>
          <w:tcPr>
            <w:tcW w:w="70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消防供水</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设施</w:t>
            </w:r>
          </w:p>
        </w:tc>
        <w:tc>
          <w:tcPr>
            <w:tcW w:w="66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66"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10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增补市政消火栓1</w:t>
            </w:r>
            <w:r>
              <w:rPr>
                <w:rFonts w:ascii="仿宋" w:hAnsi="仿宋" w:eastAsia="仿宋" w:cs="Calibri"/>
                <w:bCs/>
                <w:color w:val="000000"/>
                <w:sz w:val="24"/>
              </w:rPr>
              <w:t>00座</w:t>
            </w:r>
            <w:r>
              <w:rPr>
                <w:rFonts w:hint="eastAsia" w:ascii="仿宋" w:hAnsi="仿宋" w:eastAsia="仿宋" w:cs="Calibri"/>
                <w:bCs/>
                <w:color w:val="000000"/>
                <w:sz w:val="24"/>
              </w:rPr>
              <w:t>。</w:t>
            </w:r>
          </w:p>
        </w:tc>
        <w:tc>
          <w:tcPr>
            <w:tcW w:w="577" w:type="pct"/>
            <w:shd w:val="clear" w:color="auto" w:fill="E2EFD9"/>
            <w:noWrap w:val="0"/>
            <w:vAlign w:val="top"/>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1</w:t>
            </w:r>
            <w:r>
              <w:rPr>
                <w:rFonts w:ascii="仿宋" w:hAnsi="仿宋" w:eastAsia="仿宋" w:cs="Calibri"/>
                <w:bCs/>
                <w:color w:val="000000"/>
                <w:sz w:val="24"/>
              </w:rPr>
              <w:t>00.00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PrEx>
        <w:trPr>
          <w:trHeight w:val="567"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7</w:t>
            </w:r>
          </w:p>
        </w:tc>
        <w:tc>
          <w:tcPr>
            <w:tcW w:w="52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消防</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水鹤</w:t>
            </w:r>
          </w:p>
        </w:tc>
        <w:tc>
          <w:tcPr>
            <w:tcW w:w="62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县城、工业园区</w:t>
            </w:r>
          </w:p>
        </w:tc>
        <w:tc>
          <w:tcPr>
            <w:tcW w:w="70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消防供水</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设施</w:t>
            </w:r>
          </w:p>
        </w:tc>
        <w:tc>
          <w:tcPr>
            <w:tcW w:w="66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66"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10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增补消防水鹤</w:t>
            </w:r>
            <w:r>
              <w:rPr>
                <w:rFonts w:ascii="仿宋" w:hAnsi="仿宋" w:eastAsia="仿宋" w:cs="Calibri"/>
                <w:bCs/>
                <w:color w:val="000000"/>
                <w:sz w:val="24"/>
              </w:rPr>
              <w:t>3</w:t>
            </w:r>
            <w:r>
              <w:rPr>
                <w:rFonts w:hint="eastAsia" w:ascii="仿宋" w:hAnsi="仿宋" w:eastAsia="仿宋" w:cs="Calibri"/>
                <w:bCs/>
                <w:color w:val="000000"/>
                <w:sz w:val="24"/>
              </w:rPr>
              <w:t>座。</w:t>
            </w:r>
          </w:p>
        </w:tc>
        <w:tc>
          <w:tcPr>
            <w:tcW w:w="577" w:type="pct"/>
            <w:shd w:val="clear" w:color="auto" w:fill="E2EFD9"/>
            <w:noWrap w:val="0"/>
            <w:vAlign w:val="top"/>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1</w:t>
            </w:r>
            <w:r>
              <w:rPr>
                <w:rFonts w:ascii="仿宋" w:hAnsi="仿宋" w:eastAsia="仿宋" w:cs="Calibri"/>
                <w:bCs/>
                <w:color w:val="000000"/>
                <w:sz w:val="24"/>
              </w:rPr>
              <w:t>5.00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CellMar>
            <w:top w:w="0" w:type="dxa"/>
            <w:left w:w="108" w:type="dxa"/>
            <w:bottom w:w="0" w:type="dxa"/>
            <w:right w:w="108" w:type="dxa"/>
          </w:tblCellMar>
        </w:tblPrEx>
        <w:trPr>
          <w:trHeight w:val="567"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8</w:t>
            </w:r>
          </w:p>
        </w:tc>
        <w:tc>
          <w:tcPr>
            <w:tcW w:w="52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通信</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器材</w:t>
            </w:r>
          </w:p>
        </w:tc>
        <w:tc>
          <w:tcPr>
            <w:tcW w:w="62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大队、消防站</w:t>
            </w:r>
          </w:p>
        </w:tc>
        <w:tc>
          <w:tcPr>
            <w:tcW w:w="702" w:type="pct"/>
            <w:shd w:val="clear" w:color="auto" w:fill="E2EFD9"/>
            <w:noWrap w:val="0"/>
            <w:vAlign w:val="center"/>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消防通信</w:t>
            </w:r>
          </w:p>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器材</w:t>
            </w:r>
          </w:p>
        </w:tc>
        <w:tc>
          <w:tcPr>
            <w:tcW w:w="66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66"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10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参照相关标准，按实际需求配备。</w:t>
            </w:r>
          </w:p>
        </w:tc>
        <w:tc>
          <w:tcPr>
            <w:tcW w:w="577" w:type="pct"/>
            <w:shd w:val="clear" w:color="auto" w:fill="E2EFD9"/>
            <w:noWrap w:val="0"/>
            <w:vAlign w:val="top"/>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5</w:t>
            </w:r>
            <w:r>
              <w:rPr>
                <w:rFonts w:ascii="仿宋" w:hAnsi="仿宋" w:eastAsia="仿宋" w:cs="Calibri"/>
                <w:bCs/>
                <w:color w:val="000000"/>
                <w:sz w:val="24"/>
              </w:rPr>
              <w:t>0.00</w:t>
            </w:r>
          </w:p>
        </w:tc>
      </w:tr>
      <w:tr>
        <w:tblPrEx>
          <w:tblBorders>
            <w:top w:val="single" w:color="538135" w:sz="8" w:space="0"/>
            <w:left w:val="single" w:color="538135" w:sz="8" w:space="0"/>
            <w:bottom w:val="single" w:color="538135" w:sz="8" w:space="0"/>
            <w:right w:val="single" w:color="538135" w:sz="8" w:space="0"/>
            <w:insideH w:val="single" w:color="538135" w:sz="8" w:space="0"/>
            <w:insideV w:val="single" w:color="538135" w:sz="8" w:space="0"/>
          </w:tblBorders>
        </w:tblPrEx>
        <w:trPr>
          <w:trHeight w:val="567" w:hRule="atLeast"/>
          <w:jc w:val="center"/>
        </w:trPr>
        <w:tc>
          <w:tcPr>
            <w:tcW w:w="223"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
                <w:color w:val="000000"/>
                <w:sz w:val="24"/>
              </w:rPr>
            </w:pPr>
            <w:r>
              <w:rPr>
                <w:rFonts w:hint="eastAsia" w:ascii="仿宋" w:hAnsi="仿宋" w:eastAsia="仿宋" w:cs="Calibri"/>
                <w:b/>
                <w:color w:val="000000"/>
                <w:sz w:val="24"/>
              </w:rPr>
              <w:t>9</w:t>
            </w:r>
          </w:p>
        </w:tc>
        <w:tc>
          <w:tcPr>
            <w:tcW w:w="5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r>
              <w:rPr>
                <w:rFonts w:hint="eastAsia" w:ascii="仿宋" w:hAnsi="仿宋" w:eastAsia="仿宋" w:cs="Calibri"/>
                <w:bCs/>
                <w:color w:val="000000"/>
                <w:sz w:val="24"/>
              </w:rPr>
              <w:t>合计</w:t>
            </w:r>
          </w:p>
        </w:tc>
        <w:tc>
          <w:tcPr>
            <w:tcW w:w="62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70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64"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666"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1022" w:type="pct"/>
            <w:shd w:val="clear" w:color="auto" w:fill="E2EFD9"/>
            <w:noWrap w:val="0"/>
            <w:vAlign w:val="center"/>
          </w:tcPr>
          <w:p>
            <w:pPr>
              <w:adjustRightInd w:val="0"/>
              <w:snapToGrid w:val="0"/>
              <w:spacing w:before="0" w:beforeLines="0" w:after="0" w:afterLines="0" w:line="240" w:lineRule="auto"/>
              <w:ind w:firstLine="0" w:firstLineChars="0"/>
              <w:jc w:val="center"/>
              <w:rPr>
                <w:rFonts w:hint="eastAsia" w:ascii="仿宋" w:hAnsi="仿宋" w:eastAsia="仿宋" w:cs="Calibri"/>
                <w:bCs/>
                <w:color w:val="000000"/>
                <w:sz w:val="24"/>
              </w:rPr>
            </w:pPr>
          </w:p>
        </w:tc>
        <w:tc>
          <w:tcPr>
            <w:tcW w:w="577" w:type="pct"/>
            <w:shd w:val="clear" w:color="auto" w:fill="E2EFD9"/>
            <w:noWrap w:val="0"/>
            <w:vAlign w:val="top"/>
          </w:tcPr>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p>
          <w:p>
            <w:pPr>
              <w:adjustRightInd w:val="0"/>
              <w:snapToGrid w:val="0"/>
              <w:spacing w:before="0" w:beforeLines="0" w:after="0" w:afterLines="0" w:line="240" w:lineRule="auto"/>
              <w:ind w:firstLine="0" w:firstLineChars="0"/>
              <w:jc w:val="center"/>
              <w:rPr>
                <w:rFonts w:ascii="仿宋" w:hAnsi="仿宋" w:eastAsia="仿宋" w:cs="Calibri"/>
                <w:bCs/>
                <w:color w:val="000000"/>
                <w:sz w:val="24"/>
              </w:rPr>
            </w:pPr>
            <w:r>
              <w:rPr>
                <w:rFonts w:hint="eastAsia" w:ascii="仿宋" w:hAnsi="仿宋" w:eastAsia="仿宋" w:cs="Calibri"/>
                <w:bCs/>
                <w:color w:val="000000"/>
                <w:sz w:val="24"/>
              </w:rPr>
              <w:t>2</w:t>
            </w:r>
            <w:r>
              <w:rPr>
                <w:rFonts w:ascii="仿宋" w:hAnsi="仿宋" w:eastAsia="仿宋" w:cs="Calibri"/>
                <w:bCs/>
                <w:color w:val="000000"/>
                <w:sz w:val="24"/>
              </w:rPr>
              <w:t>515.00</w:t>
            </w:r>
          </w:p>
        </w:tc>
      </w:tr>
    </w:tbl>
    <w:p>
      <w:pPr>
        <w:pStyle w:val="2"/>
        <w:numPr>
          <w:ilvl w:val="0"/>
          <w:numId w:val="3"/>
        </w:numPr>
        <w:spacing w:before="190" w:after="190"/>
        <w:ind w:firstLine="0"/>
        <w:jc w:val="center"/>
        <w:rPr>
          <w:rFonts w:ascii="宋体" w:hAnsi="宋体"/>
          <w:b/>
        </w:rPr>
      </w:pPr>
      <w:bookmarkStart w:id="548" w:name="_Toc29851"/>
      <w:bookmarkStart w:id="549" w:name="_Toc60"/>
      <w:r>
        <w:rPr>
          <w:rFonts w:hint="eastAsia" w:ascii="宋体" w:hAnsi="宋体"/>
          <w:b/>
        </w:rPr>
        <w:t>实施措施和建议</w:t>
      </w:r>
      <w:bookmarkEnd w:id="548"/>
      <w:bookmarkEnd w:id="549"/>
    </w:p>
    <w:p>
      <w:pPr>
        <w:spacing w:before="190" w:after="190"/>
        <w:ind w:firstLine="560"/>
        <w:rPr>
          <w:rFonts w:ascii="宋体" w:hAnsi="宋体"/>
        </w:rPr>
      </w:pPr>
      <w:r>
        <w:rPr>
          <w:rFonts w:ascii="宋体" w:hAnsi="宋体"/>
        </w:rPr>
        <w:t>城市消防规划是一个城市消防工作发展的蓝图，也是城市消防与城市建设的重要依据。规划是个动态的过程，要想使规划的蓝图变为现实，是一个长期的、艰巨的工作，因其涉及面较广，所以必须将规划的实施与管理纳入法制化、正常化的轨道，并建立对规划编制、政策制定、技术深化、行政执法等方面全方位、全过程的反馈机制，才能将规划的蓝图变为现实，也才能使城市消防的建设步入健康发展的道路。为此，对</w:t>
      </w:r>
      <w:r>
        <w:rPr>
          <w:rFonts w:hint="eastAsia" w:ascii="宋体" w:hAnsi="宋体"/>
        </w:rPr>
        <w:t>盐池县城市</w:t>
      </w:r>
      <w:r>
        <w:rPr>
          <w:rFonts w:ascii="宋体" w:hAnsi="宋体"/>
        </w:rPr>
        <w:t>消防规划实施与管理提出以下措施。</w:t>
      </w:r>
    </w:p>
    <w:p>
      <w:pPr>
        <w:pStyle w:val="3"/>
        <w:spacing w:before="190" w:after="190"/>
        <w:rPr>
          <w:rFonts w:ascii="宋体" w:hAnsi="宋体"/>
          <w:szCs w:val="32"/>
        </w:rPr>
      </w:pPr>
      <w:bookmarkStart w:id="550" w:name="_Toc17167"/>
      <w:bookmarkStart w:id="551" w:name="_Toc24319"/>
      <w:r>
        <w:rPr>
          <w:rFonts w:ascii="宋体" w:hAnsi="宋体"/>
          <w:szCs w:val="32"/>
        </w:rPr>
        <w:t>1</w:t>
      </w:r>
      <w:r>
        <w:rPr>
          <w:rFonts w:hint="eastAsia" w:ascii="宋体" w:hAnsi="宋体"/>
          <w:szCs w:val="32"/>
        </w:rPr>
        <w:t>4</w:t>
      </w:r>
      <w:r>
        <w:rPr>
          <w:rFonts w:ascii="宋体" w:hAnsi="宋体"/>
          <w:szCs w:val="32"/>
        </w:rPr>
        <w:t>.1规划实施</w:t>
      </w:r>
      <w:bookmarkEnd w:id="550"/>
      <w:bookmarkEnd w:id="551"/>
    </w:p>
    <w:p>
      <w:pPr>
        <w:spacing w:before="190" w:after="190"/>
        <w:ind w:firstLine="560"/>
        <w:rPr>
          <w:rFonts w:ascii="宋体" w:hAnsi="宋体"/>
        </w:rPr>
      </w:pPr>
      <w:r>
        <w:rPr>
          <w:rFonts w:ascii="宋体" w:hAnsi="宋体"/>
        </w:rPr>
        <w:t>（1）消防规划一经政府批准，即具有法律效力，任何单位和个人无权任意更改。如有原则性改变须经原审批机关批准。</w:t>
      </w:r>
    </w:p>
    <w:p>
      <w:pPr>
        <w:spacing w:before="190" w:after="190"/>
        <w:ind w:firstLine="560"/>
        <w:rPr>
          <w:rFonts w:ascii="宋体" w:hAnsi="宋体"/>
        </w:rPr>
      </w:pPr>
      <w:r>
        <w:rPr>
          <w:rFonts w:ascii="宋体" w:hAnsi="宋体"/>
        </w:rPr>
        <w:t>（2）相关政府部门应根据消防规划目标，制定年度实施计划，编制相应的政策性文件，</w:t>
      </w:r>
      <w:r>
        <w:rPr>
          <w:rFonts w:hint="eastAsia" w:ascii="宋体" w:hAnsi="宋体"/>
        </w:rPr>
        <w:t>应急管理、自然资源</w:t>
      </w:r>
      <w:r>
        <w:rPr>
          <w:rFonts w:ascii="宋体" w:hAnsi="宋体"/>
        </w:rPr>
        <w:t>、建设、发改、公安、财政等部门明确责任分工，做到任务到岗、责任到人、奖罚分明。</w:t>
      </w:r>
    </w:p>
    <w:p>
      <w:pPr>
        <w:spacing w:before="190" w:after="190"/>
        <w:ind w:firstLine="560"/>
        <w:rPr>
          <w:rFonts w:ascii="宋体" w:hAnsi="宋体"/>
        </w:rPr>
      </w:pPr>
      <w:r>
        <w:rPr>
          <w:rFonts w:ascii="宋体" w:hAnsi="宋体"/>
        </w:rPr>
        <w:t>（3）</w:t>
      </w:r>
      <w:r>
        <w:rPr>
          <w:rFonts w:hint="eastAsia" w:ascii="宋体" w:hAnsi="宋体"/>
        </w:rPr>
        <w:t>应急管理、自然资源、</w:t>
      </w:r>
      <w:r>
        <w:rPr>
          <w:rFonts w:ascii="宋体" w:hAnsi="宋体"/>
        </w:rPr>
        <w:t>建设部门要积极参与城市消防规划的编制，并纳入法定规划中，保证城镇公共消防设施与其他市政基础设施同步规划、同步建设。</w:t>
      </w:r>
    </w:p>
    <w:p>
      <w:pPr>
        <w:spacing w:before="190" w:after="190"/>
        <w:ind w:firstLine="560"/>
        <w:rPr>
          <w:rFonts w:ascii="宋体" w:hAnsi="宋体"/>
        </w:rPr>
      </w:pPr>
      <w:r>
        <w:rPr>
          <w:rFonts w:ascii="宋体" w:hAnsi="宋体"/>
        </w:rPr>
        <w:t>（4）消防部门提出年度实施计划，协同有关部门包括发改、财政、建设、规划、供电、供水、交通、通信等部门积极落实规划。</w:t>
      </w:r>
    </w:p>
    <w:p>
      <w:pPr>
        <w:spacing w:before="190" w:after="190"/>
        <w:ind w:firstLine="560"/>
        <w:rPr>
          <w:rFonts w:ascii="宋体" w:hAnsi="宋体"/>
        </w:rPr>
      </w:pPr>
      <w:r>
        <w:rPr>
          <w:rFonts w:ascii="宋体" w:hAnsi="宋体"/>
        </w:rPr>
        <w:t>（5）发改部门要将消防事业建设纳入国民经济与社会发展总体计划中。</w:t>
      </w:r>
    </w:p>
    <w:p>
      <w:pPr>
        <w:spacing w:before="190" w:after="190"/>
        <w:ind w:firstLine="560"/>
        <w:rPr>
          <w:rFonts w:ascii="宋体" w:hAnsi="宋体"/>
        </w:rPr>
      </w:pPr>
      <w:r>
        <w:rPr>
          <w:rFonts w:ascii="宋体" w:hAnsi="宋体"/>
        </w:rPr>
        <w:t>（6）财政部门要根据城市经济发展水平和消防部队拓宽抢险救援职能的实际情况，逐步增加消防经费的投入，保证消防事业费用供给的合理增长。</w:t>
      </w:r>
    </w:p>
    <w:p>
      <w:pPr>
        <w:spacing w:before="190" w:after="190"/>
        <w:ind w:firstLine="560"/>
      </w:pPr>
      <w:r>
        <w:rPr>
          <w:rFonts w:ascii="宋体" w:hAnsi="宋体"/>
        </w:rPr>
        <w:t>（7）提倡广泛的公众参与，让公众了解城市消防规划的内容，规划实施过程中也应积极、充分收集社会各阶层的意见和建议，从而不断完善规划的实施和管理。</w:t>
      </w:r>
    </w:p>
    <w:p>
      <w:pPr>
        <w:pStyle w:val="3"/>
        <w:spacing w:before="190" w:after="190"/>
        <w:rPr>
          <w:rFonts w:ascii="宋体" w:hAnsi="宋体"/>
          <w:szCs w:val="32"/>
        </w:rPr>
      </w:pPr>
      <w:bookmarkStart w:id="552" w:name="_Toc14693"/>
      <w:bookmarkStart w:id="553" w:name="_Toc30970"/>
      <w:r>
        <w:rPr>
          <w:rFonts w:ascii="宋体" w:hAnsi="宋体"/>
          <w:szCs w:val="32"/>
        </w:rPr>
        <w:t>1</w:t>
      </w:r>
      <w:r>
        <w:rPr>
          <w:rFonts w:hint="eastAsia" w:ascii="宋体" w:hAnsi="宋体"/>
          <w:szCs w:val="32"/>
        </w:rPr>
        <w:t>4</w:t>
      </w:r>
      <w:r>
        <w:rPr>
          <w:rFonts w:ascii="宋体" w:hAnsi="宋体"/>
          <w:szCs w:val="32"/>
        </w:rPr>
        <w:t>.2政策制定</w:t>
      </w:r>
      <w:bookmarkEnd w:id="552"/>
      <w:bookmarkEnd w:id="553"/>
    </w:p>
    <w:p>
      <w:pPr>
        <w:spacing w:before="190" w:after="190"/>
        <w:ind w:firstLine="560"/>
        <w:rPr>
          <w:rFonts w:ascii="宋体" w:hAnsi="宋体"/>
        </w:rPr>
      </w:pPr>
      <w:r>
        <w:rPr>
          <w:rFonts w:ascii="宋体" w:hAnsi="宋体"/>
        </w:rPr>
        <w:t>完善城市消防规划地方法规的立法工作，进一步贯彻落实《中华人民共和国城乡规划法》和《宁夏回族自治区实施&lt;中华人民共和国消防法&gt;办法》的要求，逐步完善城市消防规划地方法规的立法工作，并根据消防规划的各项规定和要求，制定相应的实施细则和技术规范，使城市消防建设和规划管理有法可依。</w:t>
      </w:r>
    </w:p>
    <w:p>
      <w:pPr>
        <w:spacing w:before="190" w:after="190"/>
        <w:ind w:firstLine="560"/>
        <w:rPr>
          <w:rFonts w:ascii="宋体" w:hAnsi="宋体"/>
        </w:rPr>
      </w:pPr>
      <w:r>
        <w:rPr>
          <w:rFonts w:ascii="宋体" w:hAnsi="宋体"/>
        </w:rPr>
        <w:t>健全法制监督和执法的反馈机制，要进一步完善城市消防规划管理的法规体系，建立健全法制监督和执法的反馈机制，使城市消防建设、管理、违法的处理等有章可循。</w:t>
      </w:r>
    </w:p>
    <w:p>
      <w:pPr>
        <w:pStyle w:val="3"/>
        <w:spacing w:before="190" w:after="190"/>
        <w:rPr>
          <w:rFonts w:ascii="宋体" w:hAnsi="宋体"/>
          <w:szCs w:val="32"/>
        </w:rPr>
      </w:pPr>
      <w:bookmarkStart w:id="554" w:name="_Toc2278"/>
      <w:bookmarkStart w:id="555" w:name="_Toc21575"/>
      <w:r>
        <w:rPr>
          <w:rFonts w:ascii="宋体" w:hAnsi="宋体"/>
          <w:szCs w:val="32"/>
        </w:rPr>
        <w:t>1</w:t>
      </w:r>
      <w:r>
        <w:rPr>
          <w:rFonts w:hint="eastAsia" w:ascii="宋体" w:hAnsi="宋体"/>
          <w:szCs w:val="32"/>
        </w:rPr>
        <w:t>4</w:t>
      </w:r>
      <w:r>
        <w:rPr>
          <w:rFonts w:ascii="宋体" w:hAnsi="宋体"/>
          <w:szCs w:val="32"/>
        </w:rPr>
        <w:t>.3技术支撑</w:t>
      </w:r>
      <w:bookmarkEnd w:id="554"/>
      <w:bookmarkEnd w:id="555"/>
    </w:p>
    <w:p>
      <w:pPr>
        <w:spacing w:before="190" w:after="190"/>
        <w:ind w:firstLine="560"/>
        <w:rPr>
          <w:rFonts w:ascii="宋体" w:hAnsi="宋体"/>
        </w:rPr>
      </w:pPr>
      <w:r>
        <w:rPr>
          <w:rFonts w:ascii="宋体" w:hAnsi="宋体"/>
        </w:rPr>
        <w:t>按照城市消防总体规划所确定的原则，在进一步编制城市分区规划、各地段的控制性详细规划和重要地段的修建性详细规划时，应根据规划要求，落实公共消防设施用地。</w:t>
      </w:r>
    </w:p>
    <w:p>
      <w:pPr>
        <w:pStyle w:val="3"/>
        <w:spacing w:before="190" w:after="190"/>
        <w:rPr>
          <w:rFonts w:ascii="宋体" w:hAnsi="宋体"/>
          <w:szCs w:val="32"/>
        </w:rPr>
      </w:pPr>
      <w:bookmarkStart w:id="556" w:name="_Toc542"/>
      <w:bookmarkStart w:id="557" w:name="_Toc26768"/>
      <w:r>
        <w:rPr>
          <w:rFonts w:ascii="宋体" w:hAnsi="宋体"/>
          <w:szCs w:val="32"/>
        </w:rPr>
        <w:t>1</w:t>
      </w:r>
      <w:r>
        <w:rPr>
          <w:rFonts w:hint="eastAsia" w:ascii="宋体" w:hAnsi="宋体"/>
          <w:szCs w:val="32"/>
        </w:rPr>
        <w:t>4</w:t>
      </w:r>
      <w:r>
        <w:rPr>
          <w:rFonts w:ascii="宋体" w:hAnsi="宋体"/>
          <w:szCs w:val="32"/>
        </w:rPr>
        <w:t>.4规划管理</w:t>
      </w:r>
      <w:bookmarkEnd w:id="556"/>
      <w:bookmarkEnd w:id="557"/>
    </w:p>
    <w:p>
      <w:pPr>
        <w:spacing w:before="190" w:after="190"/>
        <w:ind w:firstLine="560"/>
        <w:rPr>
          <w:rFonts w:ascii="宋体" w:hAnsi="宋体"/>
        </w:rPr>
      </w:pPr>
      <w:r>
        <w:rPr>
          <w:rFonts w:ascii="宋体" w:hAnsi="宋体"/>
        </w:rPr>
        <w:t>（1）加强对城市消防建设的组织领导</w:t>
      </w:r>
    </w:p>
    <w:p>
      <w:pPr>
        <w:spacing w:before="190" w:after="190"/>
        <w:ind w:firstLine="560"/>
        <w:rPr>
          <w:rFonts w:ascii="宋体" w:hAnsi="宋体"/>
        </w:rPr>
      </w:pPr>
      <w:r>
        <w:rPr>
          <w:rFonts w:ascii="宋体" w:hAnsi="宋体"/>
        </w:rPr>
        <w:t>要建立以城市分管领导为主的消防规划建设工作领导小组，对涉及消防规划重大的原则性问题，由消防规划工作领导小组集体决策，以保证城市消防建设和管理决策的科学性和合理性，避免人为因素对城市消防建设造成不必要的浪费。</w:t>
      </w:r>
    </w:p>
    <w:p>
      <w:pPr>
        <w:spacing w:before="190" w:after="190"/>
        <w:ind w:firstLine="560"/>
        <w:rPr>
          <w:rFonts w:ascii="宋体" w:hAnsi="宋体"/>
        </w:rPr>
      </w:pPr>
      <w:r>
        <w:rPr>
          <w:rFonts w:ascii="宋体" w:hAnsi="宋体"/>
        </w:rPr>
        <w:t>（2）加强城市消防职能部门的建设</w:t>
      </w:r>
    </w:p>
    <w:p>
      <w:pPr>
        <w:spacing w:before="190" w:after="190"/>
        <w:ind w:firstLine="560"/>
        <w:rPr>
          <w:rFonts w:ascii="宋体" w:hAnsi="宋体"/>
        </w:rPr>
      </w:pPr>
      <w:r>
        <w:rPr>
          <w:rFonts w:ascii="宋体" w:hAnsi="宋体"/>
        </w:rPr>
        <w:t>城市消防职能部门是保证消防规划各项安排得以实施的具体工作部门，必须有专业的人员和设备，以及健全的管理制度，因此，不断加强城市消防职能部门的建设，才能保证城市消防建设的实施和管理正常运行。</w:t>
      </w:r>
    </w:p>
    <w:p>
      <w:pPr>
        <w:spacing w:before="190" w:after="190"/>
        <w:ind w:firstLine="560"/>
        <w:rPr>
          <w:rFonts w:ascii="宋体" w:hAnsi="宋体"/>
        </w:rPr>
      </w:pPr>
      <w:r>
        <w:rPr>
          <w:rFonts w:hint="eastAsia" w:ascii="宋体" w:hAnsi="宋体"/>
        </w:rPr>
        <w:t>（3）加强消防规划实施管理</w:t>
      </w:r>
    </w:p>
    <w:p>
      <w:pPr>
        <w:spacing w:before="190" w:after="190"/>
        <w:ind w:firstLine="560"/>
        <w:rPr>
          <w:rFonts w:ascii="宋体" w:hAnsi="宋体"/>
        </w:rPr>
      </w:pPr>
      <w:r>
        <w:rPr>
          <w:rFonts w:hint="eastAsia" w:ascii="宋体" w:hAnsi="宋体"/>
        </w:rPr>
        <w:t>维护消防规划的严肃性和权威性。要制定完善的规划管理制度，严格按照消防规划的文本和图则指导城市消防建设。</w:t>
      </w:r>
    </w:p>
    <w:p>
      <w:pPr>
        <w:spacing w:before="190" w:after="190"/>
        <w:ind w:firstLine="560"/>
        <w:rPr>
          <w:rFonts w:ascii="宋体" w:hAnsi="宋体"/>
        </w:rPr>
      </w:pPr>
      <w:r>
        <w:rPr>
          <w:rFonts w:hint="eastAsia" w:ascii="宋体" w:hAnsi="宋体"/>
        </w:rPr>
        <w:t>（4）规范城市消防建设审批程序</w:t>
      </w:r>
    </w:p>
    <w:p>
      <w:pPr>
        <w:spacing w:before="190" w:after="190"/>
        <w:ind w:firstLine="560"/>
        <w:sectPr>
          <w:pgSz w:w="11906" w:h="16838"/>
          <w:pgMar w:top="1440" w:right="1797" w:bottom="1440" w:left="1797" w:header="851" w:footer="992" w:gutter="0"/>
          <w:cols w:space="720" w:num="1"/>
          <w:docGrid w:type="lines" w:linePitch="381" w:charSpace="0"/>
        </w:sectPr>
      </w:pPr>
      <w:r>
        <w:rPr>
          <w:rFonts w:hint="eastAsia" w:ascii="宋体" w:hAnsi="宋体"/>
        </w:rPr>
        <w:t>要建立规范化的城市消防建设审批程序，严格执行消防“一票否决”制度，提高工作效率，杜绝人为因素对规划实施不必要的干扰。</w:t>
      </w:r>
    </w:p>
    <w:p>
      <w:pPr>
        <w:spacing w:before="0" w:beforeLines="0" w:after="0" w:afterLines="0" w:line="240" w:lineRule="auto"/>
        <w:ind w:firstLine="0" w:firstLineChars="0"/>
        <w:jc w:val="both"/>
      </w:pPr>
    </w:p>
    <w:p/>
    <w:sectPr>
      <w:headerReference r:id="rId12" w:type="default"/>
      <w:footerReference r:id="rId13" w:type="default"/>
      <w:pgSz w:w="11906" w:h="16838"/>
      <w:pgMar w:top="1440" w:right="1797" w:bottom="1440" w:left="1797" w:header="851" w:footer="992" w:gutter="0"/>
      <w:pgNumType w:start="1"/>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MS Mincho">
    <w:panose1 w:val="02020609040205080304"/>
    <w:charset w:val="80"/>
    <w:family w:val="roma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19600"/>
        <w:tab w:val="clear" w:pos="4153"/>
        <w:tab w:val="clear" w:pos="8306"/>
      </w:tabs>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left="1123"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19600"/>
        <w:tab w:val="clear" w:pos="4153"/>
        <w:tab w:val="clear" w:pos="8306"/>
      </w:tabs>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before="0" w:beforeLines="0" w:after="0" w:afterLines="0" w:line="240" w:lineRule="auto"/>
      <w:ind w:firstLine="0" w:firstLineChars="0"/>
      <w:jc w:val="right"/>
      <w:rPr>
        <w:rFonts w:hint="eastAsia" w:ascii="宋体" w:hAnsi="宋体" w:cs="宋体"/>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spacing w:before="120" w:after="120"/>
      <w:ind w:firstLine="5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98C9C3"/>
    <w:multiLevelType w:val="multilevel"/>
    <w:tmpl w:val="E698C9C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4BEC5034"/>
    <w:multiLevelType w:val="multilevel"/>
    <w:tmpl w:val="4BEC5034"/>
    <w:lvl w:ilvl="0" w:tentative="0">
      <w:start w:val="1"/>
      <w:numFmt w:val="japaneseCounting"/>
      <w:lvlText w:val="（%1）"/>
      <w:lvlJc w:val="left"/>
      <w:pPr>
        <w:ind w:left="1400" w:hanging="84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57D66F95"/>
    <w:multiLevelType w:val="multilevel"/>
    <w:tmpl w:val="57D66F95"/>
    <w:lvl w:ilvl="0" w:tentative="0">
      <w:start w:val="1"/>
      <w:numFmt w:val="japaneseCounting"/>
      <w:lvlText w:val="（%1）"/>
      <w:lvlJc w:val="left"/>
      <w:pPr>
        <w:ind w:left="1432" w:hanging="87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jYzBlMjZlYzI1NTRlMTU0MzEwMWRlMzVmYmFkMjcifQ=="/>
  </w:docVars>
  <w:rsids>
    <w:rsidRoot w:val="05FA3FF5"/>
    <w:rsid w:val="05FA3FF5"/>
    <w:rsid w:val="5EBE70AF"/>
    <w:rsid w:val="68D40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420" w:firstLineChars="200"/>
      <w:jc w:val="both"/>
    </w:pPr>
    <w:rPr>
      <w:rFonts w:ascii="Calibri" w:hAnsi="Calibri" w:eastAsia="宋体" w:cs="Times New Roman"/>
      <w:kern w:val="2"/>
      <w:sz w:val="28"/>
      <w:szCs w:val="24"/>
      <w:lang w:val="en-US" w:eastAsia="zh-CN" w:bidi="ar-SA"/>
    </w:rPr>
  </w:style>
  <w:style w:type="paragraph" w:styleId="2">
    <w:name w:val="heading 1"/>
    <w:basedOn w:val="1"/>
    <w:next w:val="1"/>
    <w:qFormat/>
    <w:uiPriority w:val="0"/>
    <w:pPr>
      <w:keepNext/>
      <w:keepLines/>
      <w:spacing w:before="50" w:beforeLines="50" w:after="50" w:afterLines="50"/>
      <w:ind w:firstLine="0" w:firstLineChars="0"/>
      <w:outlineLvl w:val="0"/>
    </w:pPr>
    <w:rPr>
      <w:rFonts w:ascii="Calibri" w:hAnsi="Calibri"/>
      <w:kern w:val="44"/>
      <w:sz w:val="36"/>
    </w:rPr>
  </w:style>
  <w:style w:type="paragraph" w:styleId="3">
    <w:name w:val="heading 2"/>
    <w:basedOn w:val="1"/>
    <w:next w:val="1"/>
    <w:qFormat/>
    <w:uiPriority w:val="0"/>
    <w:pPr>
      <w:keepNext/>
      <w:keepLines/>
      <w:ind w:firstLine="0" w:firstLineChars="0"/>
      <w:outlineLvl w:val="1"/>
    </w:pPr>
    <w:rPr>
      <w:rFonts w:ascii="Arial" w:hAnsi="Arial"/>
      <w:b/>
      <w:sz w:val="32"/>
    </w:rPr>
  </w:style>
  <w:style w:type="paragraph" w:styleId="4">
    <w:name w:val="heading 3"/>
    <w:basedOn w:val="1"/>
    <w:next w:val="1"/>
    <w:qFormat/>
    <w:uiPriority w:val="0"/>
    <w:pPr>
      <w:keepNext/>
      <w:keepLines/>
      <w:adjustRightInd w:val="0"/>
      <w:ind w:firstLine="0" w:firstLineChars="0"/>
      <w:outlineLvl w:val="2"/>
    </w:pPr>
    <w:rPr>
      <w:b/>
      <w:sz w:val="30"/>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footer"/>
    <w:basedOn w:val="1"/>
    <w:qFormat/>
    <w:uiPriority w:val="99"/>
    <w:pPr>
      <w:tabs>
        <w:tab w:val="center" w:pos="4153"/>
        <w:tab w:val="right" w:pos="8306"/>
      </w:tabs>
      <w:snapToGrid w:val="0"/>
      <w:spacing w:line="240" w:lineRule="auto"/>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character" w:styleId="12">
    <w:name w:val="Hyperlink"/>
    <w:unhideWhenUsed/>
    <w:qFormat/>
    <w:uiPriority w:val="99"/>
    <w:rPr>
      <w:rFonts w:ascii="Calibri" w:hAnsi="Calibri" w:eastAsia="宋体" w:cs="Times New Roman"/>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171</Pages>
  <Words>64489</Words>
  <Characters>68985</Characters>
  <Lines>0</Lines>
  <Paragraphs>0</Paragraphs>
  <TotalTime>1</TotalTime>
  <ScaleCrop>false</ScaleCrop>
  <LinksUpToDate>false</LinksUpToDate>
  <CharactersWithSpaces>69368</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2022-07-26T18:15:00Z</dcterms:created>
  <dc:creator>柒</dc:creator>
  <cp:lastModifiedBy>ycak</cp:lastModifiedBy>
  <dcterms:modified xsi:type="dcterms:W3CDTF">2022-09-15T16:05:38Z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6F3DA5A22DA546E8AE7B04F36ACCC3AB</vt:lpwstr>
  </property>
</Properties>
</file>