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黑体" w:hAnsi="黑体" w:eastAsia="黑体"/>
          <w:sz w:val="32"/>
          <w:szCs w:val="32"/>
        </w:rPr>
      </w:pPr>
    </w:p>
    <w:p>
      <w:pPr>
        <w:adjustRightInd w:val="0"/>
        <w:snapToGrid w:val="0"/>
        <w:spacing w:line="360" w:lineRule="auto"/>
        <w:jc w:val="center"/>
        <w:rPr>
          <w:rFonts w:ascii="黑体" w:hAnsi="黑体" w:eastAsia="黑体"/>
          <w:sz w:val="32"/>
          <w:szCs w:val="32"/>
        </w:rPr>
      </w:pPr>
    </w:p>
    <w:p>
      <w:pPr>
        <w:adjustRightInd w:val="0"/>
        <w:snapToGrid w:val="0"/>
        <w:spacing w:line="360" w:lineRule="auto"/>
        <w:jc w:val="center"/>
        <w:rPr>
          <w:rFonts w:ascii="黑体" w:hAnsi="黑体" w:eastAsia="黑体"/>
          <w:sz w:val="44"/>
          <w:szCs w:val="44"/>
        </w:rPr>
      </w:pPr>
      <w:r>
        <w:rPr>
          <w:rFonts w:ascii="黑体" w:hAnsi="黑体" w:eastAsia="黑体"/>
          <w:sz w:val="44"/>
          <w:szCs w:val="44"/>
        </w:rPr>
        <w:t>盐池县“十四五”精准治污、科学治污</w:t>
      </w:r>
    </w:p>
    <w:p>
      <w:pPr>
        <w:adjustRightInd w:val="0"/>
        <w:snapToGrid w:val="0"/>
        <w:spacing w:line="360" w:lineRule="auto"/>
        <w:jc w:val="center"/>
        <w:rPr>
          <w:rFonts w:ascii="黑体" w:hAnsi="黑体" w:eastAsia="黑体"/>
          <w:sz w:val="44"/>
          <w:szCs w:val="44"/>
        </w:rPr>
      </w:pPr>
      <w:r>
        <w:rPr>
          <w:rFonts w:ascii="黑体" w:hAnsi="黑体" w:eastAsia="黑体"/>
          <w:sz w:val="44"/>
          <w:szCs w:val="44"/>
        </w:rPr>
        <w:t>研究报告</w:t>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adjustRightInd w:val="0"/>
        <w:snapToGrid w:val="0"/>
        <w:spacing w:line="360" w:lineRule="auto"/>
        <w:jc w:val="center"/>
        <w:rPr>
          <w:rFonts w:ascii="黑体" w:hAnsi="黑体" w:eastAsia="黑体"/>
          <w:sz w:val="32"/>
          <w:szCs w:val="32"/>
        </w:rPr>
      </w:pPr>
      <w:r>
        <w:rPr>
          <w:rFonts w:hint="eastAsia" w:ascii="黑体" w:hAnsi="黑体" w:eastAsia="黑体"/>
          <w:sz w:val="32"/>
          <w:szCs w:val="32"/>
        </w:rPr>
        <w:t>宁夏环境科学研究院（有限责任公司）</w:t>
      </w:r>
    </w:p>
    <w:p>
      <w:pPr>
        <w:adjustRightInd w:val="0"/>
        <w:snapToGrid w:val="0"/>
        <w:spacing w:line="360" w:lineRule="auto"/>
        <w:jc w:val="center"/>
        <w:rPr>
          <w:rFonts w:ascii="黑体" w:hAnsi="黑体" w:eastAsia="黑体"/>
          <w:sz w:val="32"/>
          <w:szCs w:val="32"/>
        </w:rPr>
      </w:pPr>
      <w:r>
        <w:rPr>
          <w:rFonts w:hint="eastAsia" w:ascii="黑体" w:hAnsi="黑体" w:eastAsia="黑体"/>
          <w:sz w:val="32"/>
          <w:szCs w:val="32"/>
        </w:rPr>
        <w:t>二零二二年七月</w:t>
      </w:r>
    </w:p>
    <w:p>
      <w:pPr>
        <w:adjustRightInd w:val="0"/>
        <w:snapToGrid w:val="0"/>
        <w:spacing w:line="360" w:lineRule="auto"/>
        <w:jc w:val="center"/>
        <w:rPr>
          <w:rFonts w:ascii="黑体" w:hAnsi="黑体" w:eastAsia="黑体"/>
          <w:sz w:val="32"/>
          <w:szCs w:val="32"/>
        </w:rPr>
        <w:sectPr>
          <w:footerReference r:id="rId3" w:type="default"/>
          <w:pgSz w:w="11906" w:h="16838"/>
          <w:pgMar w:top="1701" w:right="1701" w:bottom="1701" w:left="1701" w:header="851" w:footer="992" w:gutter="0"/>
          <w:cols w:space="425" w:num="1"/>
          <w:docGrid w:type="lines" w:linePitch="312" w:charSpace="0"/>
        </w:sectPr>
      </w:pPr>
    </w:p>
    <w:p>
      <w:pPr>
        <w:adjustRightInd w:val="0"/>
        <w:snapToGrid w:val="0"/>
        <w:spacing w:line="360" w:lineRule="auto"/>
        <w:jc w:val="center"/>
        <w:rPr>
          <w:rFonts w:ascii="黑体" w:hAnsi="黑体" w:eastAsia="黑体"/>
          <w:sz w:val="32"/>
          <w:szCs w:val="32"/>
        </w:rPr>
      </w:pPr>
      <w:r>
        <w:rPr>
          <w:rFonts w:ascii="黑体" w:hAnsi="黑体" w:eastAsia="黑体"/>
          <w:sz w:val="32"/>
          <w:szCs w:val="32"/>
        </w:rPr>
        <w:t>目</w:t>
      </w:r>
      <w:r>
        <w:rPr>
          <w:rFonts w:hint="eastAsia" w:ascii="黑体" w:hAnsi="黑体" w:eastAsia="黑体"/>
          <w:sz w:val="32"/>
          <w:szCs w:val="32"/>
        </w:rPr>
        <w:t xml:space="preserve">  </w:t>
      </w:r>
      <w:r>
        <w:rPr>
          <w:rFonts w:ascii="黑体" w:hAnsi="黑体" w:eastAsia="黑体"/>
          <w:sz w:val="32"/>
          <w:szCs w:val="32"/>
        </w:rPr>
        <w:t>录</w:t>
      </w:r>
    </w:p>
    <w:p>
      <w:pPr>
        <w:pStyle w:val="11"/>
        <w:rPr>
          <w:rFonts w:eastAsia="黑体"/>
        </w:rPr>
      </w:pPr>
      <w:r>
        <w:rPr>
          <w:rFonts w:eastAsia="黑体"/>
        </w:rPr>
        <w:fldChar w:fldCharType="begin"/>
      </w:r>
      <w:r>
        <w:rPr>
          <w:rFonts w:eastAsia="黑体"/>
        </w:rPr>
        <w:instrText xml:space="preserve"> TOC \o "1-2" \h \z \u </w:instrText>
      </w:r>
      <w:r>
        <w:rPr>
          <w:rFonts w:eastAsia="黑体"/>
        </w:rPr>
        <w:fldChar w:fldCharType="separate"/>
      </w:r>
      <w:r>
        <w:fldChar w:fldCharType="begin"/>
      </w:r>
      <w:r>
        <w:instrText xml:space="preserve"> HYPERLINK \l "_Toc111980861" </w:instrText>
      </w:r>
      <w:r>
        <w:fldChar w:fldCharType="separate"/>
      </w:r>
      <w:r>
        <w:rPr>
          <w:rStyle w:val="18"/>
          <w:rFonts w:eastAsia="黑体"/>
        </w:rPr>
        <w:t>1 项目背景</w:t>
      </w:r>
      <w:r>
        <w:rPr>
          <w:rFonts w:eastAsia="黑体"/>
        </w:rPr>
        <w:tab/>
      </w:r>
      <w:r>
        <w:rPr>
          <w:rFonts w:eastAsia="黑体"/>
        </w:rPr>
        <w:fldChar w:fldCharType="begin"/>
      </w:r>
      <w:r>
        <w:rPr>
          <w:rFonts w:eastAsia="黑体"/>
        </w:rPr>
        <w:instrText xml:space="preserve"> PAGEREF _Toc111980861 \h </w:instrText>
      </w:r>
      <w:r>
        <w:rPr>
          <w:rFonts w:eastAsia="黑体"/>
        </w:rPr>
        <w:fldChar w:fldCharType="separate"/>
      </w:r>
      <w:r>
        <w:rPr>
          <w:rFonts w:eastAsia="黑体"/>
        </w:rPr>
        <w:t>1</w:t>
      </w:r>
      <w:r>
        <w:rPr>
          <w:rFonts w:eastAsia="黑体"/>
        </w:rPr>
        <w:fldChar w:fldCharType="end"/>
      </w:r>
      <w:r>
        <w:rPr>
          <w:rFonts w:eastAsia="黑体"/>
        </w:rPr>
        <w:fldChar w:fldCharType="end"/>
      </w:r>
    </w:p>
    <w:p>
      <w:pPr>
        <w:pStyle w:val="11"/>
        <w:rPr>
          <w:rFonts w:eastAsia="黑体"/>
        </w:rPr>
      </w:pPr>
      <w:r>
        <w:fldChar w:fldCharType="begin"/>
      </w:r>
      <w:r>
        <w:instrText xml:space="preserve"> HYPERLINK \l "_Toc111980862" </w:instrText>
      </w:r>
      <w:r>
        <w:fldChar w:fldCharType="separate"/>
      </w:r>
      <w:r>
        <w:rPr>
          <w:rStyle w:val="18"/>
          <w:rFonts w:eastAsia="黑体"/>
        </w:rPr>
        <w:t>2总论</w:t>
      </w:r>
      <w:r>
        <w:rPr>
          <w:rFonts w:eastAsia="黑体"/>
        </w:rPr>
        <w:tab/>
      </w:r>
      <w:r>
        <w:rPr>
          <w:rFonts w:eastAsia="黑体"/>
        </w:rPr>
        <w:fldChar w:fldCharType="begin"/>
      </w:r>
      <w:r>
        <w:rPr>
          <w:rFonts w:eastAsia="黑体"/>
        </w:rPr>
        <w:instrText xml:space="preserve"> PAGEREF _Toc111980862 \h </w:instrText>
      </w:r>
      <w:r>
        <w:rPr>
          <w:rFonts w:eastAsia="黑体"/>
        </w:rPr>
        <w:fldChar w:fldCharType="separate"/>
      </w:r>
      <w:r>
        <w:rPr>
          <w:rFonts w:eastAsia="黑体"/>
        </w:rPr>
        <w:t>3</w:t>
      </w:r>
      <w:r>
        <w:rPr>
          <w:rFonts w:eastAsia="黑体"/>
        </w:rPr>
        <w:fldChar w:fldCharType="end"/>
      </w:r>
      <w:r>
        <w:rPr>
          <w:rFonts w:eastAsia="黑体"/>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"_Toc111980863" </w:instrText>
      </w:r>
      <w:r>
        <w:fldChar w:fldCharType="separate"/>
      </w:r>
      <w:r>
        <w:rPr>
          <w:rStyle w:val="18"/>
          <w:rFonts w:ascii="Times New Roman" w:hAnsi="Times New Roman" w:eastAsia="黑体" w:cs="Times New Roman"/>
          <w:sz w:val="24"/>
          <w:szCs w:val="24"/>
        </w:rPr>
        <w:t>2.1实施必要性</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_Toc111980863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3</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"_Toc111980864" </w:instrText>
      </w:r>
      <w:r>
        <w:fldChar w:fldCharType="separate"/>
      </w:r>
      <w:r>
        <w:rPr>
          <w:rStyle w:val="18"/>
          <w:rFonts w:ascii="Times New Roman" w:hAnsi="Times New Roman" w:eastAsia="黑体" w:cs="Times New Roman"/>
          <w:sz w:val="24"/>
          <w:szCs w:val="24"/>
        </w:rPr>
        <w:t>2.2研究思路</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_Toc111980864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5</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"_Toc111980865" </w:instrText>
      </w:r>
      <w:r>
        <w:fldChar w:fldCharType="separate"/>
      </w:r>
      <w:r>
        <w:rPr>
          <w:rStyle w:val="18"/>
          <w:rFonts w:ascii="Times New Roman" w:hAnsi="Times New Roman" w:eastAsia="黑体" w:cs="Times New Roman"/>
          <w:sz w:val="24"/>
          <w:szCs w:val="24"/>
        </w:rPr>
        <w:t>2.3编制依据</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_Toc111980865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6</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1"/>
        <w:rPr>
          <w:rFonts w:eastAsia="黑体"/>
        </w:rPr>
      </w:pPr>
      <w:r>
        <w:fldChar w:fldCharType="begin"/>
      </w:r>
      <w:r>
        <w:instrText xml:space="preserve"> HYPERLINK \l "_Toc111980866" </w:instrText>
      </w:r>
      <w:r>
        <w:fldChar w:fldCharType="separate"/>
      </w:r>
      <w:r>
        <w:rPr>
          <w:rStyle w:val="18"/>
          <w:rFonts w:eastAsia="黑体"/>
        </w:rPr>
        <w:t>3盐池概况</w:t>
      </w:r>
      <w:r>
        <w:rPr>
          <w:rFonts w:eastAsia="黑体"/>
        </w:rPr>
        <w:tab/>
      </w:r>
      <w:r>
        <w:rPr>
          <w:rFonts w:eastAsia="黑体"/>
        </w:rPr>
        <w:fldChar w:fldCharType="begin"/>
      </w:r>
      <w:r>
        <w:rPr>
          <w:rFonts w:eastAsia="黑体"/>
        </w:rPr>
        <w:instrText xml:space="preserve"> PAGEREF _Toc111980866 \h </w:instrText>
      </w:r>
      <w:r>
        <w:rPr>
          <w:rFonts w:eastAsia="黑体"/>
        </w:rPr>
        <w:fldChar w:fldCharType="separate"/>
      </w:r>
      <w:r>
        <w:rPr>
          <w:rFonts w:eastAsia="黑体"/>
        </w:rPr>
        <w:t>11</w:t>
      </w:r>
      <w:r>
        <w:rPr>
          <w:rFonts w:eastAsia="黑体"/>
        </w:rPr>
        <w:fldChar w:fldCharType="end"/>
      </w:r>
      <w:r>
        <w:rPr>
          <w:rFonts w:eastAsia="黑体"/>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"_Toc111980867" </w:instrText>
      </w:r>
      <w:r>
        <w:fldChar w:fldCharType="separate"/>
      </w:r>
      <w:r>
        <w:rPr>
          <w:rStyle w:val="18"/>
          <w:rFonts w:ascii="Times New Roman" w:hAnsi="Times New Roman" w:eastAsia="黑体" w:cs="Times New Roman"/>
          <w:sz w:val="24"/>
          <w:szCs w:val="24"/>
        </w:rPr>
        <w:t>3.1自然概况</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_Toc111980867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11</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"_Toc111980868" </w:instrText>
      </w:r>
      <w:r>
        <w:fldChar w:fldCharType="separate"/>
      </w:r>
      <w:r>
        <w:rPr>
          <w:rStyle w:val="18"/>
          <w:rFonts w:ascii="Times New Roman" w:hAnsi="Times New Roman" w:eastAsia="黑体" w:cs="Times New Roman"/>
          <w:kern w:val="0"/>
          <w:sz w:val="24"/>
          <w:szCs w:val="24"/>
        </w:rPr>
        <w:t>3.2经济社会</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_Toc111980868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13</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"_Toc111980869" </w:instrText>
      </w:r>
      <w:r>
        <w:fldChar w:fldCharType="separate"/>
      </w:r>
      <w:r>
        <w:rPr>
          <w:rStyle w:val="18"/>
          <w:rFonts w:ascii="Times New Roman" w:hAnsi="Times New Roman" w:eastAsia="黑体" w:cs="Times New Roman"/>
          <w:kern w:val="0"/>
          <w:sz w:val="24"/>
          <w:szCs w:val="24"/>
        </w:rPr>
        <w:t>3.3资源利用</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_Toc111980869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17</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1"/>
        <w:rPr>
          <w:rFonts w:eastAsia="黑体"/>
        </w:rPr>
      </w:pPr>
      <w:r>
        <w:fldChar w:fldCharType="begin"/>
      </w:r>
      <w:r>
        <w:instrText xml:space="preserve"> HYPERLINK \l "_Toc111980870" </w:instrText>
      </w:r>
      <w:r>
        <w:fldChar w:fldCharType="separate"/>
      </w:r>
      <w:r>
        <w:rPr>
          <w:rStyle w:val="18"/>
          <w:rFonts w:eastAsia="黑体"/>
        </w:rPr>
        <w:t>4环境现状</w:t>
      </w:r>
      <w:r>
        <w:rPr>
          <w:rFonts w:eastAsia="黑体"/>
        </w:rPr>
        <w:tab/>
      </w:r>
      <w:r>
        <w:rPr>
          <w:rFonts w:eastAsia="黑体"/>
        </w:rPr>
        <w:fldChar w:fldCharType="begin"/>
      </w:r>
      <w:r>
        <w:rPr>
          <w:rFonts w:eastAsia="黑体"/>
        </w:rPr>
        <w:instrText xml:space="preserve"> PAGEREF _Toc111980870 \h </w:instrText>
      </w:r>
      <w:r>
        <w:rPr>
          <w:rFonts w:eastAsia="黑体"/>
        </w:rPr>
        <w:fldChar w:fldCharType="separate"/>
      </w:r>
      <w:r>
        <w:rPr>
          <w:rFonts w:eastAsia="黑体"/>
        </w:rPr>
        <w:t>24</w:t>
      </w:r>
      <w:r>
        <w:rPr>
          <w:rFonts w:eastAsia="黑体"/>
        </w:rPr>
        <w:fldChar w:fldCharType="end"/>
      </w:r>
      <w:r>
        <w:rPr>
          <w:rFonts w:eastAsia="黑体"/>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"_Toc111980871" </w:instrText>
      </w:r>
      <w:r>
        <w:fldChar w:fldCharType="separate"/>
      </w:r>
      <w:r>
        <w:rPr>
          <w:rStyle w:val="18"/>
          <w:rFonts w:ascii="Times New Roman" w:hAnsi="Times New Roman" w:eastAsia="黑体" w:cs="Times New Roman"/>
          <w:kern w:val="0"/>
          <w:sz w:val="24"/>
          <w:szCs w:val="24"/>
        </w:rPr>
        <w:t>4.1生态环境</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_Toc111980871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24</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"_Toc111980872" </w:instrText>
      </w:r>
      <w:r>
        <w:fldChar w:fldCharType="separate"/>
      </w:r>
      <w:r>
        <w:rPr>
          <w:rStyle w:val="18"/>
          <w:rFonts w:ascii="Times New Roman" w:hAnsi="Times New Roman" w:eastAsia="黑体" w:cs="Times New Roman"/>
          <w:kern w:val="0"/>
          <w:sz w:val="24"/>
          <w:szCs w:val="24"/>
        </w:rPr>
        <w:t>4.2环境质量</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_Toc111980872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32</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"_Toc111980873" </w:instrText>
      </w:r>
      <w:r>
        <w:fldChar w:fldCharType="separate"/>
      </w:r>
      <w:r>
        <w:rPr>
          <w:rStyle w:val="18"/>
          <w:rFonts w:ascii="Times New Roman" w:hAnsi="Times New Roman" w:eastAsia="黑体" w:cs="Times New Roman"/>
          <w:kern w:val="0"/>
          <w:sz w:val="24"/>
          <w:szCs w:val="24"/>
        </w:rPr>
        <w:t>4.3污染物排放</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_Toc111980873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34</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"_Toc111980874" </w:instrText>
      </w:r>
      <w:r>
        <w:fldChar w:fldCharType="separate"/>
      </w:r>
      <w:r>
        <w:rPr>
          <w:rStyle w:val="18"/>
          <w:rFonts w:ascii="Times New Roman" w:hAnsi="Times New Roman" w:eastAsia="黑体" w:cs="Times New Roman"/>
          <w:kern w:val="0"/>
          <w:sz w:val="24"/>
          <w:szCs w:val="24"/>
        </w:rPr>
        <w:t>4.4基础设施建设</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_Toc111980874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45</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1"/>
        <w:rPr>
          <w:rFonts w:eastAsia="黑体"/>
        </w:rPr>
      </w:pPr>
      <w:r>
        <w:fldChar w:fldCharType="begin"/>
      </w:r>
      <w:r>
        <w:instrText xml:space="preserve"> HYPERLINK \l "_Toc111980875" </w:instrText>
      </w:r>
      <w:r>
        <w:fldChar w:fldCharType="separate"/>
      </w:r>
      <w:r>
        <w:rPr>
          <w:rStyle w:val="18"/>
          <w:rFonts w:eastAsia="黑体"/>
        </w:rPr>
        <w:t>5 问题识别与诊断</w:t>
      </w:r>
      <w:r>
        <w:rPr>
          <w:rFonts w:eastAsia="黑体"/>
        </w:rPr>
        <w:tab/>
      </w:r>
      <w:r>
        <w:rPr>
          <w:rFonts w:eastAsia="黑体"/>
        </w:rPr>
        <w:fldChar w:fldCharType="begin"/>
      </w:r>
      <w:r>
        <w:rPr>
          <w:rFonts w:eastAsia="黑体"/>
        </w:rPr>
        <w:instrText xml:space="preserve"> PAGEREF _Toc111980875 \h </w:instrText>
      </w:r>
      <w:r>
        <w:rPr>
          <w:rFonts w:eastAsia="黑体"/>
        </w:rPr>
        <w:fldChar w:fldCharType="separate"/>
      </w:r>
      <w:r>
        <w:rPr>
          <w:rFonts w:eastAsia="黑体"/>
        </w:rPr>
        <w:t>47</w:t>
      </w:r>
      <w:r>
        <w:rPr>
          <w:rFonts w:eastAsia="黑体"/>
        </w:rPr>
        <w:fldChar w:fldCharType="end"/>
      </w:r>
      <w:r>
        <w:rPr>
          <w:rFonts w:eastAsia="黑体"/>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"_Toc111980876" </w:instrText>
      </w:r>
      <w:r>
        <w:fldChar w:fldCharType="separate"/>
      </w:r>
      <w:r>
        <w:rPr>
          <w:rStyle w:val="18"/>
          <w:rFonts w:ascii="Times New Roman" w:hAnsi="Times New Roman" w:eastAsia="黑体" w:cs="Times New Roman"/>
          <w:kern w:val="0"/>
          <w:sz w:val="24"/>
          <w:szCs w:val="24"/>
        </w:rPr>
        <w:t>5.1生态环境问题识别与评价</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_Toc111980876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48</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"_Toc111980877" </w:instrText>
      </w:r>
      <w:r>
        <w:fldChar w:fldCharType="separate"/>
      </w:r>
      <w:r>
        <w:rPr>
          <w:rStyle w:val="18"/>
          <w:rFonts w:ascii="Times New Roman" w:hAnsi="Times New Roman" w:eastAsia="黑体" w:cs="Times New Roman"/>
          <w:kern w:val="0"/>
          <w:sz w:val="24"/>
          <w:szCs w:val="24"/>
        </w:rPr>
        <w:t>5.2主要问题识别</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_Toc111980877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60</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1"/>
        <w:rPr>
          <w:rFonts w:eastAsia="黑体"/>
        </w:rPr>
      </w:pPr>
      <w:r>
        <w:fldChar w:fldCharType="begin"/>
      </w:r>
      <w:r>
        <w:instrText xml:space="preserve"> HYPERLINK \l "_Toc111980878" </w:instrText>
      </w:r>
      <w:r>
        <w:fldChar w:fldCharType="separate"/>
      </w:r>
      <w:r>
        <w:rPr>
          <w:rStyle w:val="18"/>
          <w:rFonts w:eastAsia="黑体"/>
        </w:rPr>
        <w:t>6趋势预测和生态承载力分析</w:t>
      </w:r>
      <w:r>
        <w:rPr>
          <w:rFonts w:eastAsia="黑体"/>
        </w:rPr>
        <w:tab/>
      </w:r>
      <w:r>
        <w:rPr>
          <w:rFonts w:eastAsia="黑体"/>
        </w:rPr>
        <w:fldChar w:fldCharType="begin"/>
      </w:r>
      <w:r>
        <w:rPr>
          <w:rFonts w:eastAsia="黑体"/>
        </w:rPr>
        <w:instrText xml:space="preserve"> PAGEREF _Toc111980878 \h </w:instrText>
      </w:r>
      <w:r>
        <w:rPr>
          <w:rFonts w:eastAsia="黑体"/>
        </w:rPr>
        <w:fldChar w:fldCharType="separate"/>
      </w:r>
      <w:r>
        <w:rPr>
          <w:rFonts w:eastAsia="黑体"/>
        </w:rPr>
        <w:t>65</w:t>
      </w:r>
      <w:r>
        <w:rPr>
          <w:rFonts w:eastAsia="黑体"/>
        </w:rPr>
        <w:fldChar w:fldCharType="end"/>
      </w:r>
      <w:r>
        <w:rPr>
          <w:rFonts w:eastAsia="黑体"/>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"_Toc111980879" </w:instrText>
      </w:r>
      <w:r>
        <w:fldChar w:fldCharType="separate"/>
      </w:r>
      <w:r>
        <w:rPr>
          <w:rStyle w:val="18"/>
          <w:rFonts w:ascii="Times New Roman" w:hAnsi="Times New Roman" w:eastAsia="黑体" w:cs="Times New Roman"/>
          <w:kern w:val="0"/>
          <w:sz w:val="24"/>
          <w:szCs w:val="24"/>
        </w:rPr>
        <w:t>6.1经济社会发展趋势预测</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_Toc111980879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65</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"_Toc111980880" </w:instrText>
      </w:r>
      <w:r>
        <w:fldChar w:fldCharType="separate"/>
      </w:r>
      <w:r>
        <w:rPr>
          <w:rStyle w:val="18"/>
          <w:rFonts w:ascii="Times New Roman" w:hAnsi="Times New Roman" w:eastAsia="黑体" w:cs="Times New Roman"/>
          <w:kern w:val="0"/>
          <w:sz w:val="24"/>
          <w:szCs w:val="24"/>
        </w:rPr>
        <w:t>6.2资源能源消耗预测分析</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_Toc111980880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67</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"_Toc111980881" </w:instrText>
      </w:r>
      <w:r>
        <w:fldChar w:fldCharType="separate"/>
      </w:r>
      <w:r>
        <w:rPr>
          <w:rStyle w:val="18"/>
          <w:rFonts w:ascii="Times New Roman" w:hAnsi="Times New Roman" w:eastAsia="黑体" w:cs="Times New Roman"/>
          <w:kern w:val="0"/>
          <w:sz w:val="24"/>
          <w:szCs w:val="24"/>
        </w:rPr>
        <w:t>6.3污染物排放预测</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_Toc111980881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69</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"_Toc111980882" </w:instrText>
      </w:r>
      <w:r>
        <w:fldChar w:fldCharType="separate"/>
      </w:r>
      <w:r>
        <w:rPr>
          <w:rStyle w:val="18"/>
          <w:rFonts w:ascii="Times New Roman" w:hAnsi="Times New Roman" w:eastAsia="黑体" w:cs="Times New Roman"/>
          <w:kern w:val="0"/>
          <w:sz w:val="24"/>
          <w:szCs w:val="24"/>
        </w:rPr>
        <w:t>6.4生态承载力预测分析</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_Toc111980882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79</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"_Toc111980883" </w:instrText>
      </w:r>
      <w:r>
        <w:fldChar w:fldCharType="separate"/>
      </w:r>
      <w:r>
        <w:rPr>
          <w:rStyle w:val="18"/>
          <w:rFonts w:ascii="Times New Roman" w:hAnsi="Times New Roman" w:eastAsia="黑体" w:cs="Times New Roman"/>
          <w:kern w:val="0"/>
          <w:sz w:val="24"/>
          <w:szCs w:val="24"/>
        </w:rPr>
        <w:t>6.5可持续发展分析</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_Toc111980883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87</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1"/>
        <w:rPr>
          <w:rFonts w:eastAsia="黑体"/>
        </w:rPr>
      </w:pPr>
      <w:r>
        <w:fldChar w:fldCharType="begin"/>
      </w:r>
      <w:r>
        <w:instrText xml:space="preserve"> HYPERLINK \l "_Toc111980884" </w:instrText>
      </w:r>
      <w:r>
        <w:fldChar w:fldCharType="separate"/>
      </w:r>
      <w:r>
        <w:rPr>
          <w:rStyle w:val="18"/>
          <w:rFonts w:eastAsia="黑体"/>
        </w:rPr>
        <w:t>7结论及对策建议</w:t>
      </w:r>
      <w:r>
        <w:rPr>
          <w:rFonts w:eastAsia="黑体"/>
        </w:rPr>
        <w:tab/>
      </w:r>
      <w:r>
        <w:rPr>
          <w:rFonts w:eastAsia="黑体"/>
        </w:rPr>
        <w:fldChar w:fldCharType="begin"/>
      </w:r>
      <w:r>
        <w:rPr>
          <w:rFonts w:eastAsia="黑体"/>
        </w:rPr>
        <w:instrText xml:space="preserve"> PAGEREF _Toc111980884 \h </w:instrText>
      </w:r>
      <w:r>
        <w:rPr>
          <w:rFonts w:eastAsia="黑体"/>
        </w:rPr>
        <w:fldChar w:fldCharType="separate"/>
      </w:r>
      <w:r>
        <w:rPr>
          <w:rFonts w:eastAsia="黑体"/>
        </w:rPr>
        <w:t>89</w:t>
      </w:r>
      <w:r>
        <w:rPr>
          <w:rFonts w:eastAsia="黑体"/>
        </w:rPr>
        <w:fldChar w:fldCharType="end"/>
      </w:r>
      <w:r>
        <w:rPr>
          <w:rFonts w:eastAsia="黑体"/>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"_Toc111980885" </w:instrText>
      </w:r>
      <w:r>
        <w:fldChar w:fldCharType="separate"/>
      </w:r>
      <w:r>
        <w:rPr>
          <w:rStyle w:val="18"/>
          <w:rFonts w:ascii="Times New Roman" w:hAnsi="Times New Roman" w:eastAsia="黑体" w:cs="Times New Roman"/>
          <w:kern w:val="0"/>
          <w:sz w:val="24"/>
          <w:szCs w:val="24"/>
        </w:rPr>
        <w:t>7.1结论</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_Toc111980885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89</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pStyle w:val="12"/>
        <w:tabs>
          <w:tab w:val="right" w:leader="dot" w:pos="8494"/>
        </w:tabs>
        <w:adjustRightInd w:val="0"/>
        <w:snapToGrid w:val="0"/>
        <w:spacing w:line="360" w:lineRule="auto"/>
        <w:rPr>
          <w:rFonts w:ascii="Times New Roman" w:hAnsi="Times New Roman" w:eastAsia="黑体" w:cs="Times New Roman"/>
          <w:sz w:val="24"/>
          <w:szCs w:val="24"/>
        </w:rPr>
      </w:pPr>
      <w:r>
        <w:fldChar w:fldCharType="begin"/>
      </w:r>
      <w:r>
        <w:instrText xml:space="preserve"> HYPERLINK \l "_Toc111980886" </w:instrText>
      </w:r>
      <w:r>
        <w:fldChar w:fldCharType="separate"/>
      </w:r>
      <w:r>
        <w:rPr>
          <w:rStyle w:val="18"/>
          <w:rFonts w:ascii="Times New Roman" w:hAnsi="Times New Roman" w:eastAsia="黑体" w:cs="Times New Roman"/>
          <w:kern w:val="0"/>
          <w:sz w:val="24"/>
          <w:szCs w:val="24"/>
        </w:rPr>
        <w:t>7.2对策建议</w:t>
      </w:r>
      <w:r>
        <w:rPr>
          <w:rFonts w:ascii="Times New Roman" w:hAnsi="Times New Roman" w:eastAsia="黑体" w:cs="Times New Roman"/>
          <w:sz w:val="24"/>
          <w:szCs w:val="24"/>
        </w:rPr>
        <w:tab/>
      </w: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 PAGEREF _Toc111980886 \h </w:instrText>
      </w:r>
      <w:r>
        <w:rPr>
          <w:rFonts w:ascii="Times New Roman" w:hAnsi="Times New Roman" w:eastAsia="黑体" w:cs="Times New Roman"/>
          <w:sz w:val="24"/>
          <w:szCs w:val="24"/>
        </w:rPr>
        <w:fldChar w:fldCharType="separate"/>
      </w:r>
      <w:r>
        <w:rPr>
          <w:rFonts w:ascii="Times New Roman" w:hAnsi="Times New Roman" w:eastAsia="黑体" w:cs="Times New Roman"/>
          <w:sz w:val="24"/>
          <w:szCs w:val="24"/>
        </w:rPr>
        <w:t>89</w:t>
      </w:r>
      <w:r>
        <w:rPr>
          <w:rFonts w:ascii="Times New Roman" w:hAnsi="Times New Roman" w:eastAsia="黑体" w:cs="Times New Roman"/>
          <w:sz w:val="24"/>
          <w:szCs w:val="24"/>
        </w:rPr>
        <w:fldChar w:fldCharType="end"/>
      </w:r>
      <w:r>
        <w:rPr>
          <w:rFonts w:ascii="Times New Roman" w:hAnsi="Times New Roman" w:eastAsia="黑体" w:cs="Times New Roman"/>
          <w:sz w:val="24"/>
          <w:szCs w:val="24"/>
        </w:rPr>
        <w:fldChar w:fldCharType="end"/>
      </w:r>
    </w:p>
    <w:p>
      <w:pPr>
        <w:adjustRightInd w:val="0"/>
        <w:snapToGrid w:val="0"/>
        <w:spacing w:line="360" w:lineRule="auto"/>
        <w:rPr>
          <w:rFonts w:ascii="黑体" w:hAnsi="黑体" w:eastAsia="黑体"/>
          <w:sz w:val="32"/>
          <w:szCs w:val="32"/>
        </w:rPr>
        <w:sectPr>
          <w:footerReference r:id="rId4" w:type="default"/>
          <w:pgSz w:w="11906" w:h="16838"/>
          <w:pgMar w:top="1701" w:right="1701" w:bottom="1701" w:left="1701" w:header="1020" w:footer="1020" w:gutter="0"/>
          <w:pgNumType w:fmt="upperRoman" w:start="1"/>
          <w:cols w:space="425" w:num="1"/>
          <w:docGrid w:type="lines" w:linePitch="312" w:charSpace="0"/>
        </w:sectPr>
      </w:pPr>
      <w:r>
        <w:rPr>
          <w:rFonts w:ascii="Times New Roman" w:hAnsi="Times New Roman" w:eastAsia="黑体" w:cs="Times New Roman"/>
          <w:sz w:val="24"/>
          <w:szCs w:val="24"/>
        </w:rPr>
        <w:fldChar w:fldCharType="end"/>
      </w:r>
    </w:p>
    <w:p>
      <w:pPr>
        <w:pStyle w:val="2"/>
        <w:adjustRightInd w:val="0"/>
        <w:snapToGrid w:val="0"/>
        <w:spacing w:before="240" w:after="240" w:line="360" w:lineRule="auto"/>
        <w:rPr>
          <w:rFonts w:ascii="黑体" w:hAnsi="黑体" w:eastAsia="黑体"/>
          <w:sz w:val="32"/>
          <w:szCs w:val="32"/>
        </w:rPr>
      </w:pPr>
      <w:bookmarkStart w:id="0" w:name="_Toc111980861"/>
      <w:r>
        <w:rPr>
          <w:rFonts w:hint="eastAsia" w:ascii="黑体" w:hAnsi="黑体" w:eastAsia="黑体"/>
          <w:sz w:val="32"/>
          <w:szCs w:val="32"/>
        </w:rPr>
        <w:t>1 项目背景</w:t>
      </w:r>
      <w:bookmarkEnd w:id="0"/>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2019年，中央经济工作会议首次提出：“要打好污染防治攻坚战，坚持方向不变、力度不减，突出精准治污、科学治污、依法治污，推动生态环境质量持续好转”。因此，要深刻领会中央经济工作会议精神，贯彻好精准、科学、依法治污的要求，在打好污染防治攻坚战各项工作中落地、落细、落小、落实。</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生态环境关乎民族未来、百姓福祉，近年来，在上级党委、政府的坚强领导下，盐池县政府坚持以习近平新时代中国特色社会主义思想为指导，全面贯彻党的十九大和十九届历次全会精神，深入贯彻落实习近平总书记视察宁夏重要讲话精神和自治区第十三届党代会、吴忠市委五届十二次全会、县委十四届十次全会精神和相关决策部署，牢固树立和践行新发展理念，坚持稳中求进工作总基调，以高质量发展为主题，以深化供给侧结构性改革为主线，以建设黄河流域生态保护和高质量发展先行区为时代使命，以改革创新为根本动力，以满足人民日益增长的美好生活需要为根本目的，主动融入新发展格局，加快建设现代化经济体系，扎实做好调、转、增、融“四篇文章”。努力建设“强美富优”现代化新盐池，真真切切把产业强、生态美、百姓富、治理优四项重点工作落实到具体工作中，转化为实实在在的成效，贡献出盐池力量。牢牢坚持“生态立县”战略不动摇，统筹推进好环境问题整治、深度节水控水、生态环境修复治理三个关键，持续抓好水土流失治理、荒漠化、环境污染治理等重点工作，多渠道放大“绿水青山就是金山银山”的绿色高质量发展效应。</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十三五”以来，盐池县生态环境保护工作取得了明显成效，但在一些重点领域、重点行业仍存在短板，与精准治污、科学治污的要求仍有差距，今年是“十四五”规划实施的关键之年，因此开展盐池县“十四五”精准治污、科学治污专题研究，系统分析存在的问题和短板，并在此基础上编制精准治污、科学治污规划对提升盐池县生态环境治理能力和治理水平非常必要。</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因此，受吴忠市生态环境局盐池分局委托，我院组织相关技术人员在前期资料收集、现场调研基础上，于近日编制完成了《盐池县“十四五”精准治污、科学治污研究报告》（送审稿）和《盐池县“十四五”精准治污、科学治污规划》（送审稿）。</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sectPr>
          <w:pgSz w:w="11906" w:h="16838"/>
          <w:pgMar w:top="1701" w:right="1701" w:bottom="1701" w:left="1701" w:header="851" w:footer="992" w:gutter="0"/>
          <w:pgNumType w:start="1"/>
          <w:cols w:space="425" w:num="1"/>
          <w:docGrid w:type="lines" w:linePitch="312" w:charSpace="0"/>
        </w:sectPr>
      </w:pPr>
    </w:p>
    <w:p>
      <w:pPr>
        <w:pStyle w:val="2"/>
        <w:adjustRightInd w:val="0"/>
        <w:snapToGrid w:val="0"/>
        <w:spacing w:before="240" w:after="240" w:line="360" w:lineRule="auto"/>
        <w:rPr>
          <w:rFonts w:ascii="黑体" w:hAnsi="黑体" w:eastAsia="黑体"/>
          <w:sz w:val="32"/>
          <w:szCs w:val="32"/>
        </w:rPr>
      </w:pPr>
      <w:bookmarkStart w:id="1" w:name="_Toc111980862"/>
      <w:r>
        <w:rPr>
          <w:rFonts w:hint="eastAsia" w:ascii="黑体" w:hAnsi="黑体" w:eastAsia="黑体"/>
          <w:sz w:val="32"/>
          <w:szCs w:val="32"/>
        </w:rPr>
        <w:t>2总论</w:t>
      </w:r>
      <w:bookmarkEnd w:id="1"/>
    </w:p>
    <w:p>
      <w:pPr>
        <w:pStyle w:val="3"/>
        <w:adjustRightInd w:val="0"/>
        <w:snapToGrid w:val="0"/>
        <w:spacing w:before="120" w:after="120" w:line="360" w:lineRule="auto"/>
        <w:rPr>
          <w:rFonts w:ascii="黑体" w:hAnsi="黑体" w:eastAsia="黑体"/>
          <w:sz w:val="30"/>
          <w:szCs w:val="30"/>
        </w:rPr>
      </w:pPr>
      <w:bookmarkStart w:id="2" w:name="_Toc111980863"/>
      <w:r>
        <w:rPr>
          <w:rFonts w:hint="eastAsia" w:ascii="黑体" w:hAnsi="黑体" w:eastAsia="黑体"/>
          <w:sz w:val="30"/>
          <w:szCs w:val="30"/>
        </w:rPr>
        <w:t>2.1实施必要性</w:t>
      </w:r>
      <w:bookmarkEnd w:id="2"/>
    </w:p>
    <w:p>
      <w:pPr>
        <w:pStyle w:val="13"/>
        <w:shd w:val="clear" w:color="auto" w:fill="FFFFFF"/>
        <w:adjustRightInd w:val="0"/>
        <w:snapToGrid w:val="0"/>
        <w:spacing w:before="0" w:beforeAutospacing="0" w:after="0" w:afterAutospacing="0" w:line="360" w:lineRule="auto"/>
        <w:ind w:firstLine="560" w:firstLineChars="200"/>
        <w:jc w:val="both"/>
        <w:rPr>
          <w:rFonts w:ascii="仿宋_GB2312" w:eastAsia="仿宋_GB2312"/>
          <w:sz w:val="28"/>
          <w:szCs w:val="28"/>
        </w:rPr>
      </w:pPr>
      <w:r>
        <w:rPr>
          <w:rFonts w:hint="eastAsia" w:ascii="仿宋_GB2312" w:hAnsi="仿宋" w:eastAsia="仿宋_GB2312"/>
          <w:sz w:val="28"/>
          <w:szCs w:val="28"/>
        </w:rPr>
        <w:t>近些年来，盐池县污染防治攻坚力度之大、措施之实、成效之明显前所未有，生态环境质量不断改善。同时，随着生态环境治理的深入推进，遇到的难题与矛盾也不断凸显，治理难度不断增加，因此不仅要树立必胜的信心，坚定打赢的决心，还要讲究方式方法，突出精准治污、科学治污、依法治污，确保取得更快更大更好的治理成效。</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打赢污染防治攻坚战，首先要坚持精准治污，抓住影响生态环境质量的主要问题，集中力量打阵地战歼灭战，实行重点突破。精确识别污染源、明确治理对象是谁，是精准治污的前提。</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eastAsia="仿宋_GB2312"/>
          <w:sz w:val="28"/>
          <w:szCs w:val="28"/>
        </w:rPr>
      </w:pPr>
      <w:r>
        <w:rPr>
          <w:rFonts w:hint="eastAsia" w:ascii="仿宋_GB2312" w:hAnsi="仿宋" w:eastAsia="仿宋_GB2312"/>
          <w:sz w:val="28"/>
          <w:szCs w:val="28"/>
        </w:rPr>
        <w:t>通过数据分析和科技手段，找出影响重点流域区域、重点行业企业、重点时段环境质量的主因；通过生态环境监测、污染源普查、生态环保督察、群众信访等多种方式，精确定位影响生态环境质量的突出问题和薄弱环节。针对环境问题的不同特点、不同成因，对症下药，靶向治疗。同时，根据企业的治污能力、环境管理水平以及守法情况，实行差别化管控，实施精准打击。近年来，全县针对不同企业、流域、区域存在的环境问题，实行“一企一策”“一园一策”“一河一策”等制度，制定个性化治理方案，大大提升了治污效果。</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打赢污染防治攻坚战，要坚持科学治污，遵循客观规律，运用科学方法，发挥科技力量，确保治污效率。污染治理是个系统的、长期的过程，不可能都立竿见影。随着污染治理的深入，多领域、多类型、多层面生态环境问题累积叠加，污染治理工作艰巨而复杂，既要务求必胜，又不能期望毕其功于一役，一夜之间解决所有环境问题。需要实事求是地设立治理目标、安排任务，科学合理地把握工作节奏、进度与力度。在做出生态环境保护决策时需要建立在科学评估和充分论证的基础之上，要有科学数据和科研成果的支撑。只有这样，才能使污染治理更具有针对性和指导性，治理成果才更扎实更稳定。</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eastAsia="仿宋_GB2312"/>
          <w:sz w:val="28"/>
          <w:szCs w:val="28"/>
        </w:rPr>
      </w:pPr>
      <w:r>
        <w:rPr>
          <w:rFonts w:hint="eastAsia" w:ascii="仿宋_GB2312" w:hAnsi="仿宋" w:eastAsia="仿宋_GB2312"/>
          <w:sz w:val="28"/>
          <w:szCs w:val="28"/>
        </w:rPr>
        <w:t>本次研究报告重点是摸清县域污染成因与机理等关键问题，量身定制治理方案，加快全县生态环境质量改善的步伐。持续推进超低排放、发展清洁能源等技术应用，减少资源能源消耗、节约生产成本，大幅度减少污染物排放。</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eastAsia="仿宋_GB2312"/>
          <w:sz w:val="28"/>
          <w:szCs w:val="28"/>
        </w:rPr>
      </w:pPr>
      <w:r>
        <w:rPr>
          <w:rFonts w:hint="eastAsia" w:ascii="仿宋_GB2312" w:hAnsi="仿宋" w:eastAsia="仿宋_GB2312"/>
          <w:sz w:val="28"/>
          <w:szCs w:val="28"/>
        </w:rPr>
        <w:t>打赢污染防治攻坚战，要树立法治思维，坚持依法治污、依法行政。国家及自治区生态环保法律法规体系愈加完善，为推进污染防治提供了法律保障，为行政履职提供了规矩准绳。法无授权不可为，法定职责必须为。对于破坏生态环境的违法行为，相关监管部门必须依法履职，严格执法监管，推动企业落实治污主体责任。同时，也要规范自由裁量权，避免随意执法、任性处罚，以依法行政为企业做出表率，彰显法律的严肃性和公平正义性。政府</w:t>
      </w:r>
      <w:r>
        <w:rPr>
          <w:rFonts w:hint="eastAsia" w:ascii="仿宋_GB2312" w:hAnsi="仿宋" w:eastAsia="仿宋_GB2312"/>
          <w:sz w:val="28"/>
          <w:szCs w:val="28"/>
          <w:lang w:val="en-US" w:eastAsia="zh-CN"/>
        </w:rPr>
        <w:t>及</w:t>
      </w:r>
      <w:r>
        <w:rPr>
          <w:rFonts w:hint="eastAsia" w:ascii="仿宋_GB2312" w:hAnsi="仿宋" w:eastAsia="仿宋_GB2312"/>
          <w:sz w:val="28"/>
          <w:szCs w:val="28"/>
        </w:rPr>
        <w:t>相关部门要依法推进生态环境治理，出台生态环保政策举措要于法有据，避免“拍脑袋”式决策，坚决杜绝平时不作为、急时“一刀切”的行为。</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sectPr>
          <w:pgSz w:w="11906" w:h="16838"/>
          <w:pgMar w:top="1701" w:right="1701" w:bottom="1701" w:left="1701" w:header="851" w:footer="992" w:gutter="0"/>
          <w:cols w:space="425" w:num="1"/>
          <w:docGrid w:type="lines" w:linePitch="312" w:charSpace="0"/>
        </w:sectPr>
      </w:pPr>
      <w:r>
        <w:rPr>
          <w:rFonts w:hint="eastAsia" w:ascii="仿宋_GB2312" w:hAnsi="仿宋" w:eastAsia="仿宋_GB2312"/>
          <w:sz w:val="28"/>
          <w:szCs w:val="28"/>
        </w:rPr>
        <w:t>面对生态环保新形势新要求，需要结合工作实际，不断总结固化好的做法经验，改进和优化治理方式，既积极进取，又循序渐进，精准、科学、依法治污，坚决打赢污染防治攻坚战。</w:t>
      </w:r>
    </w:p>
    <w:p>
      <w:pPr>
        <w:pStyle w:val="3"/>
        <w:adjustRightInd w:val="0"/>
        <w:snapToGrid w:val="0"/>
        <w:spacing w:before="120" w:after="120" w:line="360" w:lineRule="auto"/>
        <w:rPr>
          <w:rFonts w:ascii="黑体" w:hAnsi="黑体" w:eastAsia="黑体"/>
          <w:sz w:val="30"/>
          <w:szCs w:val="30"/>
        </w:rPr>
      </w:pPr>
      <w:bookmarkStart w:id="3" w:name="_Toc111980864"/>
      <w:r>
        <w:rPr>
          <w:rFonts w:hint="eastAsia" w:ascii="黑体" w:hAnsi="黑体" w:eastAsia="黑体"/>
          <w:sz w:val="30"/>
          <w:szCs w:val="30"/>
        </w:rPr>
        <w:t>2.2研究思路</w:t>
      </w:r>
      <w:bookmarkEnd w:id="3"/>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本次研究总体思路见图2-1。</w:t>
      </w:r>
    </w:p>
    <w:p>
      <w:pPr>
        <w:pStyle w:val="13"/>
        <w:shd w:val="clear" w:color="auto" w:fill="FFFFFF"/>
        <w:adjustRightInd w:val="0"/>
        <w:snapToGrid w:val="0"/>
        <w:spacing w:before="0" w:beforeAutospacing="0" w:after="0" w:afterAutospacing="0" w:line="360" w:lineRule="auto"/>
        <w:jc w:val="center"/>
        <w:rPr>
          <w:rFonts w:ascii="Times New Roman" w:hAnsi="Times New Roman" w:cs="Times New Roman"/>
          <w:b/>
        </w:rPr>
        <w:sectPr>
          <w:pgSz w:w="11906" w:h="16838"/>
          <w:pgMar w:top="1701" w:right="1701" w:bottom="1701" w:left="1701" w:header="851" w:footer="992" w:gutter="0"/>
          <w:cols w:space="425" w:num="1"/>
          <w:docGrid w:type="lines" w:linePitch="312" w:charSpace="0"/>
        </w:sectPr>
      </w:pPr>
      <w:r>
        <w:object>
          <v:shape id="_x0000_i1025" o:spt="75" type="#_x0000_t75" style="height:510pt;width:462pt;" o:ole="t" filled="f" o:preferrelative="t" stroked="f" coordsize="21600,21600">
            <v:path/>
            <v:fill on="f" focussize="0,0"/>
            <v:stroke on="f" joinstyle="miter"/>
            <v:imagedata r:id="rId7" cropleft="6286f" croptop="1026f" cropright="14900f" cropbottom="17780f" o:title=""/>
            <o:lock v:ext="edit" aspectratio="t"/>
            <w10:wrap type="none"/>
            <w10:anchorlock/>
          </v:shape>
          <o:OLEObject Type="Embed" ProgID="Visio.Drawing.11" ShapeID="_x0000_i1025" DrawAspect="Content" ObjectID="_1468075725" r:id="rId6">
            <o:LockedField>false</o:LockedField>
          </o:OLEObject>
        </w:object>
      </w:r>
      <w:r>
        <w:rPr>
          <w:rFonts w:hint="eastAsia" w:ascii="仿宋_GB2312" w:hAnsi="Times New Roman" w:eastAsia="仿宋_GB2312" w:cs="Times New Roman"/>
          <w:b/>
        </w:rPr>
        <w:t>图2-1   编制总体思路</w:t>
      </w:r>
    </w:p>
    <w:p>
      <w:pPr>
        <w:pStyle w:val="3"/>
        <w:adjustRightInd w:val="0"/>
        <w:snapToGrid w:val="0"/>
        <w:spacing w:before="120" w:after="120" w:line="360" w:lineRule="auto"/>
        <w:rPr>
          <w:rFonts w:ascii="黑体" w:hAnsi="黑体" w:eastAsia="黑体"/>
          <w:sz w:val="30"/>
          <w:szCs w:val="30"/>
        </w:rPr>
      </w:pPr>
      <w:bookmarkStart w:id="4" w:name="_Toc111980865"/>
      <w:r>
        <w:rPr>
          <w:rFonts w:hint="eastAsia" w:ascii="黑体" w:hAnsi="黑体" w:eastAsia="黑体"/>
          <w:sz w:val="30"/>
          <w:szCs w:val="30"/>
        </w:rPr>
        <w:t>2.3编制依据</w:t>
      </w:r>
      <w:bookmarkEnd w:id="4"/>
    </w:p>
    <w:p>
      <w:pPr>
        <w:pStyle w:val="4"/>
        <w:adjustRightInd w:val="0"/>
        <w:snapToGrid w:val="0"/>
        <w:spacing w:before="120" w:after="120" w:line="360" w:lineRule="auto"/>
        <w:rPr>
          <w:rFonts w:ascii="黑体" w:hAnsi="黑体" w:eastAsia="黑体"/>
          <w:sz w:val="28"/>
          <w:szCs w:val="28"/>
        </w:rPr>
      </w:pPr>
      <w:r>
        <w:rPr>
          <w:rFonts w:hint="eastAsia" w:ascii="黑体" w:hAnsi="黑体" w:eastAsia="黑体"/>
          <w:sz w:val="28"/>
          <w:szCs w:val="28"/>
        </w:rPr>
        <w:t>2.3.1法律法规</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（1）《中华人民共和国环境保护法》（2015年1月1日）；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（2）《中华人民共和国大气污染防治法》（2018年10月26日）；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（3）《中华人民共和国水污染防治法》（2018年1月1日）；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（4）《中华人民共和国土壤污染防治法》（2019年1月1日）；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（5）《中华人民共和国固体废物污染环境防治法》（2020年9月1日）；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（6）《中华人民共和国环境噪声污染防治法》（2022年6月5日）；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（7）《中华人民共和国放射性污染防治法》（2003年10月1日）；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（8）《中华人民共和国节约能源法》（2018年10月26日）；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（9）《中华人民共和国清洁生产促进法》（2012年7月1日）；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（10）《中华人民共和国循环经济促进法》（2018年10月26日）；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（11）《中华人民共和国自然保护区条例》（2017年10月7日）；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（12）《宁夏回族自治区环境保护条例》（2019年3月26日）；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（13）《宁夏回族自治区建设黄河流域生态保护和高质量发展先行区促进条例》（2022年1月23日）；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（14）《宁夏回族自治区土壤污染防治条例》（2021年9月24日）；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（15）《宁夏回族自治区水污染防治条例》（2020年1月4日）；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（16）《宁夏回族自治区大气污染防治条例》（2019年3月26日）；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（17）《宁夏回族自治区生活饮用水卫生监督管理条例》（2019年9月27日）；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（18）《宁夏回族自治区河湖管理条例》（2019年7月17日）；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（19）《宁夏回族自治区湿地保护条例》（2018年11月29日）；</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（20）《宁夏回族自治区生态保护红线管理条例》（2018年11月29日）等。</w:t>
      </w:r>
    </w:p>
    <w:p>
      <w:pPr>
        <w:pStyle w:val="4"/>
        <w:adjustRightInd w:val="0"/>
        <w:snapToGrid w:val="0"/>
        <w:spacing w:before="120" w:after="120" w:line="360" w:lineRule="auto"/>
        <w:rPr>
          <w:rFonts w:ascii="仿宋_GB2312" w:hAnsi="仿宋" w:eastAsia="仿宋_GB2312"/>
          <w:sz w:val="28"/>
          <w:szCs w:val="28"/>
        </w:rPr>
      </w:pPr>
      <w:r>
        <w:rPr>
          <w:rFonts w:hint="eastAsia" w:ascii="黑体" w:hAnsi="黑体" w:eastAsia="黑体"/>
          <w:sz w:val="28"/>
          <w:szCs w:val="28"/>
        </w:rPr>
        <w:t>2.3.2政策文件</w:t>
      </w:r>
    </w:p>
    <w:p>
      <w:pPr>
        <w:widowControl/>
        <w:adjustRightInd w:val="0"/>
        <w:snapToGrid w:val="0"/>
        <w:spacing w:line="360" w:lineRule="auto"/>
        <w:ind w:firstLine="560" w:firstLineChars="200"/>
        <w:rPr>
          <w:rFonts w:ascii="仿宋_GB2312" w:eastAsia="仿宋_GB2312"/>
          <w:snapToGrid w:val="0"/>
          <w:kern w:val="0"/>
          <w:sz w:val="28"/>
          <w:szCs w:val="28"/>
        </w:rPr>
      </w:pPr>
      <w:r>
        <w:rPr>
          <w:rFonts w:hint="eastAsia" w:ascii="仿宋_GB2312" w:hAnsi="微软雅黑" w:eastAsia="仿宋_GB2312" w:cs="宋体"/>
          <w:snapToGrid w:val="0"/>
          <w:kern w:val="0"/>
          <w:sz w:val="28"/>
          <w:szCs w:val="28"/>
        </w:rPr>
        <w:t>（1）</w:t>
      </w:r>
      <w:r>
        <w:rPr>
          <w:rFonts w:hint="eastAsia" w:ascii="仿宋_GB2312" w:hAnsi="微软雅黑" w:eastAsia="仿宋_GB2312" w:cs="宋体"/>
          <w:kern w:val="0"/>
          <w:sz w:val="28"/>
          <w:szCs w:val="28"/>
        </w:rPr>
        <w:t>《中共中央 国务院关于深入打好污染防治攻坚战的意见》（2021年11月2日）；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（2）《中共中央 国务院印发黄河流域生态保护和高质量发展规划纲要》（2021年10月8日）；</w:t>
      </w:r>
    </w:p>
    <w:p>
      <w:pPr>
        <w:widowControl/>
        <w:adjustRightInd w:val="0"/>
        <w:snapToGrid w:val="0"/>
        <w:spacing w:line="360" w:lineRule="auto"/>
        <w:ind w:firstLine="560" w:firstLineChars="200"/>
        <w:rPr>
          <w:rFonts w:ascii="仿宋_GB2312" w:hAnsi="Calibri" w:eastAsia="仿宋_GB2312" w:cs="Times New Roman"/>
          <w:snapToGrid w:val="0"/>
          <w:kern w:val="0"/>
          <w:sz w:val="28"/>
          <w:szCs w:val="28"/>
        </w:rPr>
      </w:pPr>
      <w:r>
        <w:rPr>
          <w:rFonts w:hint="eastAsia" w:ascii="仿宋_GB2312" w:hAnsi="微软雅黑" w:eastAsia="仿宋_GB2312" w:cs="宋体"/>
          <w:kern w:val="0"/>
          <w:sz w:val="28"/>
          <w:szCs w:val="28"/>
        </w:rPr>
        <w:t>（3）《中共中央 国务院关于完整准确全面贯彻新发展理念做好碳达峰碳中和工作的意见》（2021年9月22日）；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（4）《国务院关于加快建立健全绿色低碳循环发展经济体系的指导意见》（国发〔2021〕4号）（2021年2月22日）；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（5）《关于构建现代环境治理体系的指导意见》（2020年3月3日）；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（6）《国务院关于支持宁夏建设黄河流域生态保护和高质量发展先行区实施方案的批复》（国函〔2022〕32号）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（7）《中共宁夏回族自治区委员会关于建设黄河流域生态保护和高质量发展先行区的实施意见》（2020年7月21日）；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（8）《中共宁夏回族自治区委员会关于建设黄河流域生态保护和高质量发展先行区的实施意见》（宁党发[2020]17号）；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（9）《自治区人民政府关于实施“三线一单”生态环境分区管控的通知（宁政发[2020]37号）》；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（10）《自治区党委办公厅 人民政府办公厅印发&lt;自治区九大重点产业高质量发展实施方案&gt;的通知》（宁党办[2020]88号）；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（11）《自治区人民政府办公厅印发&lt;关于推动制造业高质量发展实施方案&gt;的通知》（2020年3月9日）；</w:t>
      </w:r>
    </w:p>
    <w:p>
      <w:pPr>
        <w:widowControl/>
        <w:adjustRightInd w:val="0"/>
        <w:snapToGrid w:val="0"/>
        <w:spacing w:line="360" w:lineRule="auto"/>
        <w:ind w:firstLine="600" w:firstLineChars="200"/>
        <w:rPr>
          <w:rFonts w:ascii="仿宋_GB2312" w:hAnsi="微软雅黑" w:eastAsia="仿宋_GB2312" w:cs="宋体"/>
          <w:spacing w:val="10"/>
          <w:kern w:val="0"/>
          <w:sz w:val="28"/>
          <w:szCs w:val="28"/>
        </w:rPr>
      </w:pPr>
      <w:r>
        <w:rPr>
          <w:rFonts w:hint="eastAsia" w:ascii="仿宋_GB2312" w:hAnsi="微软雅黑" w:eastAsia="仿宋_GB2312" w:cs="宋体"/>
          <w:spacing w:val="10"/>
          <w:kern w:val="0"/>
          <w:sz w:val="28"/>
          <w:szCs w:val="28"/>
        </w:rPr>
        <w:t>（12）《自治区人民政府办公厅转发自治区工业和信息化厅关于实施“四大改造”推进工业转型发展实施方案的通知》（2020年1月5日）；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（13）《自治区人民政府办公厅印发&lt;关于推进美丽乡村建设高质量发展的实施意见》（宁政办规发[2020]13号）；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（14）《自治区人民政府关于推进农业高质量发展促进乡村产业振兴的实施意见》（宁政发[2020]1号）；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（15）</w:t>
      </w:r>
      <w:r>
        <w:rPr>
          <w:rFonts w:hint="eastAsia" w:ascii="仿宋_GB2312" w:hAnsi="微软雅黑" w:eastAsia="仿宋_GB2312" w:cs="宋体"/>
          <w:spacing w:val="6"/>
          <w:kern w:val="0"/>
          <w:sz w:val="28"/>
          <w:szCs w:val="28"/>
        </w:rPr>
        <w:t>《自治区党委办公厅 人民政府办公厅印发用水权、土地权、排污权、山林权“四权”改革实施意见的通知》（宁党办发[2021]39号）；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（16）《自治区党委办公厅 人民政府办公厅印发&lt;关于构建现代环境治理体系的实施意见&gt;的通知》（宁党办发[2021]57号）；</w:t>
      </w:r>
    </w:p>
    <w:p>
      <w:pPr>
        <w:widowControl/>
        <w:adjustRightInd w:val="0"/>
        <w:snapToGrid w:val="0"/>
        <w:spacing w:line="360" w:lineRule="auto"/>
        <w:ind w:firstLine="584" w:firstLineChars="200"/>
        <w:rPr>
          <w:rFonts w:ascii="仿宋_GB2312" w:hAnsi="微软雅黑" w:eastAsia="仿宋_GB2312" w:cs="宋体"/>
          <w:spacing w:val="6"/>
          <w:kern w:val="0"/>
          <w:sz w:val="28"/>
          <w:szCs w:val="28"/>
        </w:rPr>
      </w:pPr>
      <w:r>
        <w:rPr>
          <w:rFonts w:hint="eastAsia" w:ascii="仿宋_GB2312" w:hAnsi="微软雅黑" w:eastAsia="仿宋_GB2312" w:cs="宋体"/>
          <w:spacing w:val="6"/>
          <w:kern w:val="0"/>
          <w:sz w:val="28"/>
          <w:szCs w:val="28"/>
        </w:rPr>
        <w:t>（17）《盐池县深入推进山林权改革加快植绿增绿护绿步伐实施方案》（盐党办发〔2021〕46号）；</w:t>
      </w:r>
    </w:p>
    <w:p>
      <w:pPr>
        <w:widowControl/>
        <w:adjustRightInd w:val="0"/>
        <w:snapToGrid w:val="0"/>
        <w:spacing w:line="360" w:lineRule="auto"/>
        <w:ind w:firstLine="584" w:firstLineChars="200"/>
        <w:rPr>
          <w:rFonts w:ascii="仿宋_GB2312" w:hAnsi="微软雅黑" w:eastAsia="仿宋_GB2312" w:cs="宋体"/>
          <w:spacing w:val="6"/>
          <w:kern w:val="0"/>
          <w:sz w:val="28"/>
          <w:szCs w:val="28"/>
        </w:rPr>
      </w:pPr>
      <w:r>
        <w:rPr>
          <w:rFonts w:hint="eastAsia" w:ascii="仿宋_GB2312" w:hAnsi="微软雅黑" w:eastAsia="仿宋_GB2312" w:cs="宋体"/>
          <w:spacing w:val="6"/>
          <w:kern w:val="0"/>
          <w:sz w:val="28"/>
          <w:szCs w:val="28"/>
        </w:rPr>
        <w:t>（18）《盐池县山林地资源调查确权工作方案》（盐政办发〔2021〕46号）；</w:t>
      </w:r>
    </w:p>
    <w:p>
      <w:pPr>
        <w:widowControl/>
        <w:adjustRightInd w:val="0"/>
        <w:snapToGrid w:val="0"/>
        <w:spacing w:line="360" w:lineRule="auto"/>
        <w:ind w:firstLine="584" w:firstLineChars="200"/>
        <w:rPr>
          <w:rFonts w:ascii="仿宋_GB2312" w:hAnsi="微软雅黑" w:eastAsia="仿宋_GB2312" w:cs="宋体"/>
          <w:spacing w:val="6"/>
          <w:kern w:val="0"/>
          <w:sz w:val="28"/>
          <w:szCs w:val="28"/>
        </w:rPr>
      </w:pPr>
      <w:r>
        <w:rPr>
          <w:rFonts w:hint="eastAsia" w:ascii="仿宋_GB2312" w:hAnsi="微软雅黑" w:eastAsia="仿宋_GB2312" w:cs="宋体"/>
          <w:spacing w:val="6"/>
          <w:kern w:val="0"/>
          <w:sz w:val="28"/>
          <w:szCs w:val="28"/>
        </w:rPr>
        <w:t>（19）《关于进一步推进盐池县山林权改革工作的通知》（2022年5月8日）；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(20)《自治区人民政府关于印发深化“放管服”改革优化营商环境若干措施的通知》（宁政规发[2020]5号）；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(21)《自治区党委办公厅  人民政府办公厅印发&lt;关于实施城乡居民收入提升行动的意见&gt;的通知》（宁党办发[2021]49号）等。</w:t>
      </w:r>
      <w:r>
        <w:rPr>
          <w:rFonts w:ascii="仿宋_GB2312" w:hAnsi="微软雅黑" w:eastAsia="仿宋_GB2312" w:cs="宋体"/>
          <w:kern w:val="0"/>
          <w:sz w:val="28"/>
          <w:szCs w:val="28"/>
        </w:rPr>
        <w:t xml:space="preserve"> </w:t>
      </w:r>
    </w:p>
    <w:p>
      <w:pPr>
        <w:pStyle w:val="4"/>
        <w:adjustRightInd w:val="0"/>
        <w:snapToGrid w:val="0"/>
        <w:spacing w:before="120" w:after="120" w:line="360" w:lineRule="auto"/>
        <w:rPr>
          <w:rFonts w:ascii="仿宋_GB2312" w:hAnsi="仿宋" w:eastAsia="仿宋_GB2312"/>
          <w:sz w:val="28"/>
          <w:szCs w:val="28"/>
        </w:rPr>
      </w:pPr>
      <w:r>
        <w:rPr>
          <w:rFonts w:hint="eastAsia" w:ascii="黑体" w:hAnsi="黑体" w:eastAsia="黑体"/>
          <w:sz w:val="28"/>
          <w:szCs w:val="28"/>
        </w:rPr>
        <w:t>2.3.3技术文件</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（1）《中共中央关于制定国民经济和社会发展第十四个五年规划和二○三五年远景目标的建议》（2020年10月29日）；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（2）</w:t>
      </w:r>
      <w:r>
        <w:rPr>
          <w:rFonts w:hint="eastAsia" w:ascii="仿宋_GB2312" w:hAnsi="微软雅黑" w:eastAsia="仿宋_GB2312" w:cs="宋体"/>
          <w:spacing w:val="20"/>
          <w:kern w:val="0"/>
          <w:sz w:val="28"/>
          <w:szCs w:val="28"/>
        </w:rPr>
        <w:t>《自治区人民政府关于印发宁夏回族自治区国民经济和社会发展第十四个五年规划和2035年远景目标纲要的通知》（宁政发</w:t>
      </w:r>
      <w:r>
        <w:rPr>
          <w:rFonts w:hint="eastAsia" w:ascii="仿宋_GB2312" w:hAnsi="微软雅黑" w:eastAsia="仿宋_GB2312" w:cs="宋体"/>
          <w:kern w:val="0"/>
          <w:sz w:val="28"/>
          <w:szCs w:val="28"/>
        </w:rPr>
        <w:t>〔2021〕1号</w:t>
      </w:r>
      <w:r>
        <w:rPr>
          <w:rFonts w:hint="eastAsia" w:ascii="仿宋_GB2312" w:hAnsi="微软雅黑" w:eastAsia="仿宋_GB2312" w:cs="宋体"/>
          <w:spacing w:val="20"/>
          <w:kern w:val="0"/>
          <w:sz w:val="28"/>
          <w:szCs w:val="28"/>
        </w:rPr>
        <w:t>）；</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（3）《宁夏回族自治区主体功能区划》（</w:t>
      </w:r>
      <w:r>
        <w:rPr>
          <w:rFonts w:hint="eastAsia" w:ascii="仿宋_GB2312" w:hAnsi="微软雅黑" w:eastAsia="仿宋_GB2312" w:cs="宋体"/>
          <w:spacing w:val="20"/>
          <w:kern w:val="0"/>
          <w:sz w:val="28"/>
          <w:szCs w:val="28"/>
        </w:rPr>
        <w:t>宁政发</w:t>
      </w:r>
      <w:r>
        <w:rPr>
          <w:rFonts w:hint="eastAsia" w:ascii="仿宋_GB2312" w:hAnsi="微软雅黑" w:eastAsia="仿宋_GB2312" w:cs="宋体"/>
          <w:kern w:val="0"/>
          <w:sz w:val="28"/>
          <w:szCs w:val="28"/>
        </w:rPr>
        <w:t>〔2014〕53号）；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（4）《宁夏回族自治区空间规划》（2016年7月15日）；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（5）《宁夏耕地草原河湖休养生息规划（2018-2030年）》（2019年10月12日）；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（6）《宁夏沿黄生态经济带发展规划（2019-2035年）》（2019年10月20日）；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（7）《自治区人民政府办公厅关于印发宁夏回族自治区生态环境保护“十四五”规划的通知》（宁政办发〔2021〕59号）；</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（8）《吴忠市国民经济和社会发展第十四个五年规划和二</w:t>
      </w:r>
      <w:r>
        <w:rPr>
          <w:rFonts w:hint="eastAsia" w:ascii="宋体" w:hAnsi="宋体" w:cs="宋体"/>
          <w:kern w:val="0"/>
          <w:sz w:val="28"/>
          <w:szCs w:val="28"/>
        </w:rPr>
        <w:t>〇</w:t>
      </w:r>
      <w:r>
        <w:rPr>
          <w:rFonts w:hint="eastAsia" w:ascii="仿宋_GB2312" w:hAnsi="微软雅黑" w:eastAsia="仿宋_GB2312" w:cs="宋体"/>
          <w:kern w:val="0"/>
          <w:sz w:val="28"/>
          <w:szCs w:val="28"/>
        </w:rPr>
        <w:t>三五年远景目标纲要》（2021年4月19日）；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（9）《盐池县国民经济和社会发展第十四个五年规划和二</w:t>
      </w:r>
      <w:r>
        <w:rPr>
          <w:rFonts w:hint="eastAsia" w:ascii="宋体" w:hAnsi="宋体" w:cs="宋体"/>
          <w:kern w:val="0"/>
          <w:sz w:val="28"/>
          <w:szCs w:val="28"/>
        </w:rPr>
        <w:t>〇</w:t>
      </w:r>
      <w:r>
        <w:rPr>
          <w:rFonts w:hint="eastAsia" w:ascii="仿宋_GB2312" w:hAnsi="微软雅黑" w:eastAsia="仿宋_GB2312" w:cs="宋体"/>
          <w:kern w:val="0"/>
          <w:sz w:val="28"/>
          <w:szCs w:val="28"/>
        </w:rPr>
        <w:t>三五年远景目标纲要》（2021年3月12日）；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（10）《吴忠市生态环境保护“十四五”规划》（2021年10月15日）；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（11）《盐池县土地利用总体规划》（2016-2035年）；</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（12）《盐池县城镇总体规划》（2010-2030年）；</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（13）《盐池县生态环境保护“十四五”规划》（2021年6月10日）；</w:t>
      </w:r>
    </w:p>
    <w:p>
      <w:pPr>
        <w:widowControl/>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微软雅黑" w:eastAsia="仿宋_GB2312" w:cs="宋体"/>
          <w:kern w:val="0"/>
          <w:sz w:val="28"/>
          <w:szCs w:val="28"/>
        </w:rPr>
        <w:t>（14）盐池县直部门和单位“十四五”专项规划等。</w:t>
      </w: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pStyle w:val="2"/>
        <w:adjustRightInd w:val="0"/>
        <w:snapToGrid w:val="0"/>
        <w:spacing w:before="240" w:after="240" w:line="360" w:lineRule="auto"/>
        <w:rPr>
          <w:rFonts w:ascii="黑体" w:hAnsi="黑体" w:eastAsia="黑体"/>
          <w:sz w:val="32"/>
          <w:szCs w:val="32"/>
        </w:rPr>
      </w:pPr>
      <w:bookmarkStart w:id="5" w:name="_Toc111980866"/>
      <w:r>
        <w:rPr>
          <w:rFonts w:hint="eastAsia" w:ascii="黑体" w:hAnsi="黑体" w:eastAsia="黑体"/>
          <w:sz w:val="32"/>
          <w:szCs w:val="32"/>
        </w:rPr>
        <w:t>3盐池概况</w:t>
      </w:r>
      <w:bookmarkEnd w:id="5"/>
    </w:p>
    <w:p>
      <w:pPr>
        <w:pStyle w:val="3"/>
        <w:adjustRightInd w:val="0"/>
        <w:snapToGrid w:val="0"/>
        <w:spacing w:before="120" w:after="120" w:line="360" w:lineRule="auto"/>
        <w:rPr>
          <w:rFonts w:ascii="黑体" w:hAnsi="黑体" w:eastAsia="黑体"/>
          <w:sz w:val="30"/>
          <w:szCs w:val="30"/>
        </w:rPr>
      </w:pPr>
      <w:bookmarkStart w:id="6" w:name="_Toc111980867"/>
      <w:r>
        <w:rPr>
          <w:rFonts w:hint="eastAsia" w:ascii="黑体" w:hAnsi="黑体" w:eastAsia="黑体"/>
          <w:sz w:val="30"/>
          <w:szCs w:val="30"/>
        </w:rPr>
        <w:t>3.1自然概况</w:t>
      </w:r>
      <w:bookmarkEnd w:id="6"/>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3.1.1地理位置</w:t>
      </w:r>
    </w:p>
    <w:p>
      <w:pPr>
        <w:adjustRightInd w:val="0"/>
        <w:snapToGrid w:val="0"/>
        <w:spacing w:line="360" w:lineRule="auto"/>
        <w:ind w:firstLine="536" w:firstLineChars="200"/>
        <w:rPr>
          <w:rFonts w:ascii="仿宋_GB2312" w:hAnsi="Calibri" w:eastAsia="仿宋_GB2312"/>
          <w:spacing w:val="-6"/>
          <w:sz w:val="28"/>
          <w:szCs w:val="28"/>
        </w:rPr>
      </w:pPr>
      <w:r>
        <w:rPr>
          <w:rFonts w:hint="eastAsia" w:ascii="仿宋_GB2312" w:eastAsia="仿宋_GB2312"/>
          <w:spacing w:val="-6"/>
          <w:sz w:val="28"/>
          <w:szCs w:val="28"/>
        </w:rPr>
        <w:t>盐池县隶属吴忠市，位于宁夏回族自治区东部、毛乌素沙地南缘，是陕、甘、宁、蒙四省（区）交界地带，自古就有“西北门户、灵夏肘腋、关中要冲”之称，是宁夏交通的东大门。西与灵武市、同心县连接，北与内蒙古鄂托克前旗</w:t>
      </w:r>
      <w:r>
        <w:rPr>
          <w:rFonts w:hint="eastAsia" w:ascii="仿宋_GB2312" w:eastAsia="仿宋_GB2312"/>
          <w:spacing w:val="-6"/>
          <w:sz w:val="28"/>
          <w:szCs w:val="28"/>
          <w:lang w:val="en-US" w:eastAsia="zh-CN"/>
        </w:rPr>
        <w:t>相邻</w:t>
      </w:r>
      <w:r>
        <w:rPr>
          <w:rFonts w:hint="eastAsia" w:ascii="仿宋_GB2312" w:eastAsia="仿宋_GB2312"/>
          <w:spacing w:val="-6"/>
          <w:sz w:val="28"/>
          <w:szCs w:val="28"/>
        </w:rPr>
        <w:t>，东与陕西省定边县接壤，南与甘肃省环县毗邻。地理坐标为东经106°34′～107°40′，北纬37°05′～38°10′。全县南北长约110公里，东西宽约66公里，总面积</w:t>
      </w:r>
      <w:r>
        <w:rPr>
          <w:rFonts w:hint="eastAsia" w:ascii="仿宋_GB2312" w:eastAsia="仿宋_GB2312"/>
          <w:sz w:val="28"/>
          <w:szCs w:val="28"/>
        </w:rPr>
        <w:t>8522.2平方公里，</w:t>
      </w:r>
      <w:r>
        <w:rPr>
          <w:rFonts w:hint="eastAsia" w:ascii="仿宋_GB2312" w:eastAsia="仿宋_GB2312"/>
          <w:spacing w:val="-6"/>
          <w:sz w:val="28"/>
          <w:szCs w:val="28"/>
        </w:rPr>
        <w:t>是全区土地面积最大的县，县城距离自治区首府银川市131公里。地理位置见图3-1，区位见图3-2。</w:t>
      </w:r>
    </w:p>
    <w:p>
      <w:pPr>
        <w:adjustRightInd w:val="0"/>
        <w:snapToGrid w:val="0"/>
        <w:spacing w:line="360" w:lineRule="auto"/>
        <w:ind w:firstLine="536" w:firstLineChars="200"/>
        <w:rPr>
          <w:rFonts w:ascii="仿宋_GB2312" w:eastAsia="仿宋_GB2312"/>
          <w:sz w:val="28"/>
          <w:szCs w:val="28"/>
        </w:rPr>
      </w:pPr>
      <w:r>
        <w:rPr>
          <w:rFonts w:hint="eastAsia" w:ascii="仿宋_GB2312" w:eastAsia="仿宋_GB2312"/>
          <w:spacing w:val="-6"/>
          <w:sz w:val="28"/>
          <w:szCs w:val="28"/>
        </w:rPr>
        <w:t>盐池县</w:t>
      </w:r>
      <w:r>
        <w:rPr>
          <w:rFonts w:hint="eastAsia" w:ascii="仿宋_GB2312" w:eastAsia="仿宋_GB2312"/>
          <w:sz w:val="28"/>
          <w:szCs w:val="28"/>
        </w:rPr>
        <w:t>自古就是西北商贾云集之地；3条铁路、4条高速、10条国省干道纵贯县域，交通便捷。</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3.1.2地形地貌</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地势南高北低，海拔1295～1951.3m，北接毛乌素沙漠，属鄂尔多斯台地，南靠黄土高原，分属黄土丘陵区和鄂尔多斯缓坡区两大地貌单元。地理地段属典型的过渡地带，即自南向北是从黄土高原向鄂尔多斯台地的过渡地带。</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南部黄土丘陵区是我国黄土高原的西北边缘部分，也是陇东黄土地貌的北部边缘。海拔均在1600m以上，最高海拔1951.5m。这里山峦起伏，沟壑纵横，梁峁相间，水土流失严重。该区北缘有一条长45km黄土梁，海拔1823～1951.3m之间，构成东北</w:t>
      </w:r>
      <w:r>
        <w:rPr>
          <w:rFonts w:ascii="仿宋_GB2312" w:eastAsia="仿宋_GB2312"/>
          <w:sz w:val="28"/>
          <w:szCs w:val="28"/>
        </w:rPr>
        <w:t>——</w:t>
      </w:r>
      <w:r>
        <w:rPr>
          <w:rFonts w:hint="eastAsia" w:ascii="仿宋_GB2312" w:eastAsia="仿宋_GB2312"/>
          <w:sz w:val="28"/>
          <w:szCs w:val="28"/>
        </w:rPr>
        <w:t>西南向分水岭。</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北部鄂尔多斯台地缓坡丘陵区海拔1300～1620m，大部分为缓坡丘陵和滩地。沙漠和沙地是该区域主要的地貌类型，县域北部有自西向东的流动沙带横穿。</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3.1.3气候特征</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属典型中温带大陆性气候，按宁夏气候分区，属盐池—同心半干旱气候区。由于受西北环流支配，北方大陆气团控制时间较长，因此形成冬长夏短、春迟秋早、冬寒夏热、干旱少雨、风大沙多、日照充足的特点。</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年平均气温8.7℃，极端最高气温38℃，极端最低气温-29.6℃。日照长，温差大，气候差异明显。年日照时数为2896.4h，年太阳总辐射值140.31kcal/cm</w:t>
      </w:r>
      <w:r>
        <w:rPr>
          <w:rFonts w:hint="eastAsia" w:ascii="仿宋_GB2312" w:eastAsia="仿宋_GB2312"/>
          <w:sz w:val="28"/>
          <w:szCs w:val="28"/>
          <w:vertAlign w:val="superscript"/>
        </w:rPr>
        <w:t>2</w:t>
      </w:r>
      <w:r>
        <w:rPr>
          <w:rFonts w:hint="eastAsia" w:ascii="仿宋_GB2312" w:eastAsia="仿宋_GB2312"/>
          <w:sz w:val="28"/>
          <w:szCs w:val="28"/>
        </w:rPr>
        <w:t>；平均无霜期为162天。</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多年平均降雨量294mm左右，年际变化大，且多集中在7、8、9三个月；年蒸发量2179.8mm，为降水量的8～9倍，干燥度为3.1。</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冬春风沙天气较多。年平均风速2.9m/s，最大风速达16m/s，风向以西北风为主，年均大风日数为36～69天，沙尘暴日数为15天以上，主要集中在2月至5月。</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主要灾害性天气有干旱、大风、沙尘暴、冰雹、低温冻害等。</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3.1.4土壤</w:t>
      </w:r>
    </w:p>
    <w:p>
      <w:pPr>
        <w:adjustRightInd w:val="0"/>
        <w:snapToGrid w:val="0"/>
        <w:spacing w:line="360" w:lineRule="auto"/>
        <w:ind w:firstLine="560" w:firstLineChars="200"/>
        <w:rPr>
          <w:rFonts w:ascii="仿宋_GB2312" w:hAnsi="Calibri" w:eastAsia="仿宋_GB2312"/>
          <w:sz w:val="28"/>
          <w:szCs w:val="28"/>
        </w:rPr>
      </w:pPr>
      <w:r>
        <w:rPr>
          <w:rFonts w:hint="eastAsia" w:ascii="仿宋_GB2312" w:eastAsia="仿宋_GB2312"/>
          <w:sz w:val="28"/>
          <w:szCs w:val="28"/>
        </w:rPr>
        <w:t>盐池县主要土壤类型有9个大类24个亚类，45个土属，146个土种和变种。主要有灰钙土、风沙土、黄绵土、</w:t>
      </w:r>
      <w:r>
        <w:rPr>
          <w:rFonts w:hint="eastAsia" w:ascii="仿宋_GB2312" w:eastAsia="仿宋_GB2312"/>
          <w:sz w:val="28"/>
          <w:szCs w:val="28"/>
          <w:lang w:val="en-US" w:eastAsia="zh-CN"/>
        </w:rPr>
        <w:t>盐碱土</w:t>
      </w:r>
      <w:r>
        <w:rPr>
          <w:rFonts w:hint="eastAsia" w:ascii="仿宋_GB2312" w:eastAsia="仿宋_GB2312"/>
          <w:sz w:val="28"/>
          <w:szCs w:val="28"/>
        </w:rPr>
        <w:t>、草甸土等类型。</w:t>
      </w:r>
    </w:p>
    <w:p>
      <w:pPr>
        <w:adjustRightInd w:val="0"/>
        <w:snapToGrid w:val="0"/>
        <w:spacing w:line="360" w:lineRule="auto"/>
        <w:ind w:firstLine="562" w:firstLineChars="200"/>
        <w:rPr>
          <w:rFonts w:ascii="仿宋_GB2312" w:eastAsia="仿宋_GB2312"/>
          <w:sz w:val="28"/>
          <w:szCs w:val="28"/>
        </w:rPr>
      </w:pPr>
      <w:r>
        <w:rPr>
          <w:rFonts w:hint="eastAsia" w:ascii="仿宋_GB2312" w:eastAsia="仿宋_GB2312"/>
          <w:b/>
          <w:sz w:val="28"/>
          <w:szCs w:val="28"/>
        </w:rPr>
        <w:t>灰钙土：</w:t>
      </w:r>
      <w:r>
        <w:rPr>
          <w:rFonts w:hint="eastAsia" w:ascii="仿宋_GB2312" w:eastAsia="仿宋_GB2312"/>
          <w:sz w:val="28"/>
          <w:szCs w:val="28"/>
        </w:rPr>
        <w:t>其土壤母质为第四纪洪积冲积物，质地较粗，沙性强，土体</w:t>
      </w:r>
      <w:r>
        <w:rPr>
          <w:rFonts w:hint="eastAsia" w:ascii="仿宋_GB2312" w:eastAsia="仿宋_GB2312"/>
          <w:sz w:val="28"/>
          <w:szCs w:val="28"/>
          <w:lang w:val="en-US" w:eastAsia="zh-CN"/>
        </w:rPr>
        <w:t>干燥</w:t>
      </w:r>
      <w:r>
        <w:rPr>
          <w:rFonts w:hint="eastAsia" w:ascii="仿宋_GB2312" w:eastAsia="仿宋_GB2312"/>
          <w:sz w:val="28"/>
          <w:szCs w:val="28"/>
        </w:rPr>
        <w:t>。主要分布在中北部的鄂尔多斯缓坡丘陵地带。</w:t>
      </w:r>
    </w:p>
    <w:p>
      <w:pPr>
        <w:adjustRightInd w:val="0"/>
        <w:snapToGrid w:val="0"/>
        <w:spacing w:line="360" w:lineRule="auto"/>
        <w:ind w:firstLine="562" w:firstLineChars="200"/>
        <w:rPr>
          <w:rFonts w:ascii="仿宋_GB2312" w:eastAsia="仿宋_GB2312"/>
          <w:sz w:val="28"/>
          <w:szCs w:val="28"/>
        </w:rPr>
      </w:pPr>
      <w:r>
        <w:rPr>
          <w:rFonts w:hint="eastAsia" w:ascii="仿宋_GB2312" w:eastAsia="仿宋_GB2312"/>
          <w:b/>
          <w:sz w:val="28"/>
          <w:szCs w:val="28"/>
        </w:rPr>
        <w:t>风沙土：</w:t>
      </w:r>
      <w:r>
        <w:rPr>
          <w:rFonts w:hint="eastAsia" w:ascii="仿宋_GB2312" w:eastAsia="仿宋_GB2312"/>
          <w:sz w:val="28"/>
          <w:szCs w:val="28"/>
        </w:rPr>
        <w:t>主要分布在北部中部灰钙土地区。其沙源为毛乌素沙漠的风沙土，经风力搬运在县城中北部形成，主要为格状沙丘链和复沙地，土体干燥易流动。</w:t>
      </w:r>
    </w:p>
    <w:p>
      <w:pPr>
        <w:adjustRightInd w:val="0"/>
        <w:snapToGrid w:val="0"/>
        <w:spacing w:line="360" w:lineRule="auto"/>
        <w:ind w:firstLine="562" w:firstLineChars="200"/>
        <w:rPr>
          <w:rFonts w:ascii="仿宋_GB2312" w:eastAsia="仿宋_GB2312"/>
          <w:sz w:val="28"/>
          <w:szCs w:val="28"/>
        </w:rPr>
      </w:pPr>
      <w:r>
        <w:rPr>
          <w:rFonts w:hint="eastAsia" w:ascii="仿宋_GB2312" w:eastAsia="仿宋_GB2312"/>
          <w:b/>
          <w:sz w:val="28"/>
          <w:szCs w:val="28"/>
        </w:rPr>
        <w:t>黄绵土：</w:t>
      </w:r>
      <w:r>
        <w:rPr>
          <w:rFonts w:hint="eastAsia" w:ascii="仿宋_GB2312" w:eastAsia="仿宋_GB2312"/>
          <w:sz w:val="28"/>
          <w:szCs w:val="28"/>
        </w:rPr>
        <w:t>是盐池县</w:t>
      </w:r>
      <w:r>
        <w:rPr>
          <w:rFonts w:hint="eastAsia" w:ascii="仿宋_GB2312" w:eastAsia="仿宋_GB2312"/>
          <w:sz w:val="28"/>
          <w:szCs w:val="28"/>
          <w:lang w:val="en-US" w:eastAsia="zh-CN"/>
        </w:rPr>
        <w:t>干旱</w:t>
      </w:r>
      <w:r>
        <w:rPr>
          <w:rFonts w:hint="eastAsia" w:ascii="仿宋_GB2312" w:eastAsia="仿宋_GB2312"/>
          <w:sz w:val="28"/>
          <w:szCs w:val="28"/>
        </w:rPr>
        <w:t>草原生物气候带条件下形成的地带性土壤，为第四纪风积黄土。分布于南部麻黄山、大水坑、惠安堡等黄土丘陵地区，土层深厚，以轻壤土为主。有机质含量较低，土质疏松，水土流失严重。</w:t>
      </w:r>
    </w:p>
    <w:p>
      <w:pPr>
        <w:adjustRightInd w:val="0"/>
        <w:snapToGrid w:val="0"/>
        <w:spacing w:line="360" w:lineRule="auto"/>
        <w:ind w:firstLine="562" w:firstLineChars="200"/>
        <w:rPr>
          <w:rFonts w:ascii="仿宋_GB2312" w:eastAsia="仿宋_GB2312"/>
          <w:sz w:val="28"/>
          <w:szCs w:val="28"/>
        </w:rPr>
      </w:pPr>
      <w:r>
        <w:rPr>
          <w:rFonts w:hint="eastAsia" w:ascii="仿宋_GB2312" w:eastAsia="仿宋_GB2312"/>
          <w:b/>
          <w:sz w:val="28"/>
          <w:szCs w:val="28"/>
        </w:rPr>
        <w:t>盐土：</w:t>
      </w:r>
      <w:r>
        <w:rPr>
          <w:rFonts w:hint="eastAsia" w:ascii="仿宋_GB2312" w:eastAsia="仿宋_GB2312"/>
          <w:sz w:val="28"/>
          <w:szCs w:val="28"/>
        </w:rPr>
        <w:t>主要分布在县城中北部的低洼地，湖滩周边的地下水埋藏较高的区域，是由于地下水即湖底土层中的盐分，随土壤毛管水上升至土壤表层，水分不断蒸发，盐分则不断在表土中积累，使形成盐土，有的盐分较高，形成盐结皮。</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3.1.5河流水系</w:t>
      </w:r>
    </w:p>
    <w:p>
      <w:pPr>
        <w:adjustRightInd w:val="0"/>
        <w:snapToGrid w:val="0"/>
        <w:spacing w:line="408" w:lineRule="auto"/>
        <w:ind w:firstLine="560" w:firstLineChars="200"/>
        <w:rPr>
          <w:rFonts w:ascii="仿宋_GB2312" w:hAnsi="Times New Roman" w:eastAsia="仿宋_GB2312"/>
          <w:sz w:val="28"/>
          <w:szCs w:val="28"/>
        </w:rPr>
      </w:pPr>
      <w:r>
        <w:rPr>
          <w:rFonts w:hint="eastAsia" w:ascii="仿宋_GB2312" w:hAnsi="Times New Roman" w:eastAsia="仿宋_GB2312"/>
          <w:sz w:val="28"/>
          <w:szCs w:val="28"/>
        </w:rPr>
        <w:t>盐池境内无大河流，南部地面径流有山水河、苦水河、东川、打伙店沟等季节性河流，分属环江流域、苦水河流域和内陆流域。中北部为内陆冲沟水系，南部和西南部为黄河水系的支沟。县境内历史上有不少湖泊，绝大多数已干涸。目前境内还有硝池子、八字洼硝湖等湖泊，大多数湖泊产硝且湖泊面积逐年减少。</w:t>
      </w:r>
    </w:p>
    <w:p>
      <w:pPr>
        <w:pStyle w:val="3"/>
        <w:adjustRightInd w:val="0"/>
        <w:snapToGrid w:val="0"/>
        <w:spacing w:before="120" w:after="120" w:line="360" w:lineRule="auto"/>
        <w:rPr>
          <w:rFonts w:ascii="黑体" w:hAnsi="黑体" w:eastAsia="黑体"/>
          <w:kern w:val="0"/>
          <w:sz w:val="30"/>
          <w:szCs w:val="30"/>
        </w:rPr>
      </w:pPr>
      <w:bookmarkStart w:id="7" w:name="_Toc101284737"/>
      <w:bookmarkStart w:id="8" w:name="_Toc111980868"/>
      <w:bookmarkStart w:id="9" w:name="_Toc98769846"/>
      <w:r>
        <w:rPr>
          <w:rFonts w:hint="eastAsia" w:ascii="黑体" w:hAnsi="黑体" w:eastAsia="黑体"/>
          <w:kern w:val="0"/>
          <w:sz w:val="30"/>
          <w:szCs w:val="30"/>
        </w:rPr>
        <w:t>3.2经济社会</w:t>
      </w:r>
      <w:bookmarkEnd w:id="7"/>
      <w:bookmarkEnd w:id="8"/>
      <w:bookmarkEnd w:id="9"/>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3.2.1行政区划</w:t>
      </w:r>
    </w:p>
    <w:p>
      <w:pPr>
        <w:adjustRightInd w:val="0"/>
        <w:snapToGrid w:val="0"/>
        <w:spacing w:line="360" w:lineRule="auto"/>
        <w:ind w:firstLine="560" w:firstLineChars="200"/>
        <w:rPr>
          <w:rFonts w:ascii="仿宋_GB2312" w:hAnsi="Calibri" w:eastAsia="仿宋_GB2312"/>
          <w:sz w:val="28"/>
          <w:szCs w:val="28"/>
        </w:rPr>
      </w:pPr>
      <w:r>
        <w:rPr>
          <w:rFonts w:hint="eastAsia" w:ascii="仿宋_GB2312" w:hAnsi="Times New Roman" w:eastAsia="仿宋_GB2312" w:cs="宋体"/>
          <w:kern w:val="0"/>
          <w:sz w:val="28"/>
          <w:szCs w:val="28"/>
        </w:rPr>
        <w:t>盐池县属吴忠市管辖，也是省直管县之一，县域总面积8522.2平方公里，是宁夏面积最大的县。</w:t>
      </w:r>
      <w:r>
        <w:rPr>
          <w:rFonts w:hint="eastAsia" w:ascii="仿宋_GB2312" w:eastAsia="仿宋_GB2312"/>
          <w:sz w:val="28"/>
          <w:szCs w:val="28"/>
        </w:rPr>
        <w:t>地广人稀，</w:t>
      </w:r>
      <w:r>
        <w:rPr>
          <w:rFonts w:hint="eastAsia" w:ascii="仿宋_GB2312" w:hAnsi="Times New Roman" w:eastAsia="仿宋_GB2312" w:cs="宋体"/>
          <w:kern w:val="0"/>
          <w:sz w:val="28"/>
          <w:szCs w:val="28"/>
        </w:rPr>
        <w:t>全县共辖4乡、4镇、1个街道办、11个居委会和102个村委会，总人口17.3万</w:t>
      </w:r>
      <w:r>
        <w:rPr>
          <w:rFonts w:hint="eastAsia" w:ascii="仿宋_GB2312" w:eastAsia="仿宋_GB2312"/>
          <w:sz w:val="28"/>
          <w:szCs w:val="28"/>
        </w:rPr>
        <w:t>。</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3.2.2历史沿革</w:t>
      </w:r>
    </w:p>
    <w:p>
      <w:pPr>
        <w:adjustRightInd w:val="0"/>
        <w:snapToGrid w:val="0"/>
        <w:spacing w:line="360" w:lineRule="auto"/>
        <w:ind w:firstLine="560" w:firstLineChars="200"/>
        <w:rPr>
          <w:rFonts w:ascii="仿宋_GB2312" w:hAnsi="Calibri" w:eastAsia="仿宋_GB2312"/>
          <w:sz w:val="28"/>
          <w:szCs w:val="28"/>
        </w:rPr>
      </w:pPr>
      <w:r>
        <w:rPr>
          <w:rFonts w:hint="eastAsia" w:ascii="仿宋_GB2312" w:eastAsia="仿宋_GB2312"/>
          <w:sz w:val="28"/>
          <w:szCs w:val="28"/>
        </w:rPr>
        <w:t>汉初设县，名</w:t>
      </w:r>
      <w:r>
        <w:rPr>
          <w:rFonts w:hint="eastAsia" w:ascii="宋体" w:hAnsi="宋体" w:cs="宋体"/>
          <w:sz w:val="28"/>
          <w:szCs w:val="28"/>
        </w:rPr>
        <w:t>昫</w:t>
      </w:r>
      <w:r>
        <w:rPr>
          <w:rFonts w:hint="eastAsia" w:ascii="仿宋_GB2312" w:hAnsi="仿宋_GB2312" w:eastAsia="仿宋_GB2312" w:cs="仿宋_GB2312"/>
          <w:sz w:val="28"/>
          <w:szCs w:val="28"/>
        </w:rPr>
        <w:t>衍。公元</w:t>
      </w:r>
      <w:r>
        <w:rPr>
          <w:rFonts w:hint="eastAsia" w:ascii="仿宋_GB2312" w:eastAsia="仿宋_GB2312"/>
          <w:sz w:val="28"/>
          <w:szCs w:val="28"/>
        </w:rPr>
        <w:t>553年隋称盐川郡，唐复改为盐州，北宋时期为西夏国22州之一，明朝1443年置花马池营，筑花马池城，1913年置盐池县，隶朔方道。</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3.2.3经济状况</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2021年，全县实现地区生产总值162.98亿元，同比增长8.8%。第一产业实现增加值11.97亿元，增长8.3%，增速较上年同期提高3.9个百分点；第二产业实现增加值103.63亿元，增长8.7%，增速较上年同期下降6.8个百分点；第三产业实现增加值47.38亿元，增长9.1%，增速较上年同期提高4.2个百分点。三次产业增加值结构为7.3：63.6：29.1。</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与上年同期比，第一产业比重下降0.4个百分点，第二产业比重上升3.3个百分点，第三产业比重下降2.9个百分点（见图3-3）。</w:t>
      </w:r>
    </w:p>
    <w:p>
      <w:pPr>
        <w:adjustRightInd w:val="0"/>
        <w:snapToGrid w:val="0"/>
        <w:spacing w:line="360" w:lineRule="auto"/>
        <w:jc w:val="center"/>
        <w:rPr>
          <w:rFonts w:ascii="仿宋_GB2312" w:hAnsi="黑体" w:eastAsia="仿宋_GB2312"/>
          <w:sz w:val="28"/>
          <w:szCs w:val="28"/>
        </w:rPr>
      </w:pPr>
      <w:r>
        <w:drawing>
          <wp:inline distT="0" distB="0" distL="0" distR="0">
            <wp:extent cx="4818380" cy="2806700"/>
            <wp:effectExtent l="19050" t="19050" r="2032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l="37452" t="53106" r="37858" b="20544"/>
                    <a:stretch>
                      <a:fillRect/>
                    </a:stretch>
                  </pic:blipFill>
                  <pic:spPr>
                    <a:xfrm>
                      <a:off x="0" y="0"/>
                      <a:ext cx="4830936" cy="2814060"/>
                    </a:xfrm>
                    <a:prstGeom prst="rect">
                      <a:avLst/>
                    </a:prstGeom>
                    <a:ln>
                      <a:solidFill>
                        <a:schemeClr val="accent1"/>
                      </a:solidFill>
                    </a:ln>
                  </pic:spPr>
                </pic:pic>
              </a:graphicData>
            </a:graphic>
          </wp:inline>
        </w:drawing>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图3-3 盐池县2017-2021年地区生产总值构成图</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从三次产业对经济增长的贡献来看，一、二、三产业对经济增长的贡献率为7.3%、59.6%和33.1%；一产拉动经济增长0.6个百分点，二产拉动经济增长5.3个百分点，三产拉动经济增长2.9个百分点（见图3-4）。</w:t>
      </w:r>
    </w:p>
    <w:p>
      <w:pPr>
        <w:adjustRightInd w:val="0"/>
        <w:snapToGrid w:val="0"/>
        <w:spacing w:line="360" w:lineRule="auto"/>
        <w:jc w:val="center"/>
        <w:rPr>
          <w:rFonts w:ascii="仿宋_GB2312" w:hAnsi="黑体" w:eastAsia="仿宋_GB2312"/>
          <w:sz w:val="28"/>
          <w:szCs w:val="28"/>
        </w:rPr>
      </w:pPr>
      <w:r>
        <w:drawing>
          <wp:inline distT="0" distB="0" distL="0" distR="0">
            <wp:extent cx="4856480" cy="2679065"/>
            <wp:effectExtent l="19050" t="19050" r="20320" b="260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rcRect l="31865" t="39189" r="38132" b="30484"/>
                    <a:stretch>
                      <a:fillRect/>
                    </a:stretch>
                  </pic:blipFill>
                  <pic:spPr>
                    <a:xfrm>
                      <a:off x="0" y="0"/>
                      <a:ext cx="4875003" cy="2689658"/>
                    </a:xfrm>
                    <a:prstGeom prst="rect">
                      <a:avLst/>
                    </a:prstGeom>
                    <a:ln>
                      <a:solidFill>
                        <a:schemeClr val="accent1"/>
                      </a:solidFill>
                    </a:ln>
                  </pic:spPr>
                </pic:pic>
              </a:graphicData>
            </a:graphic>
          </wp:inline>
        </w:drawing>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图3-4 盐池县2017-2021年三次产业占比</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城镇常住居民人均可支配收入32281元，较上年增加2450元，同比增长8.2%，增速较上年同期提高3.4个百分点，农村常住居民人均可支配收入15245元，较上年增加1323元，同比增长9.5%，增速较上年同期回落5.3个百分点。城乡居民收入比为2.1:1（以农村居民人均可支配收入为1），城乡常住居民收入差距逐步缩小（见图3-5）。</w:t>
      </w:r>
    </w:p>
    <w:p>
      <w:pPr>
        <w:adjustRightInd w:val="0"/>
        <w:snapToGrid w:val="0"/>
        <w:spacing w:line="360" w:lineRule="auto"/>
        <w:jc w:val="center"/>
        <w:rPr>
          <w:rFonts w:ascii="仿宋_GB2312" w:hAnsi="黑体" w:eastAsia="仿宋_GB2312"/>
          <w:sz w:val="28"/>
          <w:szCs w:val="28"/>
        </w:rPr>
      </w:pPr>
      <w:r>
        <w:drawing>
          <wp:inline distT="0" distB="0" distL="0" distR="0">
            <wp:extent cx="5020310" cy="3038475"/>
            <wp:effectExtent l="19050" t="19050" r="27940"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rcRect l="34059" t="50470" r="35078" b="15306"/>
                    <a:stretch>
                      <a:fillRect/>
                    </a:stretch>
                  </pic:blipFill>
                  <pic:spPr>
                    <a:xfrm>
                      <a:off x="0" y="0"/>
                      <a:ext cx="5029002" cy="3044120"/>
                    </a:xfrm>
                    <a:prstGeom prst="rect">
                      <a:avLst/>
                    </a:prstGeom>
                    <a:ln>
                      <a:solidFill>
                        <a:schemeClr val="accent1"/>
                      </a:solidFill>
                    </a:ln>
                  </pic:spPr>
                </pic:pic>
              </a:graphicData>
            </a:graphic>
          </wp:inline>
        </w:drawing>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图3-5 盐池县2017-2021年人均地区生产总值增量及增速变化</w:t>
      </w:r>
    </w:p>
    <w:p>
      <w:pPr>
        <w:pStyle w:val="13"/>
        <w:shd w:val="clear" w:color="auto" w:fill="FFFFFF"/>
        <w:adjustRightInd w:val="0"/>
        <w:snapToGrid w:val="0"/>
        <w:spacing w:before="0" w:beforeAutospacing="0" w:after="0" w:afterAutospacing="0" w:line="360" w:lineRule="auto"/>
        <w:ind w:firstLine="562" w:firstLineChars="200"/>
        <w:jc w:val="both"/>
        <w:rPr>
          <w:rFonts w:ascii="仿宋_GB2312" w:hAnsi="仿宋" w:eastAsia="仿宋_GB2312"/>
          <w:sz w:val="28"/>
          <w:szCs w:val="28"/>
        </w:rPr>
      </w:pPr>
      <w:r>
        <w:rPr>
          <w:rStyle w:val="17"/>
          <w:rFonts w:hint="eastAsia" w:ascii="仿宋_GB2312" w:hAnsi="仿宋" w:eastAsia="仿宋_GB2312"/>
          <w:sz w:val="28"/>
          <w:szCs w:val="28"/>
        </w:rPr>
        <w:t>五大主导行业</w:t>
      </w:r>
      <w:r>
        <w:rPr>
          <w:rStyle w:val="17"/>
          <w:rFonts w:hint="eastAsia" w:ascii="仿宋_GB2312" w:hAnsi="仿宋" w:eastAsia="仿宋_GB2312"/>
          <w:sz w:val="28"/>
          <w:szCs w:val="28"/>
          <w:shd w:val="clear" w:color="auto" w:fill="FFFFFF"/>
        </w:rPr>
        <w:t>呈现“三增两降”态势。</w:t>
      </w:r>
      <w:r>
        <w:rPr>
          <w:rFonts w:hint="eastAsia" w:ascii="仿宋_GB2312" w:hAnsi="仿宋" w:eastAsia="仿宋_GB2312"/>
          <w:sz w:val="28"/>
          <w:szCs w:val="28"/>
        </w:rPr>
        <w:t>煤炭开采和洗选业累计增速8.4%，较上年同期下降35.3个百分点，下降的原因一方面是由于今年煤炭开采和洗选业当月价格指数较上年同期增长42.8%，累计价格指数较上年同期增长28.4%，价格指数的升高导致增速的降低，另一方面是由于增加值率的更换，煤炭开采和洗选业增加值率较去年同期下降2.8%，增加值率的降低导致该行业增速的下降；石油、煤炭及其他燃料加工业累计增速41.3%，较上年同期上升23.3个百分点；电力、热力生产和供应业累计增速11.0%，较上年同期上升</w:t>
      </w:r>
      <w:r>
        <w:rPr>
          <w:rFonts w:hint="eastAsia" w:ascii="仿宋_GB2312" w:eastAsia="仿宋_GB2312"/>
          <w:sz w:val="28"/>
          <w:szCs w:val="28"/>
        </w:rPr>
        <w:t> </w:t>
      </w:r>
      <w:r>
        <w:rPr>
          <w:rFonts w:hint="eastAsia" w:ascii="仿宋_GB2312" w:hAnsi="仿宋" w:eastAsia="仿宋_GB2312"/>
          <w:sz w:val="28"/>
          <w:szCs w:val="28"/>
        </w:rPr>
        <w:t>9.1个百分点；燃气生产和供应业累计增速-19.5%，较上年同期下降52.2个百分点；石油和天然气开采业累计增速-2.0%。五大主导行业累计现价增加值占整体行业的94%，直接影响全县规模以上工业增速。</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eastAsia="仿宋_GB2312"/>
          <w:b/>
          <w:sz w:val="28"/>
          <w:szCs w:val="28"/>
        </w:rPr>
      </w:pPr>
      <w:r>
        <w:rPr>
          <w:rStyle w:val="17"/>
          <w:rFonts w:hint="eastAsia" w:ascii="仿宋_GB2312" w:hAnsi="仿宋" w:eastAsia="仿宋_GB2312"/>
          <w:b w:val="0"/>
          <w:sz w:val="28"/>
          <w:szCs w:val="28"/>
        </w:rPr>
        <w:t>2021年1-12月份全县规模以上企业主导产业增加值占比情况见图3-6。</w:t>
      </w:r>
    </w:p>
    <w:p>
      <w:pPr>
        <w:pStyle w:val="13"/>
        <w:shd w:val="clear" w:color="auto" w:fill="FFFFFF"/>
        <w:adjustRightInd w:val="0"/>
        <w:snapToGrid w:val="0"/>
        <w:spacing w:before="0" w:beforeAutospacing="0" w:after="0" w:afterAutospacing="0" w:line="360" w:lineRule="auto"/>
        <w:jc w:val="center"/>
        <w:rPr>
          <w:sz w:val="20"/>
          <w:szCs w:val="20"/>
        </w:rPr>
      </w:pPr>
      <w:r>
        <w:rPr>
          <w:sz w:val="20"/>
          <w:szCs w:val="20"/>
        </w:rPr>
        <w:drawing>
          <wp:inline distT="0" distB="0" distL="0" distR="0">
            <wp:extent cx="4648200" cy="2762250"/>
            <wp:effectExtent l="19050" t="19050" r="19050" b="19050"/>
            <wp:docPr id="2" name="图片 2" descr="http://www.yanchi.gov.cn/xxgk/zfxxgkml/tjxx/tjfx/202201/W020220126626190289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yanchi.gov.cn/xxgk/zfxxgkml/tjxx/tjfx/202201/W0202201266261902891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48200" cy="2762250"/>
                    </a:xfrm>
                    <a:prstGeom prst="rect">
                      <a:avLst/>
                    </a:prstGeom>
                    <a:noFill/>
                    <a:ln>
                      <a:solidFill>
                        <a:schemeClr val="accent1"/>
                      </a:solidFill>
                    </a:ln>
                  </pic:spPr>
                </pic:pic>
              </a:graphicData>
            </a:graphic>
          </wp:inline>
        </w:drawing>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图3-6 主导产业增加值占比情况</w:t>
      </w:r>
    </w:p>
    <w:p>
      <w:pPr>
        <w:pStyle w:val="3"/>
        <w:adjustRightInd w:val="0"/>
        <w:snapToGrid w:val="0"/>
        <w:spacing w:before="120" w:after="120" w:line="360" w:lineRule="auto"/>
        <w:rPr>
          <w:rFonts w:ascii="黑体" w:hAnsi="黑体" w:eastAsia="黑体"/>
          <w:kern w:val="0"/>
          <w:sz w:val="30"/>
          <w:szCs w:val="30"/>
        </w:rPr>
      </w:pPr>
      <w:bookmarkStart w:id="10" w:name="_Toc111980869"/>
      <w:r>
        <w:rPr>
          <w:rFonts w:hint="eastAsia" w:ascii="黑体" w:hAnsi="黑体" w:eastAsia="黑体"/>
          <w:kern w:val="0"/>
          <w:sz w:val="30"/>
          <w:szCs w:val="30"/>
        </w:rPr>
        <w:t>3.3资源利用</w:t>
      </w:r>
      <w:bookmarkEnd w:id="10"/>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3.3.1水资源利用现状</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盐池县地处黄河水系和内陆河水系分水岭地区，既无地表</w:t>
      </w:r>
      <w:r>
        <w:rPr>
          <w:rFonts w:hint="eastAsia" w:ascii="仿宋_GB2312" w:hAnsi="黑体" w:eastAsia="仿宋_GB2312"/>
          <w:sz w:val="28"/>
          <w:szCs w:val="28"/>
          <w:lang w:val="en-US" w:eastAsia="zh-CN"/>
        </w:rPr>
        <w:t>径流</w:t>
      </w:r>
      <w:r>
        <w:rPr>
          <w:rFonts w:hint="eastAsia" w:ascii="仿宋_GB2312" w:hAnsi="黑体" w:eastAsia="仿宋_GB2312"/>
          <w:sz w:val="28"/>
          <w:szCs w:val="28"/>
        </w:rPr>
        <w:t>又无地下径流补给（无客水入境），全靠降水形成地表水和地下水，水资源十分贫乏。水资源主要有盐环定扬黄水5800万立方米/年、地表水（塘坝水）200万立方米/年和地下水2000万立方米/年。宁夏分配给盐池县的扬黄水初始水权6100万立方米，当地多年平均地表水资源量2690万立方米，多年平均地下水资源量2900万立方米。盐池县水资源总量为1.169亿立方米。</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⑴扬黄水</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盐环定扬黄工程建成后，扭转了盐池县无黄河水灌溉的历史。该工程横贯盐池县中西部，年流量5m</w:t>
      </w:r>
      <w:r>
        <w:rPr>
          <w:rFonts w:hint="eastAsia" w:ascii="仿宋_GB2312" w:hAnsi="黑体" w:eastAsia="仿宋_GB2312"/>
          <w:sz w:val="28"/>
          <w:szCs w:val="28"/>
          <w:vertAlign w:val="superscript"/>
        </w:rPr>
        <w:t>3</w:t>
      </w:r>
      <w:r>
        <w:rPr>
          <w:rFonts w:hint="eastAsia" w:ascii="仿宋_GB2312" w:hAnsi="黑体" w:eastAsia="仿宋_GB2312"/>
          <w:sz w:val="28"/>
          <w:szCs w:val="28"/>
        </w:rPr>
        <w:t>/s，已开发水浇地近20万亩。扬黄水每年分给盐池的为7700万m</w:t>
      </w:r>
      <w:r>
        <w:rPr>
          <w:rFonts w:hint="eastAsia" w:ascii="仿宋_GB2312" w:hAnsi="黑体" w:eastAsia="仿宋_GB2312"/>
          <w:sz w:val="28"/>
          <w:szCs w:val="28"/>
          <w:vertAlign w:val="superscript"/>
        </w:rPr>
        <w:t>3</w:t>
      </w:r>
      <w:r>
        <w:rPr>
          <w:rFonts w:hint="eastAsia" w:ascii="仿宋_GB2312" w:hAnsi="黑体" w:eastAsia="仿宋_GB2312"/>
          <w:sz w:val="28"/>
          <w:szCs w:val="28"/>
        </w:rPr>
        <w:t>（丰增枯减）左右，全部为农业和生态用水。</w:t>
      </w: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r>
        <w:rPr>
          <w:rFonts w:hint="eastAsia" w:ascii="仿宋_GB2312" w:hAnsi="黑体" w:eastAsia="仿宋_GB2312"/>
          <w:sz w:val="28"/>
          <w:szCs w:val="28"/>
        </w:rPr>
        <w:t>近年扬黄水用水情况见表3-1。</w:t>
      </w:r>
    </w:p>
    <w:p>
      <w:pPr>
        <w:adjustRightInd w:val="0"/>
        <w:snapToGrid w:val="0"/>
        <w:spacing w:line="360" w:lineRule="auto"/>
        <w:jc w:val="center"/>
        <w:rPr>
          <w:rFonts w:ascii="仿宋_GB2312" w:hAnsi="Times New Roman" w:eastAsia="仿宋_GB2312"/>
          <w:sz w:val="28"/>
          <w:szCs w:val="28"/>
        </w:rPr>
      </w:pPr>
      <w:r>
        <w:rPr>
          <w:rStyle w:val="17"/>
          <w:rFonts w:hint="eastAsia" w:ascii="仿宋_GB2312" w:hAnsi="Times New Roman" w:eastAsia="仿宋_GB2312"/>
          <w:sz w:val="28"/>
          <w:szCs w:val="28"/>
          <w:shd w:val="clear" w:color="auto" w:fill="FFFFFF"/>
        </w:rPr>
        <w:t>表3-1          盐池县近年扬黄水用水情况       单位：万立方米</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15" w:type="dxa"/>
          <w:left w:w="15" w:type="dxa"/>
          <w:bottom w:w="15" w:type="dxa"/>
          <w:right w:w="15" w:type="dxa"/>
        </w:tblCellMar>
      </w:tblPr>
      <w:tblGrid>
        <w:gridCol w:w="1903"/>
        <w:gridCol w:w="1077"/>
        <w:gridCol w:w="1450"/>
        <w:gridCol w:w="1450"/>
        <w:gridCol w:w="1450"/>
        <w:gridCol w:w="12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年份</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2013</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2014</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2015</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2016</w:t>
            </w:r>
          </w:p>
        </w:tc>
        <w:tc>
          <w:tcPr>
            <w:tcW w:w="1294" w:type="dxa"/>
            <w:shd w:val="clear" w:color="auto" w:fill="FFFFFF"/>
            <w:vAlign w:val="center"/>
          </w:tcPr>
          <w:p>
            <w:pPr>
              <w:jc w:val="center"/>
              <w:rPr>
                <w:rFonts w:ascii="Times New Roman" w:hAnsi="Times New Roman" w:cs="Times New Roman"/>
                <w:b/>
                <w:szCs w:val="21"/>
              </w:rPr>
            </w:pPr>
            <w:r>
              <w:rPr>
                <w:rFonts w:ascii="Times New Roman" w:hAnsi="Times New Roman" w:cs="Times New Roman"/>
                <w:b/>
                <w:szCs w:val="21"/>
              </w:rPr>
              <w:t>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灌溉面积（万亩）</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34.87</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34.87</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34.87</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34.87</w:t>
            </w:r>
          </w:p>
        </w:tc>
        <w:tc>
          <w:tcPr>
            <w:tcW w:w="1294" w:type="dxa"/>
            <w:shd w:val="clear" w:color="auto" w:fill="FFFFFF"/>
            <w:vAlign w:val="center"/>
          </w:tcPr>
          <w:p>
            <w:pPr>
              <w:jc w:val="center"/>
              <w:rPr>
                <w:rFonts w:ascii="Times New Roman" w:hAnsi="Times New Roman" w:cs="Times New Roman"/>
                <w:szCs w:val="21"/>
              </w:rPr>
            </w:pPr>
            <w:r>
              <w:rPr>
                <w:rFonts w:ascii="Times New Roman" w:hAnsi="Times New Roman" w:cs="Times New Roman"/>
                <w:szCs w:val="21"/>
              </w:rPr>
              <w:t>34.87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农业用水</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5218</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5388</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5600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5100</w:t>
            </w:r>
          </w:p>
        </w:tc>
        <w:tc>
          <w:tcPr>
            <w:tcW w:w="1294" w:type="dxa"/>
            <w:shd w:val="clear" w:color="auto" w:fill="FFFFFF"/>
            <w:vAlign w:val="center"/>
          </w:tcPr>
          <w:p>
            <w:pPr>
              <w:jc w:val="center"/>
              <w:rPr>
                <w:rFonts w:ascii="Times New Roman" w:hAnsi="Times New Roman" w:cs="Times New Roman"/>
                <w:szCs w:val="21"/>
              </w:rPr>
            </w:pPr>
            <w:r>
              <w:rPr>
                <w:rFonts w:ascii="Times New Roman" w:hAnsi="Times New Roman" w:cs="Times New Roman"/>
                <w:szCs w:val="21"/>
              </w:rPr>
              <w:t>5255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生态用水</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410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472</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350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300</w:t>
            </w:r>
          </w:p>
        </w:tc>
        <w:tc>
          <w:tcPr>
            <w:tcW w:w="1294" w:type="dxa"/>
            <w:shd w:val="clear" w:color="auto" w:fill="FFFFFF"/>
            <w:vAlign w:val="center"/>
          </w:tcPr>
          <w:p>
            <w:pPr>
              <w:jc w:val="center"/>
              <w:rPr>
                <w:rFonts w:ascii="Times New Roman" w:hAnsi="Times New Roman" w:cs="Times New Roman"/>
                <w:szCs w:val="21"/>
              </w:rPr>
            </w:pPr>
            <w:r>
              <w:rPr>
                <w:rFonts w:ascii="Times New Roman" w:hAnsi="Times New Roman" w:cs="Times New Roman"/>
                <w:szCs w:val="21"/>
              </w:rPr>
              <w:t>429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5628</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5860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5950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5400</w:t>
            </w:r>
          </w:p>
        </w:tc>
        <w:tc>
          <w:tcPr>
            <w:tcW w:w="1294" w:type="dxa"/>
            <w:shd w:val="clear" w:color="auto" w:fill="FFFFFF"/>
            <w:vAlign w:val="center"/>
          </w:tcPr>
          <w:p>
            <w:pPr>
              <w:jc w:val="center"/>
              <w:rPr>
                <w:rFonts w:ascii="Times New Roman" w:hAnsi="Times New Roman" w:cs="Times New Roman"/>
                <w:szCs w:val="21"/>
              </w:rPr>
            </w:pPr>
            <w:r>
              <w:rPr>
                <w:rFonts w:ascii="Times New Roman" w:hAnsi="Times New Roman" w:cs="Times New Roman"/>
                <w:szCs w:val="21"/>
              </w:rPr>
              <w:t>5684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指标水量</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4725</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5060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5100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5100</w:t>
            </w:r>
          </w:p>
        </w:tc>
        <w:tc>
          <w:tcPr>
            <w:tcW w:w="1294" w:type="dxa"/>
            <w:shd w:val="clear" w:color="auto" w:fill="FFFFFF"/>
            <w:vAlign w:val="center"/>
          </w:tcPr>
          <w:p>
            <w:pPr>
              <w:jc w:val="center"/>
              <w:rPr>
                <w:rFonts w:ascii="Times New Roman" w:hAnsi="Times New Roman" w:cs="Times New Roman"/>
                <w:szCs w:val="21"/>
              </w:rPr>
            </w:pPr>
            <w:r>
              <w:rPr>
                <w:rFonts w:ascii="Times New Roman" w:hAnsi="Times New Roman" w:cs="Times New Roman"/>
                <w:szCs w:val="21"/>
              </w:rPr>
              <w:t>5100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余亏水量</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-903</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-800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-750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-300</w:t>
            </w:r>
          </w:p>
        </w:tc>
        <w:tc>
          <w:tcPr>
            <w:tcW w:w="1294" w:type="dxa"/>
            <w:shd w:val="clear" w:color="auto" w:fill="FFFFFF"/>
            <w:vAlign w:val="center"/>
          </w:tcPr>
          <w:p>
            <w:pPr>
              <w:jc w:val="center"/>
              <w:rPr>
                <w:rFonts w:ascii="Times New Roman" w:hAnsi="Times New Roman" w:cs="Times New Roman"/>
                <w:szCs w:val="21"/>
              </w:rPr>
            </w:pPr>
            <w:r>
              <w:rPr>
                <w:rFonts w:ascii="Times New Roman" w:hAnsi="Times New Roman" w:cs="Times New Roman"/>
                <w:szCs w:val="21"/>
              </w:rPr>
              <w:t>-155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年份</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2018</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2019</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2020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b/>
                <w:szCs w:val="21"/>
              </w:rPr>
            </w:pPr>
            <w:r>
              <w:rPr>
                <w:rFonts w:ascii="Times New Roman" w:hAnsi="Times New Roman" w:cs="Times New Roman"/>
                <w:b/>
                <w:szCs w:val="21"/>
              </w:rPr>
              <w:t>2021</w:t>
            </w:r>
          </w:p>
        </w:tc>
        <w:tc>
          <w:tcPr>
            <w:tcW w:w="1294" w:type="dxa"/>
            <w:shd w:val="clear" w:color="auto" w:fill="FFFFFF"/>
            <w:vAlign w:val="center"/>
          </w:tcPr>
          <w:p>
            <w:pPr>
              <w:jc w:val="center"/>
              <w:rPr>
                <w:rFonts w:ascii="Times New Roman" w:hAnsi="Times New Roman" w:cs="Times New Roman"/>
                <w:b/>
                <w:szCs w:val="21"/>
              </w:rPr>
            </w:pPr>
            <w:r>
              <w:rPr>
                <w:rFonts w:ascii="Times New Roman" w:hAnsi="Times New Roman" w:cs="Times New Roman"/>
                <w:b/>
                <w:szCs w:val="21"/>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灌溉面积（万亩）</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32.05</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32.05</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32.50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36.87</w:t>
            </w:r>
          </w:p>
        </w:tc>
        <w:tc>
          <w:tcPr>
            <w:tcW w:w="1294" w:type="dxa"/>
            <w:shd w:val="clear" w:color="auto" w:fill="FFFFFF"/>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农业用水</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hint="eastAsia" w:ascii="Times New Roman" w:hAnsi="Times New Roman" w:cs="Times New Roman"/>
                <w:szCs w:val="21"/>
              </w:rPr>
              <w:t>5312</w:t>
            </w:r>
          </w:p>
        </w:tc>
        <w:tc>
          <w:tcPr>
            <w:tcW w:w="1294" w:type="dxa"/>
            <w:shd w:val="clear" w:color="auto" w:fill="FFFFFF"/>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生态用水</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hint="eastAsia" w:ascii="Times New Roman" w:hAnsi="Times New Roman" w:cs="Times New Roman"/>
                <w:szCs w:val="21"/>
              </w:rPr>
              <w:t>500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hint="eastAsia" w:ascii="Times New Roman" w:hAnsi="Times New Roman" w:cs="Times New Roman"/>
                <w:szCs w:val="21"/>
              </w:rPr>
              <w:t>500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hint="eastAsia" w:ascii="Times New Roman" w:hAnsi="Times New Roman" w:cs="Times New Roman"/>
                <w:szCs w:val="21"/>
              </w:rPr>
              <w:t>500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hint="eastAsia" w:ascii="Times New Roman" w:hAnsi="Times New Roman" w:cs="Times New Roman"/>
                <w:szCs w:val="21"/>
              </w:rPr>
              <w:t>500</w:t>
            </w:r>
          </w:p>
        </w:tc>
        <w:tc>
          <w:tcPr>
            <w:tcW w:w="1294" w:type="dxa"/>
            <w:shd w:val="clear" w:color="auto" w:fill="FFFFFF"/>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294" w:type="dxa"/>
            <w:shd w:val="clear" w:color="auto" w:fill="FFFFFF"/>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指标水量</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5100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5100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5100</w:t>
            </w: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hint="eastAsia" w:ascii="Times New Roman" w:hAnsi="Times New Roman" w:cs="Times New Roman"/>
                <w:szCs w:val="21"/>
              </w:rPr>
              <w:t>5100</w:t>
            </w:r>
          </w:p>
        </w:tc>
        <w:tc>
          <w:tcPr>
            <w:tcW w:w="1294" w:type="dxa"/>
            <w:shd w:val="clear" w:color="auto" w:fill="FFFFFF"/>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1903"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r>
              <w:rPr>
                <w:rFonts w:ascii="Times New Roman" w:hAnsi="Times New Roman" w:cs="Times New Roman"/>
                <w:szCs w:val="21"/>
              </w:rPr>
              <w:t>余亏水量</w:t>
            </w:r>
          </w:p>
        </w:tc>
        <w:tc>
          <w:tcPr>
            <w:tcW w:w="1077"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450" w:type="dxa"/>
            <w:shd w:val="clear" w:color="auto" w:fill="FFFFFF"/>
            <w:tcMar>
              <w:top w:w="0" w:type="dxa"/>
              <w:left w:w="105" w:type="dxa"/>
              <w:bottom w:w="0" w:type="dxa"/>
              <w:right w:w="105" w:type="dxa"/>
            </w:tcMar>
            <w:vAlign w:val="center"/>
          </w:tcPr>
          <w:p>
            <w:pPr>
              <w:jc w:val="center"/>
              <w:rPr>
                <w:rFonts w:ascii="Times New Roman" w:hAnsi="Times New Roman" w:cs="Times New Roman"/>
                <w:szCs w:val="21"/>
              </w:rPr>
            </w:pPr>
          </w:p>
        </w:tc>
        <w:tc>
          <w:tcPr>
            <w:tcW w:w="1294" w:type="dxa"/>
            <w:shd w:val="clear" w:color="auto" w:fill="FFFFFF"/>
            <w:vAlign w:val="center"/>
          </w:tcPr>
          <w:p>
            <w:pPr>
              <w:jc w:val="center"/>
              <w:rPr>
                <w:rFonts w:ascii="Times New Roman" w:hAnsi="Times New Roman" w:cs="Times New Roman"/>
                <w:szCs w:val="21"/>
              </w:rPr>
            </w:pPr>
          </w:p>
        </w:tc>
      </w:tr>
    </w:tbl>
    <w:p>
      <w:pPr>
        <w:adjustRightInd w:val="0"/>
        <w:snapToGrid w:val="0"/>
        <w:spacing w:line="360" w:lineRule="auto"/>
        <w:ind w:firstLine="560" w:firstLineChars="200"/>
        <w:rPr>
          <w:rFonts w:ascii="仿宋_GB2312" w:hAnsi="黑体" w:eastAsia="仿宋_GB2312"/>
          <w:sz w:val="28"/>
          <w:szCs w:val="28"/>
        </w:r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⑵降水和蒸发</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盐池地处黄土丘陵区，降水较少，多年平均降雨量 285 mm，降水的年季变化很大，年内分配不均，其中 7～9 月降水量占全年降水量的70％左右。最大年降水量 586.8mm，最小 145.3mm。</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⑶地表水</w:t>
      </w:r>
    </w:p>
    <w:p>
      <w:pPr>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eastAsia="仿宋_GB2312"/>
          <w:sz w:val="28"/>
          <w:szCs w:val="28"/>
        </w:rPr>
        <w:t>流域内降水较少，天然径流量也较小，盐池县多年平均地表水资源总量为 0.269 亿 m</w:t>
      </w:r>
      <w:r>
        <w:rPr>
          <w:rFonts w:hint="eastAsia" w:ascii="仿宋_GB2312" w:eastAsia="仿宋_GB2312"/>
          <w:sz w:val="28"/>
          <w:szCs w:val="28"/>
          <w:vertAlign w:val="superscript"/>
        </w:rPr>
        <w:t>3</w:t>
      </w:r>
      <w:r>
        <w:rPr>
          <w:rFonts w:hint="eastAsia" w:ascii="仿宋_GB2312" w:eastAsia="仿宋_GB2312"/>
          <w:sz w:val="28"/>
          <w:szCs w:val="28"/>
        </w:rPr>
        <w:t>，径流深 4.1mm，年径流系数 0.02。地表水资源量少，年内、年际变化大，地区分布不均，水质差，矿化度高，开发利用难度大。经调查统计多年地表水可利用总量为 200 万 m</w:t>
      </w:r>
      <w:r>
        <w:rPr>
          <w:rFonts w:hint="eastAsia" w:ascii="仿宋_GB2312" w:eastAsia="仿宋_GB2312"/>
          <w:sz w:val="28"/>
          <w:szCs w:val="28"/>
          <w:vertAlign w:val="superscript"/>
        </w:rPr>
        <w:t>3</w:t>
      </w:r>
      <w:r>
        <w:rPr>
          <w:rFonts w:hint="eastAsia" w:ascii="仿宋_GB2312" w:eastAsia="仿宋_GB2312"/>
          <w:sz w:val="28"/>
          <w:szCs w:val="28"/>
        </w:rPr>
        <w:t>，主要为塘坝水，用于农业灌溉（</w:t>
      </w:r>
      <w:r>
        <w:rPr>
          <w:rFonts w:hint="eastAsia" w:ascii="仿宋_GB2312" w:hAnsi="微软雅黑" w:eastAsia="仿宋_GB2312" w:cs="宋体"/>
          <w:kern w:val="0"/>
          <w:sz w:val="28"/>
          <w:szCs w:val="28"/>
        </w:rPr>
        <w:t>见表3-2</w:t>
      </w:r>
      <w:r>
        <w:rPr>
          <w:rFonts w:hint="eastAsia" w:ascii="仿宋_GB2312" w:eastAsia="仿宋_GB2312"/>
          <w:sz w:val="28"/>
          <w:szCs w:val="28"/>
        </w:rPr>
        <w:t>）</w:t>
      </w:r>
      <w:r>
        <w:rPr>
          <w:rFonts w:hint="eastAsia" w:ascii="仿宋_GB2312" w:hAnsi="微软雅黑" w:eastAsia="仿宋_GB2312" w:cs="宋体"/>
          <w:kern w:val="0"/>
          <w:sz w:val="28"/>
          <w:szCs w:val="28"/>
        </w:rPr>
        <w:t>。</w:t>
      </w:r>
    </w:p>
    <w:p>
      <w:pPr>
        <w:adjustRightInd w:val="0"/>
        <w:snapToGrid w:val="0"/>
        <w:spacing w:line="360" w:lineRule="auto"/>
        <w:ind w:firstLine="560" w:firstLineChars="200"/>
        <w:rPr>
          <w:rFonts w:ascii="仿宋_GB2312" w:eastAsia="仿宋_GB2312"/>
          <w:sz w:val="28"/>
          <w:szCs w:val="28"/>
        </w:rPr>
        <w:sectPr>
          <w:pgSz w:w="11906" w:h="16838"/>
          <w:pgMar w:top="1701" w:right="1701" w:bottom="1701" w:left="1701" w:header="851" w:footer="992" w:gutter="0"/>
          <w:cols w:space="425" w:num="1"/>
          <w:docGrid w:type="lines" w:linePitch="312" w:charSpace="0"/>
        </w:sectPr>
      </w:pPr>
    </w:p>
    <w:p>
      <w:pPr>
        <w:widowControl/>
        <w:shd w:val="clear" w:color="auto" w:fill="FFFFFF"/>
        <w:spacing w:line="600" w:lineRule="atLeast"/>
        <w:jc w:val="center"/>
        <w:rPr>
          <w:rFonts w:ascii="仿宋_GB2312" w:hAnsi="微软雅黑" w:eastAsia="仿宋_GB2312" w:cs="宋体"/>
          <w:kern w:val="0"/>
          <w:sz w:val="28"/>
          <w:szCs w:val="28"/>
        </w:rPr>
      </w:pPr>
      <w:r>
        <w:rPr>
          <w:rFonts w:hint="eastAsia" w:ascii="仿宋_GB2312" w:hAnsi="微软雅黑" w:eastAsia="仿宋_GB2312" w:cs="宋体"/>
          <w:bCs/>
          <w:kern w:val="0"/>
          <w:sz w:val="28"/>
          <w:szCs w:val="28"/>
        </w:rPr>
        <w:t>表3-2    盐池县分区地表水资源量统计结果</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15" w:type="dxa"/>
          <w:left w:w="15" w:type="dxa"/>
          <w:bottom w:w="15" w:type="dxa"/>
          <w:right w:w="15" w:type="dxa"/>
        </w:tblCellMar>
      </w:tblPr>
      <w:tblGrid>
        <w:gridCol w:w="944"/>
        <w:gridCol w:w="1301"/>
        <w:gridCol w:w="1412"/>
        <w:gridCol w:w="1215"/>
        <w:gridCol w:w="1244"/>
        <w:gridCol w:w="1200"/>
        <w:gridCol w:w="13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600" w:hRule="atLeast"/>
        </w:trPr>
        <w:tc>
          <w:tcPr>
            <w:tcW w:w="103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县名</w:t>
            </w:r>
          </w:p>
        </w:tc>
        <w:tc>
          <w:tcPr>
            <w:tcW w:w="145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流域分区</w:t>
            </w:r>
          </w:p>
        </w:tc>
        <w:tc>
          <w:tcPr>
            <w:tcW w:w="148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计算面积（km</w:t>
            </w:r>
            <w:r>
              <w:rPr>
                <w:rFonts w:ascii="Times New Roman" w:hAnsi="Times New Roman" w:cs="Times New Roman" w:eastAsiaTheme="majorEastAsia"/>
                <w:b/>
                <w:kern w:val="0"/>
                <w:szCs w:val="21"/>
                <w:vertAlign w:val="superscript"/>
              </w:rPr>
              <w:t>2</w:t>
            </w:r>
            <w:r>
              <w:rPr>
                <w:rFonts w:ascii="Times New Roman" w:hAnsi="Times New Roman" w:cs="Times New Roman" w:eastAsiaTheme="majorEastAsia"/>
                <w:b/>
                <w:kern w:val="0"/>
                <w:szCs w:val="21"/>
              </w:rPr>
              <w:t>）</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降水量</w:t>
            </w:r>
          </w:p>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（亿m</w:t>
            </w:r>
            <w:r>
              <w:rPr>
                <w:rFonts w:ascii="Times New Roman" w:hAnsi="Times New Roman" w:cs="Times New Roman" w:eastAsiaTheme="majorEastAsia"/>
                <w:b/>
                <w:kern w:val="0"/>
                <w:szCs w:val="21"/>
                <w:vertAlign w:val="superscript"/>
              </w:rPr>
              <w:t>3</w:t>
            </w:r>
            <w:r>
              <w:rPr>
                <w:rFonts w:ascii="Times New Roman" w:hAnsi="Times New Roman" w:cs="Times New Roman" w:eastAsiaTheme="majorEastAsia"/>
                <w:b/>
                <w:kern w:val="0"/>
                <w:szCs w:val="21"/>
              </w:rPr>
              <w:t>）</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降水深</w:t>
            </w:r>
            <w:r>
              <w:rPr>
                <w:rFonts w:hint="eastAsia" w:ascii="Times New Roman" w:hAnsi="Times New Roman" w:cs="Times New Roman" w:eastAsiaTheme="majorEastAsia"/>
                <w:b/>
                <w:kern w:val="0"/>
                <w:szCs w:val="21"/>
                <w:lang w:val="en-US" w:eastAsia="zh-CN"/>
              </w:rPr>
              <w:t>度</w:t>
            </w:r>
            <w:r>
              <w:rPr>
                <w:rFonts w:ascii="Times New Roman" w:hAnsi="Times New Roman" w:cs="Times New Roman" w:eastAsiaTheme="majorEastAsia"/>
                <w:b/>
                <w:kern w:val="0"/>
                <w:szCs w:val="21"/>
              </w:rPr>
              <w:t>（mm）</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径流量</w:t>
            </w:r>
          </w:p>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（亿m</w:t>
            </w:r>
            <w:r>
              <w:rPr>
                <w:rFonts w:ascii="Times New Roman" w:hAnsi="Times New Roman" w:cs="Times New Roman" w:eastAsiaTheme="majorEastAsia"/>
                <w:b/>
                <w:kern w:val="0"/>
                <w:szCs w:val="21"/>
                <w:vertAlign w:val="superscript"/>
              </w:rPr>
              <w:t>3</w:t>
            </w:r>
            <w:r>
              <w:rPr>
                <w:rFonts w:ascii="Times New Roman" w:hAnsi="Times New Roman" w:cs="Times New Roman" w:eastAsiaTheme="majorEastAsia"/>
                <w:b/>
                <w:kern w:val="0"/>
                <w:szCs w:val="21"/>
              </w:rPr>
              <w:t>）</w:t>
            </w:r>
          </w:p>
        </w:tc>
        <w:tc>
          <w:tcPr>
            <w:tcW w:w="147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b/>
                <w:kern w:val="0"/>
                <w:szCs w:val="21"/>
              </w:rPr>
            </w:pPr>
            <w:r>
              <w:rPr>
                <w:rFonts w:ascii="Times New Roman" w:hAnsi="Times New Roman" w:cs="Times New Roman" w:eastAsiaTheme="majorEastAsia"/>
                <w:b/>
                <w:kern w:val="0"/>
                <w:szCs w:val="21"/>
              </w:rPr>
              <w:t>径流深（mm）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5" w:hRule="atLeast"/>
        </w:trPr>
        <w:tc>
          <w:tcPr>
            <w:tcW w:w="1035" w:type="dxa"/>
            <w:vMerge w:val="restart"/>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盐池县</w:t>
            </w:r>
          </w:p>
        </w:tc>
        <w:tc>
          <w:tcPr>
            <w:tcW w:w="145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苦水河</w:t>
            </w:r>
          </w:p>
        </w:tc>
        <w:tc>
          <w:tcPr>
            <w:tcW w:w="148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1167</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3.473</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298</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0.032</w:t>
            </w:r>
          </w:p>
        </w:tc>
        <w:tc>
          <w:tcPr>
            <w:tcW w:w="147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5" w:hRule="atLeast"/>
        </w:trPr>
        <w:tc>
          <w:tcPr>
            <w:tcW w:w="0" w:type="auto"/>
            <w:vMerge w:val="continue"/>
            <w:vAlign w:val="center"/>
          </w:tcPr>
          <w:p>
            <w:pPr>
              <w:widowControl/>
              <w:adjustRightInd w:val="0"/>
              <w:snapToGrid w:val="0"/>
              <w:jc w:val="center"/>
              <w:rPr>
                <w:rFonts w:ascii="Times New Roman" w:hAnsi="Times New Roman" w:cs="Times New Roman" w:eastAsiaTheme="majorEastAsia"/>
                <w:kern w:val="0"/>
                <w:szCs w:val="21"/>
              </w:rPr>
            </w:pPr>
          </w:p>
        </w:tc>
        <w:tc>
          <w:tcPr>
            <w:tcW w:w="145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黄右诸沟</w:t>
            </w:r>
          </w:p>
        </w:tc>
        <w:tc>
          <w:tcPr>
            <w:tcW w:w="148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70</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0.158</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225</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0.002</w:t>
            </w:r>
          </w:p>
        </w:tc>
        <w:tc>
          <w:tcPr>
            <w:tcW w:w="147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5" w:hRule="atLeast"/>
        </w:trPr>
        <w:tc>
          <w:tcPr>
            <w:tcW w:w="0" w:type="auto"/>
            <w:vMerge w:val="continue"/>
            <w:vAlign w:val="center"/>
          </w:tcPr>
          <w:p>
            <w:pPr>
              <w:widowControl/>
              <w:adjustRightInd w:val="0"/>
              <w:snapToGrid w:val="0"/>
              <w:jc w:val="center"/>
              <w:rPr>
                <w:rFonts w:ascii="Times New Roman" w:hAnsi="Times New Roman" w:cs="Times New Roman" w:eastAsiaTheme="majorEastAsia"/>
                <w:kern w:val="0"/>
                <w:szCs w:val="21"/>
              </w:rPr>
            </w:pPr>
          </w:p>
        </w:tc>
        <w:tc>
          <w:tcPr>
            <w:tcW w:w="145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盐池内流区</w:t>
            </w:r>
          </w:p>
        </w:tc>
        <w:tc>
          <w:tcPr>
            <w:tcW w:w="148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4608</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11.694</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254</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0.152</w:t>
            </w:r>
          </w:p>
        </w:tc>
        <w:tc>
          <w:tcPr>
            <w:tcW w:w="147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5" w:hRule="atLeast"/>
        </w:trPr>
        <w:tc>
          <w:tcPr>
            <w:tcW w:w="0" w:type="auto"/>
            <w:vMerge w:val="continue"/>
            <w:vAlign w:val="center"/>
          </w:tcPr>
          <w:p>
            <w:pPr>
              <w:widowControl/>
              <w:adjustRightInd w:val="0"/>
              <w:snapToGrid w:val="0"/>
              <w:jc w:val="center"/>
              <w:rPr>
                <w:rFonts w:ascii="Times New Roman" w:hAnsi="Times New Roman" w:cs="Times New Roman" w:eastAsiaTheme="majorEastAsia"/>
                <w:kern w:val="0"/>
                <w:szCs w:val="21"/>
              </w:rPr>
            </w:pPr>
          </w:p>
        </w:tc>
        <w:tc>
          <w:tcPr>
            <w:tcW w:w="145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泾河流域</w:t>
            </w:r>
          </w:p>
        </w:tc>
        <w:tc>
          <w:tcPr>
            <w:tcW w:w="148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775</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2.514</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324</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0.083</w:t>
            </w:r>
          </w:p>
        </w:tc>
        <w:tc>
          <w:tcPr>
            <w:tcW w:w="147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10.7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5" w:hRule="atLeast"/>
        </w:trPr>
        <w:tc>
          <w:tcPr>
            <w:tcW w:w="0" w:type="auto"/>
            <w:vMerge w:val="continue"/>
            <w:vAlign w:val="center"/>
          </w:tcPr>
          <w:p>
            <w:pPr>
              <w:widowControl/>
              <w:adjustRightInd w:val="0"/>
              <w:snapToGrid w:val="0"/>
              <w:jc w:val="center"/>
              <w:rPr>
                <w:rFonts w:ascii="Times New Roman" w:hAnsi="Times New Roman" w:cs="Times New Roman" w:eastAsiaTheme="majorEastAsia"/>
                <w:kern w:val="0"/>
                <w:szCs w:val="21"/>
              </w:rPr>
            </w:pPr>
          </w:p>
        </w:tc>
        <w:tc>
          <w:tcPr>
            <w:tcW w:w="145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小计</w:t>
            </w:r>
          </w:p>
        </w:tc>
        <w:tc>
          <w:tcPr>
            <w:tcW w:w="1485"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6620</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17.838</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269</w:t>
            </w:r>
          </w:p>
        </w:tc>
        <w:tc>
          <w:tcPr>
            <w:tcW w:w="129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0.269</w:t>
            </w:r>
          </w:p>
        </w:tc>
        <w:tc>
          <w:tcPr>
            <w:tcW w:w="1470" w:type="dxa"/>
            <w:tcMar>
              <w:top w:w="0" w:type="dxa"/>
              <w:left w:w="105" w:type="dxa"/>
              <w:bottom w:w="0" w:type="dxa"/>
              <w:right w:w="105" w:type="dxa"/>
            </w:tcMar>
            <w:vAlign w:val="center"/>
          </w:tcPr>
          <w:p>
            <w:pPr>
              <w:widowControl/>
              <w:adjustRightInd w:val="0"/>
              <w:snapToGrid w:val="0"/>
              <w:jc w:val="center"/>
              <w:rPr>
                <w:rFonts w:ascii="Times New Roman" w:hAnsi="Times New Roman" w:cs="Times New Roman" w:eastAsiaTheme="majorEastAsia"/>
                <w:kern w:val="0"/>
                <w:szCs w:val="21"/>
              </w:rPr>
            </w:pPr>
            <w:r>
              <w:rPr>
                <w:rFonts w:ascii="Times New Roman" w:hAnsi="Times New Roman" w:cs="Times New Roman" w:eastAsiaTheme="majorEastAsia"/>
                <w:kern w:val="0"/>
                <w:szCs w:val="21"/>
              </w:rPr>
              <w:t>4.1</w:t>
            </w:r>
          </w:p>
        </w:tc>
      </w:tr>
    </w:tbl>
    <w:p>
      <w:pPr>
        <w:adjustRightInd w:val="0"/>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由表可知，盐池县由于地表水资源量少、水质差，年内分配极不均匀，多以汛期洪水形式出现，所以开发利用难度很大，可利用水量极少。</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⑷地下水</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地下水主要有毛乌素沙地第四系地下水、毛乌素沙地基岩地下水以及承压自流水和南部山区地下水，水源补给主要是降雨。补给来源包括降水入渗补给以及井灌回归补给；排泄途径主要为潜水蒸发以及地下水实际开采量。盐池县多年平均地下水资源量为0.29亿立方米，可开采量0.21亿立方米，目前已开采0.2亿立方米，主要用于发展农业节水灌溉。</w:t>
      </w:r>
    </w:p>
    <w:p>
      <w:pPr>
        <w:adjustRightInd w:val="0"/>
        <w:snapToGrid w:val="0"/>
        <w:spacing w:line="360" w:lineRule="auto"/>
        <w:jc w:val="center"/>
        <w:rPr>
          <w:rFonts w:ascii="Times New Roman" w:hAnsi="Times New Roman" w:eastAsiaTheme="majorEastAsia"/>
          <w:b/>
          <w:sz w:val="24"/>
          <w:szCs w:val="24"/>
        </w:rPr>
      </w:pPr>
      <w:r>
        <w:rPr>
          <w:rFonts w:ascii="Times New Roman" w:hAnsi="Times New Roman" w:eastAsiaTheme="majorEastAsia"/>
          <w:b/>
          <w:sz w:val="24"/>
          <w:szCs w:val="24"/>
        </w:rPr>
        <w:t>表</w:t>
      </w:r>
      <w:r>
        <w:rPr>
          <w:rFonts w:hint="eastAsia" w:ascii="Times New Roman" w:hAnsi="Times New Roman" w:eastAsiaTheme="majorEastAsia"/>
          <w:b/>
          <w:sz w:val="24"/>
          <w:szCs w:val="24"/>
        </w:rPr>
        <w:t>3</w:t>
      </w:r>
      <w:r>
        <w:rPr>
          <w:rFonts w:ascii="Times New Roman" w:hAnsi="Times New Roman" w:eastAsiaTheme="majorEastAsia"/>
          <w:b/>
          <w:sz w:val="24"/>
          <w:szCs w:val="24"/>
        </w:rPr>
        <w:t>-</w:t>
      </w:r>
      <w:r>
        <w:rPr>
          <w:rFonts w:hint="eastAsia" w:ascii="Times New Roman" w:hAnsi="Times New Roman" w:eastAsiaTheme="majorEastAsia"/>
          <w:b/>
          <w:sz w:val="24"/>
          <w:szCs w:val="24"/>
        </w:rPr>
        <w:t xml:space="preserve">3  </w:t>
      </w:r>
      <w:r>
        <w:rPr>
          <w:rFonts w:ascii="Times New Roman" w:hAnsi="Times New Roman" w:eastAsiaTheme="majorEastAsia"/>
          <w:b/>
          <w:sz w:val="24"/>
          <w:szCs w:val="24"/>
        </w:rPr>
        <w:t xml:space="preserve">  盐池县各分区地下水资源量统计</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15" w:type="dxa"/>
          <w:left w:w="15" w:type="dxa"/>
          <w:bottom w:w="15" w:type="dxa"/>
          <w:right w:w="15" w:type="dxa"/>
        </w:tblCellMar>
      </w:tblPr>
      <w:tblGrid>
        <w:gridCol w:w="1127"/>
        <w:gridCol w:w="1575"/>
        <w:gridCol w:w="1914"/>
        <w:gridCol w:w="2348"/>
        <w:gridCol w:w="17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90" w:hRule="atLeast"/>
        </w:trPr>
        <w:tc>
          <w:tcPr>
            <w:tcW w:w="120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县名</w:t>
            </w:r>
          </w:p>
        </w:tc>
        <w:tc>
          <w:tcPr>
            <w:tcW w:w="1695"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流域分区</w:t>
            </w:r>
          </w:p>
        </w:tc>
        <w:tc>
          <w:tcPr>
            <w:tcW w:w="201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计算面积（km</w:t>
            </w:r>
            <w:r>
              <w:rPr>
                <w:rFonts w:ascii="Times New Roman" w:hAnsi="Times New Roman" w:cs="Times New Roman"/>
                <w:b/>
                <w:kern w:val="0"/>
                <w:szCs w:val="21"/>
                <w:vertAlign w:val="superscript"/>
              </w:rPr>
              <w:t>2</w:t>
            </w:r>
            <w:r>
              <w:rPr>
                <w:rFonts w:ascii="Times New Roman" w:hAnsi="Times New Roman" w:cs="Times New Roman"/>
                <w:b/>
                <w:kern w:val="0"/>
                <w:szCs w:val="21"/>
              </w:rPr>
              <w:t>）</w:t>
            </w:r>
          </w:p>
        </w:tc>
        <w:tc>
          <w:tcPr>
            <w:tcW w:w="252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地下水资源量</w:t>
            </w:r>
          </w:p>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（亿m</w:t>
            </w:r>
            <w:r>
              <w:rPr>
                <w:rFonts w:ascii="Times New Roman" w:hAnsi="Times New Roman" w:cs="Times New Roman"/>
                <w:b/>
                <w:kern w:val="0"/>
                <w:szCs w:val="21"/>
                <w:vertAlign w:val="superscript"/>
              </w:rPr>
              <w:t>3</w:t>
            </w:r>
            <w:r>
              <w:rPr>
                <w:rFonts w:ascii="Times New Roman" w:hAnsi="Times New Roman" w:cs="Times New Roman"/>
                <w:b/>
                <w:kern w:val="0"/>
                <w:szCs w:val="21"/>
              </w:rPr>
              <w:t>）</w:t>
            </w:r>
          </w:p>
        </w:tc>
        <w:tc>
          <w:tcPr>
            <w:tcW w:w="186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重复量</w:t>
            </w:r>
          </w:p>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（亿m</w:t>
            </w:r>
            <w:r>
              <w:rPr>
                <w:rFonts w:ascii="Times New Roman" w:hAnsi="Times New Roman" w:cs="Times New Roman"/>
                <w:b/>
                <w:kern w:val="0"/>
                <w:szCs w:val="21"/>
                <w:vertAlign w:val="superscript"/>
              </w:rPr>
              <w:t>3</w:t>
            </w:r>
            <w:r>
              <w:rPr>
                <w:rFonts w:ascii="Times New Roman" w:hAnsi="Times New Roman" w:cs="Times New Roman"/>
                <w:b/>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90" w:hRule="atLeast"/>
        </w:trPr>
        <w:tc>
          <w:tcPr>
            <w:tcW w:w="1200" w:type="dxa"/>
            <w:vMerge w:val="restart"/>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盐池县</w:t>
            </w:r>
          </w:p>
        </w:tc>
        <w:tc>
          <w:tcPr>
            <w:tcW w:w="1695"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苦水河</w:t>
            </w:r>
          </w:p>
        </w:tc>
        <w:tc>
          <w:tcPr>
            <w:tcW w:w="201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1167</w:t>
            </w:r>
          </w:p>
        </w:tc>
        <w:tc>
          <w:tcPr>
            <w:tcW w:w="252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0.027</w:t>
            </w:r>
          </w:p>
        </w:tc>
        <w:tc>
          <w:tcPr>
            <w:tcW w:w="186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90" w:hRule="atLeast"/>
        </w:trPr>
        <w:tc>
          <w:tcPr>
            <w:tcW w:w="0" w:type="auto"/>
            <w:vMerge w:val="continue"/>
            <w:shd w:val="clear" w:color="auto" w:fill="FFFFFF"/>
            <w:vAlign w:val="center"/>
          </w:tcPr>
          <w:p>
            <w:pPr>
              <w:widowControl/>
              <w:adjustRightInd w:val="0"/>
              <w:snapToGrid w:val="0"/>
              <w:jc w:val="center"/>
              <w:rPr>
                <w:rFonts w:ascii="Times New Roman" w:hAnsi="Times New Roman" w:cs="Times New Roman"/>
                <w:kern w:val="0"/>
                <w:szCs w:val="21"/>
              </w:rPr>
            </w:pPr>
          </w:p>
        </w:tc>
        <w:tc>
          <w:tcPr>
            <w:tcW w:w="1695"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黄右诸沟</w:t>
            </w:r>
          </w:p>
        </w:tc>
        <w:tc>
          <w:tcPr>
            <w:tcW w:w="201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70</w:t>
            </w:r>
          </w:p>
        </w:tc>
        <w:tc>
          <w:tcPr>
            <w:tcW w:w="252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0.002</w:t>
            </w:r>
          </w:p>
        </w:tc>
        <w:tc>
          <w:tcPr>
            <w:tcW w:w="186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90" w:hRule="atLeast"/>
        </w:trPr>
        <w:tc>
          <w:tcPr>
            <w:tcW w:w="0" w:type="auto"/>
            <w:vMerge w:val="continue"/>
            <w:shd w:val="clear" w:color="auto" w:fill="FFFFFF"/>
            <w:vAlign w:val="center"/>
          </w:tcPr>
          <w:p>
            <w:pPr>
              <w:widowControl/>
              <w:adjustRightInd w:val="0"/>
              <w:snapToGrid w:val="0"/>
              <w:jc w:val="center"/>
              <w:rPr>
                <w:rFonts w:ascii="Times New Roman" w:hAnsi="Times New Roman" w:cs="Times New Roman"/>
                <w:kern w:val="0"/>
                <w:szCs w:val="21"/>
              </w:rPr>
            </w:pPr>
          </w:p>
        </w:tc>
        <w:tc>
          <w:tcPr>
            <w:tcW w:w="1695"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盐池内流区</w:t>
            </w:r>
          </w:p>
        </w:tc>
        <w:tc>
          <w:tcPr>
            <w:tcW w:w="201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4608</w:t>
            </w:r>
          </w:p>
        </w:tc>
        <w:tc>
          <w:tcPr>
            <w:tcW w:w="252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0.249</w:t>
            </w:r>
          </w:p>
        </w:tc>
        <w:tc>
          <w:tcPr>
            <w:tcW w:w="186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90" w:hRule="atLeast"/>
        </w:trPr>
        <w:tc>
          <w:tcPr>
            <w:tcW w:w="0" w:type="auto"/>
            <w:vMerge w:val="continue"/>
            <w:shd w:val="clear" w:color="auto" w:fill="FFFFFF"/>
            <w:vAlign w:val="center"/>
          </w:tcPr>
          <w:p>
            <w:pPr>
              <w:widowControl/>
              <w:adjustRightInd w:val="0"/>
              <w:snapToGrid w:val="0"/>
              <w:jc w:val="center"/>
              <w:rPr>
                <w:rFonts w:ascii="Times New Roman" w:hAnsi="Times New Roman" w:cs="Times New Roman"/>
                <w:kern w:val="0"/>
                <w:szCs w:val="21"/>
              </w:rPr>
            </w:pPr>
          </w:p>
        </w:tc>
        <w:tc>
          <w:tcPr>
            <w:tcW w:w="1695"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泾河流域</w:t>
            </w:r>
          </w:p>
        </w:tc>
        <w:tc>
          <w:tcPr>
            <w:tcW w:w="201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775</w:t>
            </w:r>
          </w:p>
        </w:tc>
        <w:tc>
          <w:tcPr>
            <w:tcW w:w="252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0.012</w:t>
            </w:r>
          </w:p>
        </w:tc>
        <w:tc>
          <w:tcPr>
            <w:tcW w:w="186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90" w:hRule="atLeast"/>
        </w:trPr>
        <w:tc>
          <w:tcPr>
            <w:tcW w:w="0" w:type="auto"/>
            <w:vMerge w:val="continue"/>
            <w:shd w:val="clear" w:color="auto" w:fill="FFFFFF"/>
            <w:vAlign w:val="center"/>
          </w:tcPr>
          <w:p>
            <w:pPr>
              <w:widowControl/>
              <w:adjustRightInd w:val="0"/>
              <w:snapToGrid w:val="0"/>
              <w:jc w:val="center"/>
              <w:rPr>
                <w:rFonts w:ascii="Times New Roman" w:hAnsi="Times New Roman" w:cs="Times New Roman"/>
                <w:kern w:val="0"/>
                <w:szCs w:val="21"/>
              </w:rPr>
            </w:pPr>
          </w:p>
        </w:tc>
        <w:tc>
          <w:tcPr>
            <w:tcW w:w="1695"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小计</w:t>
            </w:r>
          </w:p>
        </w:tc>
        <w:tc>
          <w:tcPr>
            <w:tcW w:w="201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6620</w:t>
            </w:r>
          </w:p>
        </w:tc>
        <w:tc>
          <w:tcPr>
            <w:tcW w:w="252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0.29</w:t>
            </w:r>
          </w:p>
        </w:tc>
        <w:tc>
          <w:tcPr>
            <w:tcW w:w="1860" w:type="dxa"/>
            <w:shd w:val="clear" w:color="auto" w:fill="FFFFFF"/>
            <w:tcMar>
              <w:top w:w="0" w:type="dxa"/>
              <w:left w:w="105" w:type="dxa"/>
              <w:bottom w:w="0" w:type="dxa"/>
              <w:right w:w="105" w:type="dxa"/>
            </w:tcMar>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0.048</w:t>
            </w:r>
          </w:p>
        </w:tc>
      </w:tr>
    </w:tbl>
    <w:p>
      <w:pPr>
        <w:adjustRightInd w:val="0"/>
        <w:snapToGrid w:val="0"/>
        <w:spacing w:line="360" w:lineRule="auto"/>
        <w:ind w:firstLine="560" w:firstLineChars="200"/>
        <w:rPr>
          <w:rFonts w:ascii="仿宋_GB2312" w:eastAsia="仿宋_GB2312"/>
          <w:sz w:val="28"/>
          <w:szCs w:val="28"/>
        </w:rPr>
      </w:pPr>
    </w:p>
    <w:p>
      <w:pPr>
        <w:adjustRightInd w:val="0"/>
        <w:snapToGrid w:val="0"/>
        <w:spacing w:line="360" w:lineRule="auto"/>
        <w:ind w:firstLine="560" w:firstLineChars="200"/>
        <w:rPr>
          <w:rFonts w:ascii="仿宋_GB2312" w:eastAsia="仿宋_GB2312"/>
          <w:sz w:val="28"/>
          <w:szCs w:val="28"/>
        </w:rPr>
        <w:sectPr>
          <w:pgSz w:w="11906" w:h="16838"/>
          <w:pgMar w:top="1701" w:right="1701" w:bottom="1701" w:left="1701" w:header="851" w:footer="992" w:gutter="0"/>
          <w:cols w:space="425" w:num="1"/>
          <w:docGrid w:type="lines" w:linePitch="312" w:charSpace="0"/>
        </w:sect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⑸用水效率指标评价</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2021年盐池县人均取水量为587立方米，万元GDP取水量72.5立方米，农业亩均取水量165.194立方米，灌溉水有效利用系数0.669，位于自治区平均水平（见表3-4）。</w:t>
      </w: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 xml:space="preserve">3-4  </w:t>
      </w:r>
      <w:r>
        <w:rPr>
          <w:rFonts w:ascii="Times New Roman" w:hAnsi="Times New Roman"/>
          <w:b/>
          <w:sz w:val="24"/>
          <w:szCs w:val="24"/>
        </w:rPr>
        <w:t>用水效率情况统计表   单位：立方米</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15" w:type="dxa"/>
          <w:left w:w="15" w:type="dxa"/>
          <w:bottom w:w="15" w:type="dxa"/>
          <w:right w:w="15" w:type="dxa"/>
        </w:tblCellMar>
      </w:tblPr>
      <w:tblGrid>
        <w:gridCol w:w="814"/>
        <w:gridCol w:w="1701"/>
        <w:gridCol w:w="1985"/>
        <w:gridCol w:w="1983"/>
        <w:gridCol w:w="2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467" w:type="pct"/>
            <w:shd w:val="clear" w:color="auto" w:fill="FFFFFF"/>
            <w:tcMar>
              <w:top w:w="0" w:type="dxa"/>
              <w:left w:w="105" w:type="dxa"/>
              <w:bottom w:w="0" w:type="dxa"/>
              <w:right w:w="105" w:type="dxa"/>
            </w:tcMar>
            <w:vAlign w:val="center"/>
          </w:tcPr>
          <w:p>
            <w:pPr>
              <w:jc w:val="center"/>
              <w:rPr>
                <w:rFonts w:ascii="Times New Roman" w:hAnsi="Times New Roman" w:cs="Times New Roman"/>
                <w:b/>
              </w:rPr>
            </w:pPr>
            <w:r>
              <w:rPr>
                <w:rFonts w:ascii="Times New Roman" w:hAnsi="Times New Roman" w:cs="Times New Roman"/>
                <w:b/>
              </w:rPr>
              <w:t>年份</w:t>
            </w:r>
          </w:p>
        </w:tc>
        <w:tc>
          <w:tcPr>
            <w:tcW w:w="976" w:type="pct"/>
            <w:shd w:val="clear" w:color="auto" w:fill="FFFFFF"/>
            <w:tcMar>
              <w:top w:w="0" w:type="dxa"/>
              <w:left w:w="105" w:type="dxa"/>
              <w:bottom w:w="0" w:type="dxa"/>
              <w:right w:w="105" w:type="dxa"/>
            </w:tcMar>
            <w:vAlign w:val="center"/>
          </w:tcPr>
          <w:p>
            <w:pPr>
              <w:jc w:val="center"/>
              <w:rPr>
                <w:rFonts w:ascii="Times New Roman" w:hAnsi="Times New Roman" w:cs="Times New Roman"/>
                <w:b/>
              </w:rPr>
            </w:pPr>
            <w:r>
              <w:rPr>
                <w:rFonts w:ascii="Times New Roman" w:hAnsi="Times New Roman" w:cs="Times New Roman"/>
                <w:b/>
              </w:rPr>
              <w:t>人均用水量</w:t>
            </w:r>
          </w:p>
        </w:tc>
        <w:tc>
          <w:tcPr>
            <w:tcW w:w="1139" w:type="pct"/>
            <w:shd w:val="clear" w:color="auto" w:fill="FFFFFF"/>
            <w:tcMar>
              <w:top w:w="0" w:type="dxa"/>
              <w:left w:w="105" w:type="dxa"/>
              <w:bottom w:w="0" w:type="dxa"/>
              <w:right w:w="105" w:type="dxa"/>
            </w:tcMar>
            <w:vAlign w:val="center"/>
          </w:tcPr>
          <w:p>
            <w:pPr>
              <w:jc w:val="center"/>
              <w:rPr>
                <w:rFonts w:ascii="Times New Roman" w:hAnsi="Times New Roman" w:cs="Times New Roman"/>
                <w:b/>
              </w:rPr>
            </w:pPr>
            <w:r>
              <w:rPr>
                <w:rFonts w:ascii="Times New Roman" w:hAnsi="Times New Roman" w:cs="Times New Roman"/>
                <w:b/>
              </w:rPr>
              <w:t>万元GDP用水量</w:t>
            </w:r>
          </w:p>
        </w:tc>
        <w:tc>
          <w:tcPr>
            <w:tcW w:w="1138" w:type="pct"/>
            <w:shd w:val="clear" w:color="auto" w:fill="FFFFFF"/>
            <w:tcMar>
              <w:top w:w="0" w:type="dxa"/>
              <w:left w:w="105" w:type="dxa"/>
              <w:bottom w:w="0" w:type="dxa"/>
              <w:right w:w="105" w:type="dxa"/>
            </w:tcMar>
            <w:vAlign w:val="center"/>
          </w:tcPr>
          <w:p>
            <w:pPr>
              <w:jc w:val="center"/>
              <w:rPr>
                <w:rFonts w:ascii="Times New Roman" w:hAnsi="Times New Roman" w:cs="Times New Roman"/>
                <w:b/>
              </w:rPr>
            </w:pPr>
            <w:r>
              <w:rPr>
                <w:rFonts w:ascii="Times New Roman" w:hAnsi="Times New Roman" w:cs="Times New Roman"/>
                <w:b/>
              </w:rPr>
              <w:t>农业亩均用水量</w:t>
            </w:r>
          </w:p>
        </w:tc>
        <w:tc>
          <w:tcPr>
            <w:tcW w:w="1280" w:type="pct"/>
            <w:shd w:val="clear" w:color="auto" w:fill="FFFFFF"/>
            <w:tcMar>
              <w:top w:w="0" w:type="dxa"/>
              <w:left w:w="105" w:type="dxa"/>
              <w:bottom w:w="0" w:type="dxa"/>
              <w:right w:w="105" w:type="dxa"/>
            </w:tcMar>
            <w:vAlign w:val="center"/>
          </w:tcPr>
          <w:p>
            <w:pPr>
              <w:jc w:val="center"/>
              <w:rPr>
                <w:rFonts w:ascii="Times New Roman" w:hAnsi="Times New Roman" w:cs="Times New Roman"/>
                <w:b/>
              </w:rPr>
            </w:pPr>
            <w:r>
              <w:rPr>
                <w:rFonts w:ascii="Times New Roman" w:hAnsi="Times New Roman" w:cs="Times New Roman"/>
                <w:b/>
              </w:rPr>
              <w:t>灌溉水有效利用系数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467"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2016</w:t>
            </w:r>
          </w:p>
        </w:tc>
        <w:tc>
          <w:tcPr>
            <w:tcW w:w="976"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465.5</w:t>
            </w:r>
          </w:p>
        </w:tc>
        <w:tc>
          <w:tcPr>
            <w:tcW w:w="1139"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103</w:t>
            </w:r>
          </w:p>
        </w:tc>
        <w:tc>
          <w:tcPr>
            <w:tcW w:w="1138"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162.964</w:t>
            </w:r>
          </w:p>
        </w:tc>
        <w:tc>
          <w:tcPr>
            <w:tcW w:w="1280"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0.648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467"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2017</w:t>
            </w:r>
          </w:p>
        </w:tc>
        <w:tc>
          <w:tcPr>
            <w:tcW w:w="976"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429</w:t>
            </w:r>
          </w:p>
        </w:tc>
        <w:tc>
          <w:tcPr>
            <w:tcW w:w="1139"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92.7</w:t>
            </w:r>
          </w:p>
        </w:tc>
        <w:tc>
          <w:tcPr>
            <w:tcW w:w="1138"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167.832</w:t>
            </w:r>
          </w:p>
        </w:tc>
        <w:tc>
          <w:tcPr>
            <w:tcW w:w="1280"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0.649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467"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2018</w:t>
            </w:r>
          </w:p>
        </w:tc>
        <w:tc>
          <w:tcPr>
            <w:tcW w:w="976"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631</w:t>
            </w:r>
          </w:p>
        </w:tc>
        <w:tc>
          <w:tcPr>
            <w:tcW w:w="1139"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87.5</w:t>
            </w:r>
          </w:p>
        </w:tc>
        <w:tc>
          <w:tcPr>
            <w:tcW w:w="1138"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175.757</w:t>
            </w:r>
          </w:p>
        </w:tc>
        <w:tc>
          <w:tcPr>
            <w:tcW w:w="1280"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0.653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467"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2019</w:t>
            </w:r>
          </w:p>
        </w:tc>
        <w:tc>
          <w:tcPr>
            <w:tcW w:w="976"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437</w:t>
            </w:r>
          </w:p>
        </w:tc>
        <w:tc>
          <w:tcPr>
            <w:tcW w:w="1139"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81.0</w:t>
            </w:r>
          </w:p>
        </w:tc>
        <w:tc>
          <w:tcPr>
            <w:tcW w:w="1138"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173.167</w:t>
            </w:r>
          </w:p>
        </w:tc>
        <w:tc>
          <w:tcPr>
            <w:tcW w:w="1280"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0.657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467"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2020</w:t>
            </w:r>
          </w:p>
        </w:tc>
        <w:tc>
          <w:tcPr>
            <w:tcW w:w="976"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587</w:t>
            </w:r>
          </w:p>
        </w:tc>
        <w:tc>
          <w:tcPr>
            <w:tcW w:w="1139"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72.5</w:t>
            </w:r>
          </w:p>
        </w:tc>
        <w:tc>
          <w:tcPr>
            <w:tcW w:w="1138"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165.194</w:t>
            </w:r>
          </w:p>
        </w:tc>
        <w:tc>
          <w:tcPr>
            <w:tcW w:w="1280"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0.661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15" w:type="dxa"/>
            <w:left w:w="15" w:type="dxa"/>
            <w:bottom w:w="15" w:type="dxa"/>
            <w:right w:w="15" w:type="dxa"/>
          </w:tblCellMar>
        </w:tblPrEx>
        <w:trPr>
          <w:trHeight w:val="340" w:hRule="atLeast"/>
          <w:jc w:val="center"/>
        </w:trPr>
        <w:tc>
          <w:tcPr>
            <w:tcW w:w="467"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2021</w:t>
            </w:r>
          </w:p>
        </w:tc>
        <w:tc>
          <w:tcPr>
            <w:tcW w:w="976"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hint="eastAsia" w:ascii="Times New Roman" w:hAnsi="Times New Roman" w:cs="Times New Roman"/>
              </w:rPr>
              <w:t>549</w:t>
            </w:r>
          </w:p>
        </w:tc>
        <w:tc>
          <w:tcPr>
            <w:tcW w:w="1139"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hint="eastAsia" w:ascii="Times New Roman" w:hAnsi="Times New Roman" w:cs="Times New Roman"/>
              </w:rPr>
              <w:t>68.9</w:t>
            </w:r>
          </w:p>
        </w:tc>
        <w:tc>
          <w:tcPr>
            <w:tcW w:w="1138"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hint="eastAsia" w:ascii="Times New Roman" w:hAnsi="Times New Roman" w:cs="Times New Roman"/>
              </w:rPr>
              <w:t>161.21</w:t>
            </w:r>
          </w:p>
        </w:tc>
        <w:tc>
          <w:tcPr>
            <w:tcW w:w="1280" w:type="pct"/>
            <w:shd w:val="clear" w:color="auto" w:fill="FFFFFF"/>
            <w:tcMar>
              <w:top w:w="0" w:type="dxa"/>
              <w:left w:w="105" w:type="dxa"/>
              <w:bottom w:w="0" w:type="dxa"/>
              <w:right w:w="105" w:type="dxa"/>
            </w:tcMar>
            <w:vAlign w:val="center"/>
          </w:tcPr>
          <w:p>
            <w:pPr>
              <w:jc w:val="center"/>
              <w:rPr>
                <w:rFonts w:ascii="Times New Roman" w:hAnsi="Times New Roman" w:cs="Times New Roman"/>
              </w:rPr>
            </w:pPr>
            <w:r>
              <w:rPr>
                <w:rFonts w:ascii="Times New Roman" w:hAnsi="Times New Roman" w:cs="Times New Roman"/>
              </w:rPr>
              <w:t>0.669</w:t>
            </w:r>
          </w:p>
        </w:tc>
      </w:tr>
    </w:tbl>
    <w:p>
      <w:pPr>
        <w:pStyle w:val="4"/>
        <w:adjustRightInd w:val="0"/>
        <w:snapToGrid w:val="0"/>
        <w:spacing w:before="120" w:after="120" w:line="360" w:lineRule="auto"/>
        <w:rPr>
          <w:rFonts w:ascii="仿宋_GB2312" w:hAnsi="黑体" w:eastAsia="仿宋_GB2312"/>
          <w:sz w:val="28"/>
          <w:szCs w:val="28"/>
        </w:rPr>
      </w:pPr>
      <w:r>
        <w:rPr>
          <w:rFonts w:hint="eastAsia" w:ascii="黑体" w:hAnsi="黑体" w:eastAsia="黑体"/>
          <w:kern w:val="0"/>
          <w:sz w:val="28"/>
          <w:szCs w:val="28"/>
        </w:rPr>
        <w:t>3.3.2土地资源开发利用现状</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盐池是宁夏面积最大的县，土地资源丰富。根据统计数据，盐池县土地总面积</w:t>
      </w:r>
      <w:r>
        <w:rPr>
          <w:rFonts w:ascii="仿宋_GB2312" w:eastAsia="仿宋_GB2312"/>
          <w:sz w:val="28"/>
          <w:szCs w:val="28"/>
        </w:rPr>
        <w:t>8522.20</w:t>
      </w:r>
      <w:r>
        <w:rPr>
          <w:rFonts w:hint="eastAsia" w:ascii="仿宋_GB2312" w:eastAsia="仿宋_GB2312"/>
          <w:sz w:val="28"/>
          <w:szCs w:val="28"/>
        </w:rPr>
        <w:t>平方公里。其中，农用地105132.98公顷，占土地总面积的73.59%；建设用地面积19336.76公顷，占土地总面积的13.54%；其他土地面积18386.38公顷，占土地总面积的12.87%。</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⑴农用地</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农用地中，耕地、园地、林地和其他农用地面积分别为87732.69公顷、262.27公顷、3707.84公顷和13430.18公顷，分别占土地总面积的61.41%、0.18%、2.60%和9.40%。</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⑵建设用地</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建设用地中，城乡建设用地、交通水利及其他建设用地面积分别为15607.82公顷、3728.94公顷，分别占土地总面积的10.93%、2.61%。</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⑶其他土地</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eastAsia="仿宋_GB2312"/>
          <w:sz w:val="28"/>
          <w:szCs w:val="28"/>
        </w:rPr>
        <w:t>其他土地中，水域和自然保留地的面积分别为17556.68公顷和829.70公顷，分别占土地总面积的12.29%和0.58%。</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3.3.3特色资源现状</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是宁夏旱作节水农业和滩羊、甘草、小杂粮的主产区，天然草原面积占国土面积的50%以上。地下有石油、煤炭、天然气“三大资源”和白云岩、石灰石、石膏“三小资源”，地上有土地、光热、风能“三大资源”。初步探明煤炭储量82.5亿吨，石油储量2.5亿吨，天然气储量8000亿立方米；白云岩储量268.5亿立方米；石灰岩储量11亿吨；石膏储量16.5亿吨；风能资源总储量约为300万千瓦，年太阳总辐射在5740兆焦/平方米，发展新型工业前景广阔。</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“十三五”期间，自治区下达的能耗双控目标任务是：全社会能源消费增量为6.8万吨标准煤，单位GDP能耗累计下降3%。能源消费状况如下：</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⑴能源消费总量控制完成情况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能源消耗持续增加，2016-2021年盐池县能源消费总量分别为42.97、53.33、52.05、52.20、59.51、72.9万吨标准煤。</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2016年全县规模以上工业能耗38.67万吨标准煤，能耗同比增长5.8%。</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2017年全县规模以上工业能耗41.30万吨标准煤，能耗同比增长31.7%。</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2018年全县规模以上工业能耗37.50万吨标准煤，同比降低7.6%；单位工业增加值能耗同比下降11.9%，单位工业增加值能耗同比下降20%。</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2019年全县规模以上工业能耗40.10万吨标准煤，同比增长0.6%；单位工业增加值能耗同比下降11.9%。</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2020年全县规模以上工业能耗 46.6 万吨标准煤，同比增长17.5 %；单位工业增加值能耗同比下降3.9%。</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2021年，全县规模以上工业能耗72.9万吨标准煤，同比增长8.3%，增速较上年同期下降了9.2个百分点，规模以上工业能耗增量5.6万吨标准煤，能耗增量控制在6.8万吨标准煤目标以内，单位工业增加值能耗同比下降0.3%。</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⑵单位GDP能耗降低率完成情况</w:t>
      </w:r>
    </w:p>
    <w:p>
      <w:pPr>
        <w:adjustRightInd w:val="0"/>
        <w:snapToGrid w:val="0"/>
        <w:spacing w:line="360" w:lineRule="auto"/>
        <w:ind w:firstLine="640" w:firstLineChars="200"/>
        <w:rPr>
          <w:rFonts w:ascii="仿宋_GB2312" w:eastAsia="仿宋_GB2312"/>
          <w:sz w:val="28"/>
          <w:szCs w:val="28"/>
        </w:rPr>
      </w:pPr>
      <w:r>
        <w:rPr>
          <w:rFonts w:hint="eastAsia" w:ascii="仿宋_GB2312" w:eastAsia="仿宋_GB2312"/>
          <w:spacing w:val="20"/>
          <w:sz w:val="28"/>
          <w:szCs w:val="28"/>
        </w:rPr>
        <w:t>2016-2021年，盐池县单位GDP能耗分别为：0.6173、0.6395、0.5220、0.4941、0.5157、0.4473吨标准煤/万元，单位GDP能耗变化趋势见图3-7。</w:t>
      </w:r>
    </w:p>
    <w:p>
      <w:pPr>
        <w:adjustRightInd w:val="0"/>
        <w:snapToGrid w:val="0"/>
        <w:spacing w:line="360" w:lineRule="auto"/>
        <w:jc w:val="center"/>
        <w:rPr>
          <w:rFonts w:ascii="仿宋_GB2312" w:eastAsia="仿宋_GB2312"/>
          <w:sz w:val="28"/>
          <w:szCs w:val="28"/>
        </w:rPr>
      </w:pPr>
      <w:r>
        <w:drawing>
          <wp:inline distT="0" distB="0" distL="0" distR="0">
            <wp:extent cx="4857750" cy="3067050"/>
            <wp:effectExtent l="0" t="0" r="19050" b="1905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line="360" w:lineRule="auto"/>
        <w:jc w:val="center"/>
        <w:rPr>
          <w:rFonts w:ascii="仿宋_GB2312" w:hAnsi="Times New Roman" w:eastAsia="仿宋_GB2312"/>
          <w:b/>
          <w:sz w:val="28"/>
          <w:szCs w:val="28"/>
        </w:rPr>
      </w:pPr>
      <w:r>
        <w:rPr>
          <w:rFonts w:hint="eastAsia" w:ascii="仿宋_GB2312" w:hAnsi="Times New Roman" w:eastAsia="仿宋_GB2312"/>
          <w:sz w:val="28"/>
          <w:szCs w:val="28"/>
        </w:rPr>
        <w:t xml:space="preserve">图3-7   </w:t>
      </w:r>
      <w:r>
        <w:rPr>
          <w:rFonts w:hint="eastAsia" w:ascii="仿宋_GB2312" w:hAnsi="Times New Roman" w:eastAsia="仿宋_GB2312"/>
          <w:b/>
          <w:sz w:val="28"/>
          <w:szCs w:val="28"/>
        </w:rPr>
        <w:t xml:space="preserve">  </w:t>
      </w:r>
      <w:r>
        <w:rPr>
          <w:rFonts w:hint="eastAsia" w:ascii="仿宋_GB2312" w:hAnsi="Times New Roman" w:eastAsia="仿宋_GB2312"/>
          <w:sz w:val="28"/>
          <w:szCs w:val="28"/>
        </w:rPr>
        <w:t xml:space="preserve"> 单位GDP能耗变化趋势</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⑶节能降耗情况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全县能耗总量控制和能耗强度控制任务完成情况见表3-5。</w:t>
      </w:r>
    </w:p>
    <w:p>
      <w:pPr>
        <w:adjustRightInd w:val="0"/>
        <w:snapToGrid w:val="0"/>
        <w:spacing w:line="360" w:lineRule="auto"/>
        <w:ind w:firstLine="560" w:firstLineChars="200"/>
        <w:rPr>
          <w:rFonts w:ascii="仿宋_GB2312" w:eastAsia="仿宋_GB2312"/>
          <w:sz w:val="28"/>
          <w:szCs w:val="28"/>
        </w:rPr>
      </w:pPr>
    </w:p>
    <w:p>
      <w:pPr>
        <w:adjustRightInd w:val="0"/>
        <w:snapToGrid w:val="0"/>
        <w:spacing w:line="360" w:lineRule="auto"/>
        <w:ind w:firstLine="560" w:firstLineChars="200"/>
        <w:rPr>
          <w:rFonts w:ascii="仿宋_GB2312" w:eastAsia="仿宋_GB2312"/>
          <w:sz w:val="28"/>
          <w:szCs w:val="28"/>
        </w:rPr>
      </w:pPr>
    </w:p>
    <w:p>
      <w:pPr>
        <w:adjustRightInd w:val="0"/>
        <w:snapToGrid w:val="0"/>
        <w:spacing w:line="360" w:lineRule="auto"/>
        <w:ind w:firstLine="560" w:firstLineChars="200"/>
        <w:rPr>
          <w:rFonts w:ascii="仿宋_GB2312" w:eastAsia="仿宋_GB2312"/>
          <w:sz w:val="28"/>
          <w:szCs w:val="28"/>
        </w:rPr>
      </w:pP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3</w:t>
      </w:r>
      <w:r>
        <w:rPr>
          <w:rFonts w:ascii="Times New Roman" w:hAnsi="Times New Roman"/>
          <w:b/>
          <w:sz w:val="24"/>
          <w:szCs w:val="24"/>
        </w:rPr>
        <w:t>-</w:t>
      </w:r>
      <w:r>
        <w:rPr>
          <w:rFonts w:hint="eastAsia" w:ascii="Times New Roman" w:hAnsi="Times New Roman"/>
          <w:b/>
          <w:sz w:val="24"/>
          <w:szCs w:val="24"/>
        </w:rPr>
        <w:t>5</w:t>
      </w:r>
      <w:r>
        <w:rPr>
          <w:rFonts w:ascii="Times New Roman" w:hAnsi="Times New Roman"/>
          <w:b/>
          <w:sz w:val="24"/>
          <w:szCs w:val="24"/>
        </w:rPr>
        <w:t xml:space="preserve">  全县能耗“双控”目标任务完成情况 单位：万吨标准煤，%</w:t>
      </w:r>
    </w:p>
    <w:tbl>
      <w:tblPr>
        <w:tblStyle w:val="14"/>
        <w:tblW w:w="4795" w:type="pct"/>
        <w:tblInd w:w="25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2"/>
        <w:gridCol w:w="1453"/>
        <w:gridCol w:w="1453"/>
        <w:gridCol w:w="1453"/>
        <w:gridCol w:w="1455"/>
        <w:gridCol w:w="13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19" w:type="pct"/>
            <w:vMerge w:val="restart"/>
            <w:shd w:val="clear" w:color="auto" w:fill="auto"/>
            <w:vAlign w:val="center"/>
          </w:tcPr>
          <w:p>
            <w:pPr>
              <w:jc w:val="center"/>
              <w:rPr>
                <w:rFonts w:ascii="Times New Roman" w:hAnsi="Times New Roman"/>
                <w:b/>
              </w:rPr>
            </w:pPr>
            <w:r>
              <w:rPr>
                <w:rFonts w:hint="eastAsia" w:ascii="Times New Roman" w:hAnsi="Times New Roman"/>
                <w:b/>
              </w:rPr>
              <w:t>年度</w:t>
            </w:r>
          </w:p>
        </w:tc>
        <w:tc>
          <w:tcPr>
            <w:tcW w:w="1738" w:type="pct"/>
            <w:gridSpan w:val="2"/>
            <w:shd w:val="clear" w:color="auto" w:fill="auto"/>
            <w:vAlign w:val="center"/>
          </w:tcPr>
          <w:p>
            <w:pPr>
              <w:jc w:val="center"/>
              <w:rPr>
                <w:rFonts w:ascii="Times New Roman" w:hAnsi="Times New Roman"/>
                <w:b/>
              </w:rPr>
            </w:pPr>
            <w:r>
              <w:rPr>
                <w:rFonts w:hint="eastAsia" w:ascii="Times New Roman" w:hAnsi="Times New Roman"/>
                <w:b/>
              </w:rPr>
              <w:t>目标任务</w:t>
            </w:r>
          </w:p>
        </w:tc>
        <w:tc>
          <w:tcPr>
            <w:tcW w:w="1739" w:type="pct"/>
            <w:gridSpan w:val="2"/>
            <w:shd w:val="clear" w:color="auto" w:fill="auto"/>
            <w:vAlign w:val="center"/>
          </w:tcPr>
          <w:p>
            <w:pPr>
              <w:jc w:val="center"/>
              <w:rPr>
                <w:rFonts w:ascii="Times New Roman" w:hAnsi="Times New Roman"/>
                <w:b/>
              </w:rPr>
            </w:pPr>
            <w:r>
              <w:rPr>
                <w:rFonts w:hint="eastAsia" w:ascii="Times New Roman" w:hAnsi="Times New Roman"/>
                <w:b/>
              </w:rPr>
              <w:t>完成情况</w:t>
            </w:r>
          </w:p>
        </w:tc>
        <w:tc>
          <w:tcPr>
            <w:tcW w:w="805" w:type="pct"/>
            <w:vMerge w:val="restart"/>
            <w:shd w:val="clear" w:color="auto" w:fill="auto"/>
            <w:vAlign w:val="center"/>
          </w:tcPr>
          <w:p>
            <w:pPr>
              <w:jc w:val="center"/>
              <w:rPr>
                <w:rFonts w:ascii="Times New Roman" w:hAnsi="Times New Roman"/>
                <w:b/>
              </w:rPr>
            </w:pPr>
            <w:r>
              <w:rPr>
                <w:rFonts w:hint="eastAsia" w:ascii="Times New Roman" w:hAnsi="Times New Roman"/>
                <w:b/>
              </w:rPr>
              <w:t>是否完成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19" w:type="pct"/>
            <w:vMerge w:val="continue"/>
            <w:shd w:val="clear" w:color="auto" w:fill="auto"/>
            <w:vAlign w:val="center"/>
          </w:tcPr>
          <w:p>
            <w:pPr>
              <w:jc w:val="center"/>
              <w:rPr>
                <w:rFonts w:ascii="Times New Roman" w:hAnsi="Times New Roman"/>
              </w:rPr>
            </w:pPr>
          </w:p>
        </w:tc>
        <w:tc>
          <w:tcPr>
            <w:tcW w:w="869" w:type="pct"/>
            <w:shd w:val="clear" w:color="auto" w:fill="auto"/>
            <w:vAlign w:val="center"/>
          </w:tcPr>
          <w:p>
            <w:pPr>
              <w:jc w:val="center"/>
              <w:rPr>
                <w:rFonts w:ascii="Times New Roman" w:hAnsi="Times New Roman"/>
                <w:b/>
              </w:rPr>
            </w:pPr>
            <w:r>
              <w:rPr>
                <w:rFonts w:hint="eastAsia" w:ascii="Times New Roman" w:hAnsi="Times New Roman"/>
                <w:b/>
              </w:rPr>
              <w:t>增量</w:t>
            </w:r>
          </w:p>
        </w:tc>
        <w:tc>
          <w:tcPr>
            <w:tcW w:w="869" w:type="pct"/>
            <w:shd w:val="clear" w:color="auto" w:fill="auto"/>
            <w:vAlign w:val="center"/>
          </w:tcPr>
          <w:p>
            <w:pPr>
              <w:jc w:val="center"/>
              <w:rPr>
                <w:rFonts w:ascii="Times New Roman" w:hAnsi="Times New Roman"/>
                <w:b/>
              </w:rPr>
            </w:pPr>
            <w:r>
              <w:rPr>
                <w:rFonts w:hint="eastAsia" w:ascii="Times New Roman" w:hAnsi="Times New Roman"/>
                <w:b/>
              </w:rPr>
              <w:t>降低率</w:t>
            </w:r>
          </w:p>
        </w:tc>
        <w:tc>
          <w:tcPr>
            <w:tcW w:w="869" w:type="pct"/>
            <w:shd w:val="clear" w:color="auto" w:fill="auto"/>
            <w:vAlign w:val="center"/>
          </w:tcPr>
          <w:p>
            <w:pPr>
              <w:jc w:val="center"/>
              <w:rPr>
                <w:rFonts w:ascii="Times New Roman" w:hAnsi="Times New Roman"/>
                <w:b/>
              </w:rPr>
            </w:pPr>
            <w:r>
              <w:rPr>
                <w:rFonts w:hint="eastAsia" w:ascii="Times New Roman" w:hAnsi="Times New Roman"/>
                <w:b/>
              </w:rPr>
              <w:t>增量</w:t>
            </w:r>
          </w:p>
        </w:tc>
        <w:tc>
          <w:tcPr>
            <w:tcW w:w="869" w:type="pct"/>
            <w:shd w:val="clear" w:color="auto" w:fill="auto"/>
            <w:vAlign w:val="center"/>
          </w:tcPr>
          <w:p>
            <w:pPr>
              <w:jc w:val="center"/>
              <w:rPr>
                <w:rFonts w:ascii="Times New Roman" w:hAnsi="Times New Roman"/>
                <w:b/>
              </w:rPr>
            </w:pPr>
            <w:r>
              <w:rPr>
                <w:rFonts w:hint="eastAsia" w:ascii="Times New Roman" w:hAnsi="Times New Roman"/>
                <w:b/>
              </w:rPr>
              <w:t>降低率</w:t>
            </w:r>
          </w:p>
        </w:tc>
        <w:tc>
          <w:tcPr>
            <w:tcW w:w="805" w:type="pct"/>
            <w:vMerge w:val="continue"/>
            <w:shd w:val="clear" w:color="auto" w:fill="auto"/>
            <w:vAlign w:val="center"/>
          </w:tcPr>
          <w:p>
            <w:pPr>
              <w:jc w:val="center"/>
              <w:rPr>
                <w:rFonts w:ascii="Times New Roman" w:hAnsi="Times New Roman"/>
                <w: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19" w:type="pct"/>
            <w:shd w:val="clear" w:color="auto" w:fill="auto"/>
            <w:vAlign w:val="center"/>
          </w:tcPr>
          <w:p>
            <w:pPr>
              <w:jc w:val="center"/>
              <w:rPr>
                <w:rFonts w:ascii="Times New Roman" w:hAnsi="Times New Roman"/>
                <w:b/>
              </w:rPr>
            </w:pPr>
            <w:r>
              <w:rPr>
                <w:rFonts w:hint="eastAsia" w:ascii="Times New Roman" w:hAnsi="Times New Roman"/>
                <w:b/>
              </w:rPr>
              <w:t>2021</w:t>
            </w:r>
          </w:p>
        </w:tc>
        <w:tc>
          <w:tcPr>
            <w:tcW w:w="869" w:type="pct"/>
            <w:shd w:val="clear" w:color="auto" w:fill="auto"/>
            <w:vAlign w:val="center"/>
          </w:tcPr>
          <w:p>
            <w:pPr>
              <w:jc w:val="center"/>
              <w:rPr>
                <w:rFonts w:ascii="Times New Roman" w:hAnsi="Times New Roman"/>
              </w:rPr>
            </w:pPr>
            <w:r>
              <w:rPr>
                <w:rFonts w:hint="eastAsia" w:ascii="Times New Roman" w:hAnsi="Times New Roman"/>
              </w:rPr>
              <w:t>6.8万吨标煤</w:t>
            </w:r>
          </w:p>
        </w:tc>
        <w:tc>
          <w:tcPr>
            <w:tcW w:w="869" w:type="pct"/>
            <w:shd w:val="clear" w:color="auto" w:fill="auto"/>
            <w:vAlign w:val="center"/>
          </w:tcPr>
          <w:p>
            <w:pPr>
              <w:jc w:val="center"/>
              <w:rPr>
                <w:rFonts w:ascii="Times New Roman" w:hAnsi="Times New Roman"/>
              </w:rPr>
            </w:pPr>
            <w:r>
              <w:rPr>
                <w:rFonts w:hint="eastAsia" w:ascii="Times New Roman" w:hAnsi="Times New Roman"/>
              </w:rPr>
              <w:t>3%</w:t>
            </w:r>
          </w:p>
        </w:tc>
        <w:tc>
          <w:tcPr>
            <w:tcW w:w="869" w:type="pct"/>
            <w:shd w:val="clear" w:color="auto" w:fill="auto"/>
            <w:vAlign w:val="center"/>
          </w:tcPr>
          <w:p>
            <w:pPr>
              <w:jc w:val="center"/>
              <w:rPr>
                <w:rFonts w:ascii="Times New Roman" w:hAnsi="Times New Roman"/>
              </w:rPr>
            </w:pPr>
            <w:r>
              <w:rPr>
                <w:rFonts w:hint="eastAsia" w:ascii="Times New Roman" w:hAnsi="Times New Roman"/>
              </w:rPr>
              <w:t>5.6</w:t>
            </w:r>
          </w:p>
        </w:tc>
        <w:tc>
          <w:tcPr>
            <w:tcW w:w="869" w:type="pct"/>
            <w:shd w:val="clear" w:color="auto" w:fill="auto"/>
            <w:vAlign w:val="center"/>
          </w:tcPr>
          <w:p>
            <w:pPr>
              <w:jc w:val="center"/>
              <w:rPr>
                <w:rFonts w:ascii="Times New Roman" w:hAnsi="Times New Roman"/>
              </w:rPr>
            </w:pPr>
            <w:r>
              <w:rPr>
                <w:rFonts w:hint="eastAsia" w:ascii="Times New Roman" w:hAnsi="Times New Roman"/>
              </w:rPr>
              <w:t>3.9%</w:t>
            </w:r>
          </w:p>
        </w:tc>
        <w:tc>
          <w:tcPr>
            <w:tcW w:w="805" w:type="pct"/>
            <w:shd w:val="clear" w:color="auto" w:fill="auto"/>
            <w:vAlign w:val="center"/>
          </w:tcPr>
          <w:p>
            <w:pPr>
              <w:jc w:val="center"/>
              <w:rPr>
                <w:rFonts w:ascii="Times New Roman" w:hAnsi="Times New Roman"/>
              </w:rPr>
            </w:pPr>
            <w:r>
              <w:rPr>
                <w:rFonts w:hint="eastAsia" w:ascii="Times New Roman" w:hAnsi="Times New Roman"/>
              </w:rPr>
              <w:t>完成</w:t>
            </w:r>
          </w:p>
        </w:tc>
      </w:tr>
    </w:tbl>
    <w:p>
      <w:pPr>
        <w:adjustRightInd w:val="0"/>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⑷规上企业能源消费情况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2016-2021年，全县规模以上工业企业综合能源消费量分别为26.0、41.3、37.5、40.1、46.6、72.9万吨标准煤。</w:t>
      </w: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pStyle w:val="2"/>
        <w:adjustRightInd w:val="0"/>
        <w:snapToGrid w:val="0"/>
        <w:spacing w:before="240" w:after="240" w:line="360" w:lineRule="auto"/>
        <w:rPr>
          <w:rFonts w:ascii="黑体" w:hAnsi="黑体" w:eastAsia="黑体"/>
          <w:sz w:val="32"/>
          <w:szCs w:val="32"/>
        </w:rPr>
      </w:pPr>
      <w:bookmarkStart w:id="11" w:name="_Toc111980870"/>
      <w:r>
        <w:rPr>
          <w:rFonts w:hint="eastAsia" w:ascii="黑体" w:hAnsi="黑体" w:eastAsia="黑体"/>
          <w:sz w:val="32"/>
          <w:szCs w:val="32"/>
        </w:rPr>
        <w:t>4环境现状</w:t>
      </w:r>
      <w:bookmarkEnd w:id="11"/>
    </w:p>
    <w:p>
      <w:pPr>
        <w:pStyle w:val="3"/>
        <w:adjustRightInd w:val="0"/>
        <w:snapToGrid w:val="0"/>
        <w:spacing w:before="120" w:after="120" w:line="360" w:lineRule="auto"/>
        <w:rPr>
          <w:rFonts w:ascii="黑体" w:hAnsi="黑体" w:eastAsia="黑体"/>
          <w:kern w:val="0"/>
          <w:sz w:val="30"/>
          <w:szCs w:val="30"/>
        </w:rPr>
      </w:pPr>
      <w:bookmarkStart w:id="12" w:name="_Toc111980871"/>
      <w:r>
        <w:rPr>
          <w:rFonts w:hint="eastAsia" w:ascii="黑体" w:hAnsi="黑体" w:eastAsia="黑体"/>
          <w:kern w:val="0"/>
          <w:sz w:val="30"/>
          <w:szCs w:val="30"/>
        </w:rPr>
        <w:t>4.1生态环境</w:t>
      </w:r>
      <w:bookmarkEnd w:id="12"/>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4.1.1生态功能区</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盐池县位于西鄂尔多斯</w:t>
      </w:r>
      <w:r>
        <w:rPr>
          <w:rFonts w:hint="eastAsia" w:ascii="仿宋_GB2312" w:eastAsia="仿宋_GB2312"/>
          <w:bCs/>
          <w:sz w:val="28"/>
          <w:szCs w:val="28"/>
          <w:lang w:val="zh-CN" w:bidi="en-US"/>
        </w:rPr>
        <w:t>-</w:t>
      </w:r>
      <w:r>
        <w:rPr>
          <w:rFonts w:hint="eastAsia" w:ascii="仿宋_GB2312" w:eastAsia="仿宋_GB2312"/>
          <w:sz w:val="28"/>
          <w:szCs w:val="28"/>
        </w:rPr>
        <w:t>贺兰山-阴山生物多样性保护与防风固沙重要区，属于生物多样性保护与防风固沙重要区域。根据《宁夏生态功能区划（修编）》方案，盐池县位于生态调节功能区与产品提供功能区（生态功能大类），分别为生物多样性保护功能区、防风固沙功能区、洪水调蓄生态功能区与农产品提供功能区（生态功能类型）。</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盐池县地理位置十分特殊，处于黄土高原向鄂尔多斯台地、半干旱区向干旱区、干草原向荒漠草原、农区向牧区过渡地带，自然条件复杂多样，过渡地带特征明显。</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南部沟壑纵横，地形破碎，土壤瘠薄，生态环境脆弱，沟壑密度1.5～3.0k</w:t>
      </w:r>
      <w:r>
        <w:rPr>
          <w:rFonts w:ascii="仿宋_GB2312" w:eastAsia="仿宋_GB2312"/>
          <w:sz w:val="28"/>
          <w:szCs w:val="28"/>
        </w:rPr>
        <w:t>m</w:t>
      </w:r>
      <w:r>
        <w:rPr>
          <w:rFonts w:hint="eastAsia" w:ascii="仿宋_GB2312" w:eastAsia="仿宋_GB2312"/>
          <w:sz w:val="28"/>
          <w:szCs w:val="28"/>
        </w:rPr>
        <w:t>/k</w:t>
      </w:r>
      <w:r>
        <w:rPr>
          <w:rFonts w:ascii="仿宋_GB2312" w:eastAsia="仿宋_GB2312"/>
          <w:sz w:val="28"/>
          <w:szCs w:val="28"/>
        </w:rPr>
        <w:t>m</w:t>
      </w:r>
      <w:r>
        <w:rPr>
          <w:rFonts w:ascii="仿宋_GB2312" w:eastAsia="仿宋_GB2312"/>
          <w:sz w:val="28"/>
          <w:szCs w:val="28"/>
          <w:vertAlign w:val="superscript"/>
        </w:rPr>
        <w:t>2</w:t>
      </w:r>
      <w:r>
        <w:rPr>
          <w:rFonts w:hint="eastAsia" w:ascii="仿宋_GB2312" w:eastAsia="仿宋_GB2312"/>
          <w:sz w:val="28"/>
          <w:szCs w:val="28"/>
        </w:rPr>
        <w:t>，土壤侵蚀强度为6</w:t>
      </w:r>
      <w:r>
        <w:rPr>
          <w:rFonts w:ascii="仿宋_GB2312" w:eastAsia="仿宋_GB2312"/>
          <w:sz w:val="28"/>
          <w:szCs w:val="28"/>
        </w:rPr>
        <w:t>000</w:t>
      </w:r>
      <w:r>
        <w:rPr>
          <w:rFonts w:hint="eastAsia" w:ascii="仿宋_GB2312" w:eastAsia="仿宋_GB2312"/>
          <w:sz w:val="28"/>
          <w:szCs w:val="28"/>
        </w:rPr>
        <w:t>～</w:t>
      </w:r>
      <w:r>
        <w:rPr>
          <w:rFonts w:ascii="仿宋_GB2312" w:eastAsia="仿宋_GB2312"/>
          <w:sz w:val="28"/>
          <w:szCs w:val="28"/>
        </w:rPr>
        <w:t>10000</w:t>
      </w:r>
      <w:r>
        <w:rPr>
          <w:rFonts w:hint="eastAsia" w:ascii="仿宋_GB2312" w:eastAsia="仿宋_GB2312"/>
          <w:sz w:val="28"/>
          <w:szCs w:val="28"/>
        </w:rPr>
        <w:t>t/a·k</w:t>
      </w:r>
      <w:r>
        <w:rPr>
          <w:rFonts w:ascii="仿宋_GB2312" w:eastAsia="仿宋_GB2312"/>
          <w:sz w:val="28"/>
          <w:szCs w:val="28"/>
        </w:rPr>
        <w:t>m</w:t>
      </w:r>
      <w:r>
        <w:rPr>
          <w:rFonts w:ascii="仿宋_GB2312" w:eastAsia="仿宋_GB2312"/>
          <w:sz w:val="28"/>
          <w:szCs w:val="28"/>
          <w:vertAlign w:val="superscript"/>
        </w:rPr>
        <w:t>2</w:t>
      </w:r>
      <w:r>
        <w:rPr>
          <w:rFonts w:hint="eastAsia" w:ascii="仿宋_GB2312" w:eastAsia="仿宋_GB2312"/>
          <w:sz w:val="28"/>
          <w:szCs w:val="28"/>
        </w:rPr>
        <w:t>，水土流失是</w:t>
      </w:r>
      <w:r>
        <w:rPr>
          <w:rFonts w:ascii="仿宋_GB2312" w:eastAsia="仿宋_GB2312"/>
          <w:sz w:val="28"/>
          <w:szCs w:val="28"/>
        </w:rPr>
        <w:t>本区最为敏感的生态环境问题</w:t>
      </w:r>
      <w:r>
        <w:rPr>
          <w:rFonts w:hint="eastAsia" w:ascii="仿宋_GB2312" w:eastAsia="仿宋_GB2312"/>
          <w:sz w:val="28"/>
          <w:szCs w:val="28"/>
        </w:rPr>
        <w:t>。</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北部为鄂尔多斯缓坡丘陵区，为</w:t>
      </w:r>
      <w:r>
        <w:rPr>
          <w:rFonts w:ascii="仿宋_GB2312" w:eastAsia="仿宋_GB2312"/>
          <w:sz w:val="28"/>
          <w:szCs w:val="28"/>
        </w:rPr>
        <w:t>毛乌素沙地西缘，多为流动沙丘与固定、半固定沙地，</w:t>
      </w:r>
      <w:r>
        <w:rPr>
          <w:rFonts w:hint="eastAsia" w:ascii="仿宋_GB2312" w:eastAsia="仿宋_GB2312"/>
          <w:sz w:val="28"/>
          <w:szCs w:val="28"/>
        </w:rPr>
        <w:t>植被覆盖度低，该</w:t>
      </w:r>
      <w:r>
        <w:rPr>
          <w:rFonts w:ascii="仿宋_GB2312" w:eastAsia="仿宋_GB2312"/>
          <w:sz w:val="28"/>
          <w:szCs w:val="28"/>
        </w:rPr>
        <w:t>区域最敏感的生态问题是土地沙化和</w:t>
      </w:r>
      <w:r>
        <w:rPr>
          <w:rFonts w:hint="eastAsia" w:ascii="仿宋_GB2312" w:eastAsia="仿宋_GB2312"/>
          <w:sz w:val="28"/>
          <w:szCs w:val="28"/>
        </w:rPr>
        <w:t>草场退化</w:t>
      </w:r>
      <w:r>
        <w:rPr>
          <w:rFonts w:ascii="仿宋_GB2312" w:eastAsia="仿宋_GB2312"/>
          <w:sz w:val="28"/>
          <w:szCs w:val="28"/>
        </w:rPr>
        <w:t>。</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根据</w:t>
      </w:r>
      <w:r>
        <w:rPr>
          <w:rFonts w:ascii="仿宋_GB2312" w:eastAsia="仿宋_GB2312"/>
          <w:sz w:val="28"/>
          <w:szCs w:val="28"/>
        </w:rPr>
        <w:t>《</w:t>
      </w:r>
      <w:r>
        <w:rPr>
          <w:rFonts w:hint="eastAsia" w:ascii="仿宋_GB2312" w:eastAsia="仿宋_GB2312"/>
          <w:sz w:val="28"/>
          <w:szCs w:val="28"/>
        </w:rPr>
        <w:t>宁夏</w:t>
      </w:r>
      <w:r>
        <w:rPr>
          <w:rFonts w:ascii="仿宋_GB2312" w:eastAsia="仿宋_GB2312"/>
          <w:sz w:val="28"/>
          <w:szCs w:val="28"/>
        </w:rPr>
        <w:t>生态功能区划》</w:t>
      </w:r>
      <w:r>
        <w:rPr>
          <w:rFonts w:hint="eastAsia" w:ascii="仿宋_GB2312" w:eastAsia="仿宋_GB2312"/>
          <w:sz w:val="28"/>
          <w:szCs w:val="28"/>
        </w:rPr>
        <w:t>，</w:t>
      </w:r>
      <w:r>
        <w:rPr>
          <w:rFonts w:ascii="仿宋_GB2312" w:eastAsia="仿宋_GB2312"/>
          <w:sz w:val="28"/>
          <w:szCs w:val="28"/>
        </w:rPr>
        <w:t>盐池县属</w:t>
      </w:r>
      <w:r>
        <w:rPr>
          <w:rFonts w:hint="eastAsia" w:ascii="仿宋_GB2312" w:eastAsia="仿宋_GB2312"/>
          <w:sz w:val="28"/>
          <w:szCs w:val="28"/>
        </w:rPr>
        <w:t>“</w:t>
      </w:r>
      <w:r>
        <w:rPr>
          <w:rFonts w:ascii="仿宋_GB2312" w:eastAsia="仿宋_GB2312"/>
          <w:sz w:val="28"/>
          <w:szCs w:val="28"/>
        </w:rPr>
        <w:t>土壤侵蚀中度</w:t>
      </w:r>
      <w:r>
        <w:rPr>
          <w:rFonts w:hint="eastAsia" w:ascii="仿宋_GB2312" w:eastAsia="仿宋_GB2312"/>
          <w:sz w:val="28"/>
          <w:szCs w:val="28"/>
        </w:rPr>
        <w:t>敏感区”</w:t>
      </w:r>
      <w:r>
        <w:rPr>
          <w:rFonts w:ascii="仿宋_GB2312" w:eastAsia="仿宋_GB2312"/>
          <w:sz w:val="28"/>
          <w:szCs w:val="28"/>
        </w:rPr>
        <w:t>和</w:t>
      </w:r>
      <w:r>
        <w:rPr>
          <w:rFonts w:hint="eastAsia" w:ascii="仿宋_GB2312" w:eastAsia="仿宋_GB2312"/>
          <w:sz w:val="28"/>
          <w:szCs w:val="28"/>
        </w:rPr>
        <w:t>“</w:t>
      </w:r>
      <w:r>
        <w:rPr>
          <w:rFonts w:ascii="仿宋_GB2312" w:eastAsia="仿宋_GB2312"/>
          <w:sz w:val="28"/>
          <w:szCs w:val="28"/>
        </w:rPr>
        <w:t>土地沙化</w:t>
      </w:r>
      <w:r>
        <w:rPr>
          <w:rFonts w:hint="eastAsia" w:ascii="仿宋_GB2312" w:eastAsia="仿宋_GB2312"/>
          <w:sz w:val="28"/>
          <w:szCs w:val="28"/>
        </w:rPr>
        <w:t>极</w:t>
      </w:r>
      <w:r>
        <w:rPr>
          <w:rFonts w:ascii="仿宋_GB2312" w:eastAsia="仿宋_GB2312"/>
          <w:sz w:val="28"/>
          <w:szCs w:val="28"/>
        </w:rPr>
        <w:t>敏感区</w:t>
      </w:r>
      <w:r>
        <w:rPr>
          <w:rFonts w:hint="eastAsia" w:ascii="仿宋_GB2312" w:eastAsia="仿宋_GB2312"/>
          <w:sz w:val="28"/>
          <w:szCs w:val="28"/>
        </w:rPr>
        <w:t>”。同时，盐池还是全国重点生态功能区环境保护和管理工作试点县，生态</w:t>
      </w:r>
      <w:r>
        <w:rPr>
          <w:rFonts w:ascii="仿宋_GB2312" w:eastAsia="仿宋_GB2312"/>
          <w:sz w:val="28"/>
          <w:szCs w:val="28"/>
        </w:rPr>
        <w:t>区位极其重要。</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4.1.2生态保护地</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盐池县现有自然保护区，重要湿地、国家级公益林等具体情况见表4-1。</w:t>
      </w:r>
    </w:p>
    <w:p>
      <w:pPr>
        <w:spacing w:line="360" w:lineRule="auto"/>
        <w:jc w:val="center"/>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rPr>
        <w:t>4-1</w:t>
      </w:r>
      <w:r>
        <w:rPr>
          <w:rFonts w:ascii="Times New Roman" w:hAnsi="Times New Roman"/>
          <w:b/>
          <w:bCs/>
          <w:sz w:val="24"/>
          <w:szCs w:val="24"/>
        </w:rPr>
        <w:t xml:space="preserve"> </w:t>
      </w:r>
      <w:r>
        <w:rPr>
          <w:rFonts w:hint="eastAsia" w:ascii="Times New Roman" w:hAnsi="Times New Roman"/>
          <w:b/>
          <w:bCs/>
          <w:sz w:val="24"/>
          <w:szCs w:val="24"/>
        </w:rPr>
        <w:t xml:space="preserve"> </w:t>
      </w:r>
      <w:r>
        <w:rPr>
          <w:rFonts w:ascii="Times New Roman" w:hAnsi="Times New Roman"/>
          <w:b/>
          <w:bCs/>
          <w:sz w:val="24"/>
          <w:szCs w:val="24"/>
        </w:rPr>
        <w:t>盐池县生态保护地</w:t>
      </w:r>
      <w:r>
        <w:rPr>
          <w:rFonts w:hint="eastAsia" w:ascii="Times New Roman" w:hAnsi="Times New Roman"/>
          <w:b/>
          <w:bCs/>
          <w:sz w:val="24"/>
          <w:szCs w:val="24"/>
        </w:rPr>
        <w:t>基本</w:t>
      </w:r>
      <w:r>
        <w:rPr>
          <w:rFonts w:ascii="Times New Roman" w:hAnsi="Times New Roman"/>
          <w:b/>
          <w:bCs/>
          <w:sz w:val="24"/>
          <w:szCs w:val="24"/>
        </w:rPr>
        <w:t>情况</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278"/>
        <w:gridCol w:w="1559"/>
        <w:gridCol w:w="2267"/>
        <w:gridCol w:w="1561"/>
        <w:gridCol w:w="13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序号</w:t>
            </w:r>
          </w:p>
        </w:tc>
        <w:tc>
          <w:tcPr>
            <w:tcW w:w="733" w:type="pct"/>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类型</w:t>
            </w:r>
          </w:p>
        </w:tc>
        <w:tc>
          <w:tcPr>
            <w:tcW w:w="894" w:type="pct"/>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划入生态保护红线面积</w:t>
            </w:r>
          </w:p>
        </w:tc>
        <w:tc>
          <w:tcPr>
            <w:tcW w:w="1300" w:type="pct"/>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名称</w:t>
            </w:r>
          </w:p>
        </w:tc>
        <w:tc>
          <w:tcPr>
            <w:tcW w:w="895" w:type="pct"/>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备注</w:t>
            </w:r>
          </w:p>
        </w:tc>
        <w:tc>
          <w:tcPr>
            <w:tcW w:w="792" w:type="pct"/>
            <w:vAlign w:val="center"/>
          </w:tcPr>
          <w:p>
            <w:pPr>
              <w:widowControl/>
              <w:jc w:val="center"/>
              <w:rPr>
                <w:rFonts w:ascii="Times New Roman" w:hAnsi="Times New Roman"/>
                <w:b/>
                <w:bCs/>
                <w:kern w:val="0"/>
                <w:szCs w:val="21"/>
              </w:rPr>
            </w:pPr>
            <w:r>
              <w:rPr>
                <w:rFonts w:hint="eastAsia" w:ascii="Times New Roman" w:hAnsi="Times New Roman"/>
                <w:b/>
                <w:bCs/>
                <w:kern w:val="0"/>
                <w:szCs w:val="21"/>
              </w:rPr>
              <w:t>责任主体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1</w:t>
            </w:r>
          </w:p>
        </w:tc>
        <w:tc>
          <w:tcPr>
            <w:tcW w:w="733" w:type="pct"/>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自然保护区</w:t>
            </w:r>
          </w:p>
        </w:tc>
        <w:tc>
          <w:tcPr>
            <w:tcW w:w="894" w:type="pct"/>
            <w:shd w:val="clear" w:color="auto" w:fill="auto"/>
            <w:noWrap/>
            <w:vAlign w:val="center"/>
          </w:tcPr>
          <w:p>
            <w:pPr>
              <w:widowControl/>
              <w:jc w:val="center"/>
              <w:rPr>
                <w:rFonts w:ascii="Times New Roman" w:hAnsi="Times New Roman"/>
                <w:bCs/>
                <w:kern w:val="0"/>
                <w:szCs w:val="21"/>
              </w:rPr>
            </w:pPr>
            <w:r>
              <w:rPr>
                <w:rFonts w:ascii="Times New Roman" w:hAnsi="Times New Roman"/>
                <w:bCs/>
                <w:kern w:val="0"/>
                <w:szCs w:val="21"/>
              </w:rPr>
              <w:t>68000公顷</w:t>
            </w:r>
          </w:p>
        </w:tc>
        <w:tc>
          <w:tcPr>
            <w:tcW w:w="1300" w:type="pct"/>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哈巴湖自然保护区</w:t>
            </w:r>
          </w:p>
        </w:tc>
        <w:tc>
          <w:tcPr>
            <w:tcW w:w="895" w:type="pct"/>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国家级</w:t>
            </w:r>
          </w:p>
        </w:tc>
        <w:tc>
          <w:tcPr>
            <w:tcW w:w="792" w:type="pct"/>
            <w:vAlign w:val="center"/>
          </w:tcPr>
          <w:p>
            <w:pPr>
              <w:widowControl/>
              <w:jc w:val="center"/>
              <w:rPr>
                <w:rFonts w:ascii="Times New Roman" w:hAnsi="Times New Roman"/>
                <w:kern w:val="0"/>
                <w:szCs w:val="21"/>
              </w:rPr>
            </w:pPr>
            <w:r>
              <w:rPr>
                <w:rFonts w:ascii="Times New Roman" w:hAnsi="Times New Roman"/>
                <w:kern w:val="0"/>
                <w:szCs w:val="21"/>
              </w:rPr>
              <w:t>哈巴湖自然保护区管理局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shd w:val="clear" w:color="auto" w:fill="auto"/>
            <w:noWrap/>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2</w:t>
            </w:r>
          </w:p>
        </w:tc>
        <w:tc>
          <w:tcPr>
            <w:tcW w:w="733" w:type="pct"/>
            <w:vMerge w:val="restart"/>
            <w:shd w:val="clear" w:color="auto" w:fill="auto"/>
            <w:noWrap/>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重要</w:t>
            </w:r>
            <w:r>
              <w:rPr>
                <w:rFonts w:ascii="Times New Roman" w:hAnsi="Times New Roman"/>
                <w:kern w:val="0"/>
                <w:szCs w:val="21"/>
              </w:rPr>
              <w:t>湿地</w:t>
            </w:r>
          </w:p>
        </w:tc>
        <w:tc>
          <w:tcPr>
            <w:tcW w:w="894" w:type="pct"/>
            <w:shd w:val="clear" w:color="auto" w:fill="auto"/>
            <w:noWrap/>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1422.6615</w:t>
            </w:r>
            <w:r>
              <w:rPr>
                <w:rFonts w:ascii="Times New Roman" w:hAnsi="Times New Roman"/>
                <w:bCs/>
                <w:kern w:val="0"/>
                <w:szCs w:val="21"/>
              </w:rPr>
              <w:t>公顷</w:t>
            </w:r>
          </w:p>
        </w:tc>
        <w:tc>
          <w:tcPr>
            <w:tcW w:w="1300" w:type="pct"/>
            <w:shd w:val="clear" w:color="auto" w:fill="auto"/>
            <w:noWrap/>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惠安堡湿地</w:t>
            </w:r>
          </w:p>
        </w:tc>
        <w:tc>
          <w:tcPr>
            <w:tcW w:w="895" w:type="pct"/>
            <w:shd w:val="clear" w:color="auto" w:fill="auto"/>
            <w:noWrap/>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县级重要湿地</w:t>
            </w:r>
          </w:p>
        </w:tc>
        <w:tc>
          <w:tcPr>
            <w:tcW w:w="792" w:type="pct"/>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惠安堡镇人民政府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386" w:type="pct"/>
            <w:shd w:val="clear" w:color="auto" w:fill="auto"/>
            <w:noWrap/>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3</w:t>
            </w:r>
          </w:p>
        </w:tc>
        <w:tc>
          <w:tcPr>
            <w:tcW w:w="733" w:type="pct"/>
            <w:vMerge w:val="continue"/>
            <w:shd w:val="clear" w:color="auto" w:fill="auto"/>
            <w:noWrap/>
            <w:vAlign w:val="center"/>
          </w:tcPr>
          <w:p>
            <w:pPr>
              <w:widowControl/>
              <w:adjustRightInd w:val="0"/>
              <w:snapToGrid w:val="0"/>
              <w:jc w:val="center"/>
              <w:rPr>
                <w:rFonts w:ascii="Times New Roman" w:hAnsi="Times New Roman"/>
                <w:kern w:val="0"/>
                <w:szCs w:val="21"/>
              </w:rPr>
            </w:pPr>
          </w:p>
        </w:tc>
        <w:tc>
          <w:tcPr>
            <w:tcW w:w="894" w:type="pct"/>
            <w:shd w:val="clear" w:color="auto" w:fill="auto"/>
            <w:noWrap/>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556.3499</w:t>
            </w:r>
            <w:r>
              <w:rPr>
                <w:rFonts w:ascii="Times New Roman" w:hAnsi="Times New Roman"/>
                <w:bCs/>
                <w:kern w:val="0"/>
                <w:szCs w:val="21"/>
              </w:rPr>
              <w:t>公顷</w:t>
            </w:r>
          </w:p>
        </w:tc>
        <w:tc>
          <w:tcPr>
            <w:tcW w:w="1300" w:type="pct"/>
            <w:shd w:val="clear" w:color="auto" w:fill="auto"/>
            <w:noWrap/>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南滩湿地</w:t>
            </w:r>
          </w:p>
        </w:tc>
        <w:tc>
          <w:tcPr>
            <w:tcW w:w="895" w:type="pct"/>
            <w:shd w:val="clear" w:color="auto" w:fill="auto"/>
            <w:noWrap/>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县级重要湿地</w:t>
            </w:r>
          </w:p>
        </w:tc>
        <w:tc>
          <w:tcPr>
            <w:tcW w:w="792" w:type="pct"/>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冯记沟乡人民政府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shd w:val="clear" w:color="auto" w:fill="auto"/>
            <w:noWrap/>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4</w:t>
            </w:r>
          </w:p>
        </w:tc>
        <w:tc>
          <w:tcPr>
            <w:tcW w:w="733" w:type="pct"/>
            <w:shd w:val="clear" w:color="auto" w:fill="auto"/>
            <w:noWrap/>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国家级</w:t>
            </w:r>
          </w:p>
          <w:p>
            <w:pPr>
              <w:widowControl/>
              <w:adjustRightInd w:val="0"/>
              <w:snapToGrid w:val="0"/>
              <w:jc w:val="center"/>
              <w:rPr>
                <w:rFonts w:ascii="Times New Roman" w:hAnsi="Times New Roman"/>
                <w:kern w:val="0"/>
                <w:szCs w:val="21"/>
              </w:rPr>
            </w:pPr>
            <w:r>
              <w:rPr>
                <w:rFonts w:ascii="Times New Roman" w:hAnsi="Times New Roman"/>
                <w:kern w:val="0"/>
                <w:szCs w:val="21"/>
              </w:rPr>
              <w:t>公益林</w:t>
            </w:r>
          </w:p>
        </w:tc>
        <w:tc>
          <w:tcPr>
            <w:tcW w:w="894" w:type="pct"/>
            <w:shd w:val="clear" w:color="auto" w:fill="auto"/>
            <w:noWrap/>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45.89万亩</w:t>
            </w:r>
          </w:p>
        </w:tc>
        <w:tc>
          <w:tcPr>
            <w:tcW w:w="1300" w:type="pct"/>
            <w:shd w:val="clear" w:color="auto" w:fill="auto"/>
            <w:noWrap/>
            <w:vAlign w:val="center"/>
          </w:tcPr>
          <w:p>
            <w:pPr>
              <w:widowControl/>
              <w:adjustRightInd w:val="0"/>
              <w:snapToGrid w:val="0"/>
              <w:jc w:val="left"/>
              <w:rPr>
                <w:rFonts w:ascii="Times New Roman" w:hAnsi="Times New Roman"/>
                <w:kern w:val="0"/>
                <w:szCs w:val="21"/>
              </w:rPr>
            </w:pPr>
            <w:r>
              <w:rPr>
                <w:rFonts w:hint="eastAsia" w:ascii="Times New Roman" w:hAnsi="Times New Roman"/>
                <w:kern w:val="0"/>
                <w:szCs w:val="21"/>
              </w:rPr>
              <w:t>一级保护面积30.27万亩，二级保护面积15.62万亩</w:t>
            </w:r>
          </w:p>
        </w:tc>
        <w:tc>
          <w:tcPr>
            <w:tcW w:w="895" w:type="pct"/>
            <w:shd w:val="clear" w:color="auto" w:fill="auto"/>
            <w:noWrap/>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国家级</w:t>
            </w:r>
          </w:p>
        </w:tc>
        <w:tc>
          <w:tcPr>
            <w:tcW w:w="792" w:type="pct"/>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盐池</w:t>
            </w:r>
            <w:r>
              <w:rPr>
                <w:rFonts w:ascii="Times New Roman" w:hAnsi="Times New Roman"/>
                <w:kern w:val="0"/>
                <w:szCs w:val="21"/>
              </w:rPr>
              <w:t>县林草局</w:t>
            </w:r>
          </w:p>
        </w:tc>
      </w:tr>
    </w:tbl>
    <w:p>
      <w:pPr>
        <w:adjustRightInd w:val="0"/>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㈠各类受保护地分布</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⑴自然保护区</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盐池县境内有国家级自然保护区1处，面积为，自然保护区概况见表4-2。</w:t>
      </w:r>
    </w:p>
    <w:p>
      <w:pPr>
        <w:spacing w:line="360" w:lineRule="auto"/>
        <w:jc w:val="center"/>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rPr>
        <w:t xml:space="preserve">4-2   </w:t>
      </w:r>
      <w:r>
        <w:rPr>
          <w:rFonts w:ascii="Times New Roman" w:hAnsi="Times New Roman"/>
          <w:b/>
          <w:bCs/>
          <w:sz w:val="24"/>
          <w:szCs w:val="24"/>
        </w:rPr>
        <w:t xml:space="preserve"> 盐池县</w:t>
      </w:r>
      <w:r>
        <w:rPr>
          <w:rFonts w:hint="eastAsia" w:ascii="Times New Roman" w:hAnsi="Times New Roman"/>
          <w:b/>
          <w:bCs/>
          <w:sz w:val="24"/>
          <w:szCs w:val="24"/>
        </w:rPr>
        <w:t>自然</w:t>
      </w:r>
      <w:r>
        <w:rPr>
          <w:rFonts w:ascii="Times New Roman" w:hAnsi="Times New Roman"/>
          <w:b/>
          <w:bCs/>
          <w:sz w:val="24"/>
          <w:szCs w:val="24"/>
        </w:rPr>
        <w:t>保护区概况</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275"/>
        <w:gridCol w:w="991"/>
        <w:gridCol w:w="780"/>
        <w:gridCol w:w="781"/>
        <w:gridCol w:w="780"/>
        <w:gridCol w:w="781"/>
        <w:gridCol w:w="1700"/>
        <w:gridCol w:w="9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8" w:type="pct"/>
            <w:vMerge w:val="restart"/>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序号</w:t>
            </w:r>
          </w:p>
        </w:tc>
        <w:tc>
          <w:tcPr>
            <w:tcW w:w="731" w:type="pct"/>
            <w:vMerge w:val="restart"/>
            <w:shd w:val="clear" w:color="auto" w:fill="auto"/>
            <w:noWrap/>
            <w:vAlign w:val="center"/>
          </w:tcPr>
          <w:p>
            <w:pPr>
              <w:widowControl/>
              <w:jc w:val="center"/>
              <w:rPr>
                <w:rFonts w:ascii="Times New Roman" w:hAnsi="Times New Roman"/>
                <w:b/>
                <w:bCs/>
                <w:kern w:val="0"/>
                <w:szCs w:val="21"/>
              </w:rPr>
            </w:pPr>
            <w:r>
              <w:rPr>
                <w:rFonts w:hint="eastAsia" w:ascii="Times New Roman" w:hAnsi="Times New Roman"/>
                <w:b/>
                <w:bCs/>
                <w:kern w:val="0"/>
                <w:szCs w:val="21"/>
              </w:rPr>
              <w:t>名称</w:t>
            </w:r>
          </w:p>
        </w:tc>
        <w:tc>
          <w:tcPr>
            <w:tcW w:w="568" w:type="pct"/>
            <w:vMerge w:val="restart"/>
            <w:shd w:val="clear" w:color="auto" w:fill="auto"/>
            <w:noWrap/>
            <w:vAlign w:val="center"/>
          </w:tcPr>
          <w:p>
            <w:pPr>
              <w:widowControl/>
              <w:jc w:val="center"/>
              <w:rPr>
                <w:rFonts w:ascii="Times New Roman" w:hAnsi="Times New Roman"/>
                <w:b/>
                <w:bCs/>
                <w:kern w:val="0"/>
                <w:szCs w:val="21"/>
              </w:rPr>
            </w:pPr>
            <w:r>
              <w:rPr>
                <w:rFonts w:hint="eastAsia" w:ascii="Times New Roman" w:hAnsi="Times New Roman"/>
                <w:b/>
                <w:bCs/>
                <w:kern w:val="0"/>
                <w:szCs w:val="21"/>
              </w:rPr>
              <w:t>级别</w:t>
            </w:r>
          </w:p>
        </w:tc>
        <w:tc>
          <w:tcPr>
            <w:tcW w:w="1790" w:type="pct"/>
            <w:gridSpan w:val="4"/>
            <w:shd w:val="clear" w:color="auto" w:fill="auto"/>
            <w:noWrap/>
            <w:vAlign w:val="center"/>
          </w:tcPr>
          <w:p>
            <w:pPr>
              <w:widowControl/>
              <w:jc w:val="center"/>
              <w:rPr>
                <w:rFonts w:ascii="Times New Roman" w:hAnsi="Times New Roman"/>
                <w:b/>
                <w:bCs/>
                <w:kern w:val="0"/>
                <w:szCs w:val="21"/>
              </w:rPr>
            </w:pPr>
            <w:r>
              <w:rPr>
                <w:rFonts w:hint="eastAsia" w:ascii="Times New Roman" w:hAnsi="Times New Roman"/>
                <w:b/>
                <w:bCs/>
                <w:kern w:val="0"/>
                <w:szCs w:val="21"/>
              </w:rPr>
              <w:t>面积（hm</w:t>
            </w:r>
            <w:r>
              <w:rPr>
                <w:rFonts w:hint="eastAsia" w:ascii="Times New Roman" w:hAnsi="Times New Roman"/>
                <w:b/>
                <w:bCs/>
                <w:kern w:val="0"/>
                <w:szCs w:val="21"/>
                <w:vertAlign w:val="superscript"/>
              </w:rPr>
              <w:t>2</w:t>
            </w:r>
            <w:r>
              <w:rPr>
                <w:rFonts w:hint="eastAsia" w:ascii="Times New Roman" w:hAnsi="Times New Roman"/>
                <w:b/>
                <w:bCs/>
                <w:kern w:val="0"/>
                <w:szCs w:val="21"/>
              </w:rPr>
              <w:t>）</w:t>
            </w:r>
          </w:p>
        </w:tc>
        <w:tc>
          <w:tcPr>
            <w:tcW w:w="975" w:type="pct"/>
            <w:vMerge w:val="restart"/>
            <w:shd w:val="clear" w:color="auto" w:fill="auto"/>
            <w:noWrap/>
            <w:vAlign w:val="center"/>
          </w:tcPr>
          <w:p>
            <w:pPr>
              <w:widowControl/>
              <w:jc w:val="center"/>
              <w:rPr>
                <w:rFonts w:ascii="Times New Roman" w:hAnsi="Times New Roman"/>
                <w:b/>
                <w:bCs/>
                <w:kern w:val="0"/>
                <w:szCs w:val="21"/>
              </w:rPr>
            </w:pPr>
            <w:r>
              <w:rPr>
                <w:rFonts w:hint="eastAsia" w:ascii="Times New Roman" w:hAnsi="Times New Roman"/>
                <w:b/>
                <w:bCs/>
                <w:kern w:val="0"/>
                <w:szCs w:val="21"/>
              </w:rPr>
              <w:t>主要</w:t>
            </w:r>
            <w:r>
              <w:rPr>
                <w:rFonts w:ascii="Times New Roman" w:hAnsi="Times New Roman"/>
                <w:b/>
                <w:bCs/>
                <w:kern w:val="0"/>
                <w:szCs w:val="21"/>
              </w:rPr>
              <w:t>保护对象</w:t>
            </w:r>
          </w:p>
        </w:tc>
        <w:tc>
          <w:tcPr>
            <w:tcW w:w="548" w:type="pct"/>
            <w:vMerge w:val="restart"/>
            <w:vAlign w:val="center"/>
          </w:tcPr>
          <w:p>
            <w:pPr>
              <w:widowControl/>
              <w:jc w:val="center"/>
              <w:rPr>
                <w:rFonts w:ascii="Times New Roman" w:hAnsi="Times New Roman"/>
                <w:b/>
                <w:bCs/>
                <w:kern w:val="0"/>
                <w:szCs w:val="21"/>
              </w:rPr>
            </w:pPr>
            <w:r>
              <w:rPr>
                <w:rFonts w:hint="eastAsia" w:ascii="Times New Roman" w:hAnsi="Times New Roman"/>
                <w:b/>
                <w:bCs/>
                <w:kern w:val="0"/>
                <w:szCs w:val="21"/>
              </w:rPr>
              <w:t>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8" w:type="pct"/>
            <w:vMerge w:val="continue"/>
            <w:shd w:val="clear" w:color="auto" w:fill="auto"/>
            <w:noWrap/>
            <w:vAlign w:val="center"/>
          </w:tcPr>
          <w:p>
            <w:pPr>
              <w:widowControl/>
              <w:jc w:val="center"/>
              <w:rPr>
                <w:rFonts w:ascii="Times New Roman" w:hAnsi="Times New Roman"/>
                <w:b/>
                <w:bCs/>
                <w:kern w:val="0"/>
                <w:szCs w:val="21"/>
              </w:rPr>
            </w:pPr>
          </w:p>
        </w:tc>
        <w:tc>
          <w:tcPr>
            <w:tcW w:w="731" w:type="pct"/>
            <w:vMerge w:val="continue"/>
            <w:shd w:val="clear" w:color="auto" w:fill="auto"/>
            <w:noWrap/>
            <w:vAlign w:val="center"/>
          </w:tcPr>
          <w:p>
            <w:pPr>
              <w:widowControl/>
              <w:jc w:val="center"/>
              <w:rPr>
                <w:rFonts w:ascii="Times New Roman" w:hAnsi="Times New Roman"/>
                <w:b/>
                <w:bCs/>
                <w:kern w:val="0"/>
                <w:szCs w:val="21"/>
              </w:rPr>
            </w:pPr>
          </w:p>
        </w:tc>
        <w:tc>
          <w:tcPr>
            <w:tcW w:w="568" w:type="pct"/>
            <w:vMerge w:val="continue"/>
            <w:shd w:val="clear" w:color="auto" w:fill="auto"/>
            <w:noWrap/>
            <w:vAlign w:val="center"/>
          </w:tcPr>
          <w:p>
            <w:pPr>
              <w:widowControl/>
              <w:jc w:val="center"/>
              <w:rPr>
                <w:rFonts w:ascii="Times New Roman" w:hAnsi="Times New Roman"/>
                <w:b/>
                <w:bCs/>
                <w:kern w:val="0"/>
                <w:szCs w:val="21"/>
              </w:rPr>
            </w:pPr>
          </w:p>
        </w:tc>
        <w:tc>
          <w:tcPr>
            <w:tcW w:w="447" w:type="pct"/>
            <w:shd w:val="clear" w:color="auto" w:fill="auto"/>
            <w:noWrap/>
            <w:vAlign w:val="center"/>
          </w:tcPr>
          <w:p>
            <w:pPr>
              <w:widowControl/>
              <w:jc w:val="center"/>
              <w:rPr>
                <w:rFonts w:ascii="Times New Roman" w:hAnsi="Times New Roman"/>
                <w:b/>
                <w:bCs/>
                <w:kern w:val="0"/>
                <w:szCs w:val="21"/>
              </w:rPr>
            </w:pPr>
            <w:r>
              <w:rPr>
                <w:rFonts w:hint="eastAsia" w:ascii="Times New Roman" w:hAnsi="Times New Roman"/>
                <w:b/>
                <w:bCs/>
                <w:kern w:val="0"/>
                <w:szCs w:val="21"/>
              </w:rPr>
              <w:t>总面积</w:t>
            </w:r>
          </w:p>
        </w:tc>
        <w:tc>
          <w:tcPr>
            <w:tcW w:w="448" w:type="pct"/>
            <w:shd w:val="clear" w:color="auto" w:fill="auto"/>
            <w:vAlign w:val="center"/>
          </w:tcPr>
          <w:p>
            <w:pPr>
              <w:widowControl/>
              <w:jc w:val="center"/>
              <w:rPr>
                <w:rFonts w:ascii="Times New Roman" w:hAnsi="Times New Roman"/>
                <w:b/>
                <w:bCs/>
                <w:kern w:val="0"/>
                <w:szCs w:val="21"/>
              </w:rPr>
            </w:pPr>
            <w:r>
              <w:rPr>
                <w:rFonts w:hint="eastAsia" w:ascii="Times New Roman" w:hAnsi="Times New Roman"/>
                <w:b/>
                <w:bCs/>
                <w:kern w:val="0"/>
                <w:szCs w:val="21"/>
              </w:rPr>
              <w:t>核心区</w:t>
            </w:r>
          </w:p>
        </w:tc>
        <w:tc>
          <w:tcPr>
            <w:tcW w:w="447" w:type="pct"/>
            <w:shd w:val="clear" w:color="auto" w:fill="auto"/>
            <w:vAlign w:val="center"/>
          </w:tcPr>
          <w:p>
            <w:pPr>
              <w:widowControl/>
              <w:jc w:val="center"/>
              <w:rPr>
                <w:rFonts w:ascii="Times New Roman" w:hAnsi="Times New Roman"/>
                <w:b/>
                <w:bCs/>
                <w:kern w:val="0"/>
                <w:szCs w:val="21"/>
              </w:rPr>
            </w:pPr>
            <w:r>
              <w:rPr>
                <w:rFonts w:hint="eastAsia" w:ascii="Times New Roman" w:hAnsi="Times New Roman"/>
                <w:b/>
                <w:bCs/>
                <w:kern w:val="0"/>
                <w:szCs w:val="21"/>
              </w:rPr>
              <w:t>缓冲区</w:t>
            </w:r>
          </w:p>
        </w:tc>
        <w:tc>
          <w:tcPr>
            <w:tcW w:w="448" w:type="pct"/>
            <w:shd w:val="clear" w:color="auto" w:fill="auto"/>
            <w:vAlign w:val="center"/>
          </w:tcPr>
          <w:p>
            <w:pPr>
              <w:widowControl/>
              <w:jc w:val="center"/>
              <w:rPr>
                <w:rFonts w:ascii="Times New Roman" w:hAnsi="Times New Roman"/>
                <w:b/>
                <w:bCs/>
                <w:kern w:val="0"/>
                <w:szCs w:val="21"/>
              </w:rPr>
            </w:pPr>
            <w:r>
              <w:rPr>
                <w:rFonts w:hint="eastAsia" w:ascii="Times New Roman" w:hAnsi="Times New Roman"/>
                <w:b/>
                <w:bCs/>
                <w:kern w:val="0"/>
                <w:szCs w:val="21"/>
              </w:rPr>
              <w:t>实验区</w:t>
            </w:r>
          </w:p>
        </w:tc>
        <w:tc>
          <w:tcPr>
            <w:tcW w:w="975" w:type="pct"/>
            <w:vMerge w:val="continue"/>
            <w:shd w:val="clear" w:color="auto" w:fill="auto"/>
            <w:noWrap/>
            <w:vAlign w:val="center"/>
          </w:tcPr>
          <w:p>
            <w:pPr>
              <w:widowControl/>
              <w:jc w:val="center"/>
              <w:rPr>
                <w:rFonts w:ascii="Times New Roman" w:hAnsi="Times New Roman"/>
                <w:b/>
                <w:bCs/>
                <w:kern w:val="0"/>
                <w:szCs w:val="21"/>
              </w:rPr>
            </w:pPr>
          </w:p>
        </w:tc>
        <w:tc>
          <w:tcPr>
            <w:tcW w:w="548" w:type="pct"/>
            <w:vMerge w:val="continue"/>
            <w:vAlign w:val="center"/>
          </w:tcPr>
          <w:p>
            <w:pPr>
              <w:widowControl/>
              <w:jc w:val="center"/>
              <w:rPr>
                <w:rFonts w:ascii="Times New Roman" w:hAnsi="Times New Roman"/>
                <w:b/>
                <w:bCs/>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8" w:type="pct"/>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1</w:t>
            </w:r>
          </w:p>
        </w:tc>
        <w:tc>
          <w:tcPr>
            <w:tcW w:w="731" w:type="pct"/>
            <w:shd w:val="clear" w:color="auto" w:fill="auto"/>
            <w:noWrap/>
            <w:vAlign w:val="center"/>
          </w:tcPr>
          <w:p>
            <w:pPr>
              <w:widowControl/>
              <w:jc w:val="center"/>
              <w:rPr>
                <w:rFonts w:ascii="Times New Roman" w:hAnsi="Times New Roman"/>
                <w:bCs/>
                <w:kern w:val="0"/>
                <w:szCs w:val="21"/>
              </w:rPr>
            </w:pPr>
            <w:r>
              <w:rPr>
                <w:rFonts w:hint="eastAsia" w:ascii="Times New Roman" w:hAnsi="Times New Roman"/>
                <w:bCs/>
                <w:kern w:val="0"/>
                <w:szCs w:val="21"/>
              </w:rPr>
              <w:t>哈巴湖自然保护区</w:t>
            </w:r>
          </w:p>
        </w:tc>
        <w:tc>
          <w:tcPr>
            <w:tcW w:w="568" w:type="pct"/>
            <w:shd w:val="clear" w:color="auto" w:fill="auto"/>
            <w:noWrap/>
            <w:vAlign w:val="center"/>
          </w:tcPr>
          <w:p>
            <w:pPr>
              <w:widowControl/>
              <w:jc w:val="center"/>
              <w:rPr>
                <w:rFonts w:ascii="Times New Roman" w:hAnsi="Times New Roman"/>
                <w:bCs/>
                <w:kern w:val="0"/>
                <w:szCs w:val="21"/>
              </w:rPr>
            </w:pPr>
            <w:r>
              <w:rPr>
                <w:rFonts w:hint="eastAsia" w:ascii="Times New Roman" w:hAnsi="Times New Roman"/>
                <w:bCs/>
                <w:kern w:val="0"/>
                <w:szCs w:val="21"/>
              </w:rPr>
              <w:t>国家级</w:t>
            </w:r>
          </w:p>
        </w:tc>
        <w:tc>
          <w:tcPr>
            <w:tcW w:w="447" w:type="pct"/>
            <w:shd w:val="clear" w:color="auto" w:fill="auto"/>
            <w:noWrap/>
            <w:vAlign w:val="center"/>
          </w:tcPr>
          <w:p>
            <w:pPr>
              <w:widowControl/>
              <w:jc w:val="center"/>
              <w:rPr>
                <w:rFonts w:ascii="Times New Roman" w:hAnsi="Times New Roman"/>
                <w:bCs/>
                <w:kern w:val="0"/>
                <w:szCs w:val="21"/>
              </w:rPr>
            </w:pPr>
            <w:r>
              <w:rPr>
                <w:rFonts w:ascii="Times New Roman" w:hAnsi="Times New Roman"/>
                <w:bCs/>
                <w:kern w:val="0"/>
                <w:szCs w:val="21"/>
              </w:rPr>
              <w:t xml:space="preserve">68000 </w:t>
            </w:r>
          </w:p>
        </w:tc>
        <w:tc>
          <w:tcPr>
            <w:tcW w:w="448" w:type="pct"/>
            <w:shd w:val="clear" w:color="auto" w:fill="auto"/>
            <w:vAlign w:val="center"/>
          </w:tcPr>
          <w:p>
            <w:pPr>
              <w:widowControl/>
              <w:jc w:val="center"/>
              <w:rPr>
                <w:rFonts w:ascii="Times New Roman" w:hAnsi="Times New Roman"/>
                <w:bCs/>
                <w:kern w:val="0"/>
                <w:szCs w:val="21"/>
              </w:rPr>
            </w:pPr>
            <w:r>
              <w:rPr>
                <w:rFonts w:ascii="Times New Roman" w:hAnsi="Times New Roman"/>
                <w:bCs/>
                <w:kern w:val="0"/>
                <w:szCs w:val="21"/>
              </w:rPr>
              <w:t>30159</w:t>
            </w:r>
          </w:p>
        </w:tc>
        <w:tc>
          <w:tcPr>
            <w:tcW w:w="447" w:type="pct"/>
            <w:shd w:val="clear" w:color="auto" w:fill="auto"/>
            <w:vAlign w:val="center"/>
          </w:tcPr>
          <w:p>
            <w:pPr>
              <w:widowControl/>
              <w:jc w:val="center"/>
              <w:rPr>
                <w:rFonts w:ascii="Times New Roman" w:hAnsi="Times New Roman"/>
                <w:bCs/>
                <w:kern w:val="0"/>
                <w:szCs w:val="21"/>
              </w:rPr>
            </w:pPr>
            <w:r>
              <w:rPr>
                <w:rFonts w:ascii="Times New Roman" w:hAnsi="Times New Roman"/>
                <w:bCs/>
                <w:kern w:val="0"/>
                <w:szCs w:val="21"/>
              </w:rPr>
              <w:t>17799</w:t>
            </w:r>
          </w:p>
        </w:tc>
        <w:tc>
          <w:tcPr>
            <w:tcW w:w="448" w:type="pct"/>
            <w:shd w:val="clear" w:color="auto" w:fill="auto"/>
            <w:vAlign w:val="center"/>
          </w:tcPr>
          <w:p>
            <w:pPr>
              <w:widowControl/>
              <w:jc w:val="center"/>
              <w:rPr>
                <w:rFonts w:ascii="Times New Roman" w:hAnsi="Times New Roman"/>
                <w:bCs/>
                <w:kern w:val="0"/>
                <w:szCs w:val="21"/>
              </w:rPr>
            </w:pPr>
            <w:r>
              <w:rPr>
                <w:rFonts w:ascii="Times New Roman" w:hAnsi="Times New Roman"/>
                <w:bCs/>
                <w:kern w:val="0"/>
                <w:szCs w:val="21"/>
              </w:rPr>
              <w:t>20042</w:t>
            </w:r>
          </w:p>
        </w:tc>
        <w:tc>
          <w:tcPr>
            <w:tcW w:w="975" w:type="pct"/>
            <w:shd w:val="clear" w:color="auto" w:fill="auto"/>
            <w:noWrap/>
            <w:vAlign w:val="center"/>
          </w:tcPr>
          <w:p>
            <w:pPr>
              <w:widowControl/>
              <w:jc w:val="left"/>
              <w:rPr>
                <w:rFonts w:ascii="Times New Roman" w:hAnsi="Times New Roman"/>
                <w:bCs/>
                <w:kern w:val="0"/>
                <w:szCs w:val="21"/>
              </w:rPr>
            </w:pPr>
            <w:r>
              <w:rPr>
                <w:rFonts w:hint="eastAsia" w:ascii="Times New Roman" w:hAnsi="Times New Roman"/>
                <w:bCs/>
                <w:kern w:val="0"/>
                <w:szCs w:val="21"/>
              </w:rPr>
              <w:t>以保护荒漠草原—湿地生态系统、珍稀濒危动植物和毛乌素沙地丰富的地下水为宗旨，集资源保护、科学研究、生态旅游于一体的自然保护区</w:t>
            </w:r>
          </w:p>
        </w:tc>
        <w:tc>
          <w:tcPr>
            <w:tcW w:w="548" w:type="pct"/>
            <w:vAlign w:val="center"/>
          </w:tcPr>
          <w:p>
            <w:pPr>
              <w:widowControl/>
              <w:jc w:val="center"/>
              <w:rPr>
                <w:rFonts w:ascii="Times New Roman" w:hAnsi="Times New Roman"/>
                <w:bCs/>
                <w:kern w:val="0"/>
                <w:szCs w:val="21"/>
              </w:rPr>
            </w:pPr>
            <w:r>
              <w:rPr>
                <w:rFonts w:hint="eastAsia" w:ascii="Times New Roman" w:hAnsi="Times New Roman"/>
                <w:bCs/>
                <w:kern w:val="0"/>
                <w:szCs w:val="21"/>
              </w:rPr>
              <w:t>荒漠-湿地生态系统</w:t>
            </w:r>
          </w:p>
        </w:tc>
      </w:tr>
    </w:tbl>
    <w:p>
      <w:pPr>
        <w:adjustRightInd w:val="0"/>
        <w:snapToGrid w:val="0"/>
        <w:spacing w:line="360" w:lineRule="auto"/>
        <w:ind w:firstLine="560" w:firstLineChars="200"/>
        <w:rPr>
          <w:rFonts w:ascii="仿宋_GB2312" w:eastAsia="仿宋_GB2312"/>
          <w:sz w:val="28"/>
          <w:szCs w:val="28"/>
        </w:r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⑵重要湿地</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根据《盐池县人民政府办公室关于印发盐池县湿地保护修复制度工作方案的通知》（盐政办发〔2019〕51号），盐池县在2016年完成了全县湿地的确权工作，根据生态区位、生态功能和生物多样性功能等因素，将我县的湿地划分为重要湿地和一般湿地，最终登记的湿地</w:t>
      </w:r>
      <w:r>
        <w:rPr>
          <w:rFonts w:hint="eastAsia" w:ascii="仿宋_GB2312" w:eastAsia="仿宋_GB2312"/>
          <w:sz w:val="28"/>
          <w:szCs w:val="28"/>
          <w:lang w:val="en-US" w:eastAsia="zh-CN"/>
        </w:rPr>
        <w:t>斑块</w:t>
      </w:r>
      <w:r>
        <w:rPr>
          <w:rFonts w:hint="eastAsia" w:ascii="仿宋_GB2312" w:eastAsia="仿宋_GB2312"/>
          <w:sz w:val="28"/>
          <w:szCs w:val="28"/>
        </w:rPr>
        <w:t>为121个，面积18945公顷，其中：哈巴湖国家级自然保护区湿地属于国家级重要湿地，共38个小</w:t>
      </w:r>
      <w:r>
        <w:rPr>
          <w:rFonts w:hint="eastAsia" w:ascii="仿宋_GB2312" w:eastAsia="仿宋_GB2312"/>
          <w:sz w:val="28"/>
          <w:szCs w:val="28"/>
          <w:lang w:val="en-US" w:eastAsia="zh-CN"/>
        </w:rPr>
        <w:t>斑</w:t>
      </w:r>
      <w:r>
        <w:rPr>
          <w:rFonts w:hint="eastAsia" w:ascii="仿宋_GB2312" w:eastAsia="仿宋_GB2312"/>
          <w:sz w:val="28"/>
          <w:szCs w:val="28"/>
        </w:rPr>
        <w:t>，面积10733公顷；其余湿地均属于一般湿地，分布于8个乡镇，共83个小斑，8212公顷。</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㈡生态空间及生态保护红线划定范围</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严格落实《宁夏回族自治区生态保护红线条例》管理要求，根据自治区和吴忠市生态保护红线划定结果，盐池县生态保护红线面积为1153.64平方公里，占县域总面积的17.6%，其中国家级自然保护区1处，占地面积68000公顷（具体见图4-1）。</w:t>
      </w:r>
    </w:p>
    <w:p>
      <w:pPr>
        <w:adjustRightInd w:val="0"/>
        <w:snapToGrid w:val="0"/>
        <w:spacing w:line="360" w:lineRule="auto"/>
        <w:ind w:firstLine="560" w:firstLineChars="200"/>
        <w:rPr>
          <w:rFonts w:ascii="仿宋_GB2312" w:hAnsi="黑体" w:eastAsia="仿宋_GB2312"/>
          <w:sz w:val="28"/>
          <w:szCs w:val="28"/>
        </w:rPr>
      </w:pPr>
    </w:p>
    <w:p>
      <w:pPr>
        <w:adjustRightInd w:val="0"/>
        <w:snapToGrid w:val="0"/>
        <w:spacing w:line="360" w:lineRule="auto"/>
        <w:jc w:val="center"/>
        <w:rPr>
          <w:rFonts w:ascii="仿宋_GB2312" w:eastAsia="仿宋_GB2312"/>
          <w:sz w:val="28"/>
          <w:szCs w:val="28"/>
        </w:rPr>
      </w:pPr>
      <w:r>
        <w:drawing>
          <wp:inline distT="0" distB="0" distL="0" distR="0">
            <wp:extent cx="5400675" cy="7690485"/>
            <wp:effectExtent l="0" t="0" r="0" b="5715"/>
            <wp:docPr id="1" name="图片 1" descr="附图4  盐池县生态保护红线划定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4  盐池县生态保护红线划定示意图"/>
                    <pic:cNvPicPr>
                      <a:picLocks noChangeAspect="1" noChangeArrowheads="1"/>
                    </pic:cNvPicPr>
                  </pic:nvPicPr>
                  <pic:blipFill>
                    <a:blip r:embed="rId13" cstate="print">
                      <a:extLst>
                        <a:ext uri="{28A0092B-C50C-407E-A947-70E740481C1C}">
                          <a14:useLocalDpi xmlns:a14="http://schemas.microsoft.com/office/drawing/2010/main" val="0"/>
                        </a:ext>
                      </a:extLst>
                    </a:blip>
                    <a:srcRect l="2117" t="996" r="2625" b="3237"/>
                    <a:stretch>
                      <a:fillRect/>
                    </a:stretch>
                  </pic:blipFill>
                  <pic:spPr>
                    <a:xfrm>
                      <a:off x="0" y="0"/>
                      <a:ext cx="5401174" cy="7691672"/>
                    </a:xfrm>
                    <a:prstGeom prst="rect">
                      <a:avLst/>
                    </a:prstGeom>
                    <a:noFill/>
                    <a:ln>
                      <a:noFill/>
                    </a:ln>
                  </pic:spPr>
                </pic:pic>
              </a:graphicData>
            </a:graphic>
          </wp:inline>
        </w:drawing>
      </w:r>
    </w:p>
    <w:p>
      <w:pPr>
        <w:adjustRightInd w:val="0"/>
        <w:snapToGrid w:val="0"/>
        <w:spacing w:line="360" w:lineRule="auto"/>
        <w:jc w:val="center"/>
        <w:rPr>
          <w:rFonts w:ascii="仿宋_GB2312" w:eastAsia="仿宋_GB2312"/>
          <w:sz w:val="28"/>
          <w:szCs w:val="28"/>
        </w:rPr>
      </w:pPr>
      <w:r>
        <w:rPr>
          <w:rFonts w:hint="eastAsia" w:ascii="仿宋_GB2312" w:eastAsia="仿宋_GB2312"/>
          <w:sz w:val="28"/>
          <w:szCs w:val="28"/>
        </w:rPr>
        <w:t>图4-1   盐池县生态保护红线分布</w:t>
      </w:r>
    </w:p>
    <w:p>
      <w:pPr>
        <w:adjustRightInd w:val="0"/>
        <w:snapToGrid w:val="0"/>
        <w:spacing w:line="360" w:lineRule="auto"/>
        <w:ind w:firstLine="560" w:firstLineChars="200"/>
        <w:rPr>
          <w:rFonts w:ascii="仿宋_GB2312" w:hAnsi="黑体" w:eastAsia="仿宋_GB2312"/>
          <w:sz w:val="28"/>
          <w:szCs w:val="28"/>
        </w:r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㈢河湖岸线划定范围</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市级沟道有苦水河，县级沟道包括马莲河、红山沟等43条沟道以及哈巴湖、盐场湖2个湖泊。根据《盐池县人民政府办公室关于印发&lt;河湖水域岸线划界工作实施方案&gt;的通知》，流经盐池县流域面积大于1000平方公里的三条河(沟)道包括苦水河(甜水堡主沟、小河沟)、马莲河(浅井沟主沟)、西川河(桑家沟)，具体见表4-3。</w:t>
      </w:r>
    </w:p>
    <w:p>
      <w:pPr>
        <w:pStyle w:val="13"/>
        <w:shd w:val="clear" w:color="auto" w:fill="FFFFFF"/>
        <w:adjustRightInd w:val="0"/>
        <w:snapToGrid w:val="0"/>
        <w:spacing w:before="0" w:beforeAutospacing="0" w:after="0" w:afterAutospacing="0" w:line="360" w:lineRule="auto"/>
        <w:jc w:val="center"/>
        <w:rPr>
          <w:rFonts w:ascii="Times New Roman" w:hAnsi="Times New Roman" w:cs="Times New Roman" w:eastAsiaTheme="majorEastAsia"/>
          <w:b/>
          <w:bCs/>
          <w:shd w:val="clear" w:color="auto" w:fill="FFFFFF"/>
        </w:rPr>
      </w:pPr>
      <w:r>
        <w:rPr>
          <w:rFonts w:ascii="Times New Roman" w:hAnsi="Times New Roman" w:cs="Times New Roman" w:eastAsiaTheme="majorEastAsia"/>
          <w:b/>
          <w:bCs/>
          <w:shd w:val="clear" w:color="auto" w:fill="FFFFFF"/>
        </w:rPr>
        <w:t>表</w:t>
      </w:r>
      <w:r>
        <w:rPr>
          <w:rFonts w:hint="eastAsia" w:ascii="Times New Roman" w:hAnsi="Times New Roman" w:cs="Times New Roman" w:eastAsiaTheme="majorEastAsia"/>
          <w:b/>
          <w:bCs/>
          <w:shd w:val="clear" w:color="auto" w:fill="FFFFFF"/>
        </w:rPr>
        <w:t>4-3</w:t>
      </w:r>
      <w:r>
        <w:rPr>
          <w:rFonts w:ascii="Times New Roman" w:hAnsi="Times New Roman" w:cs="Times New Roman" w:eastAsiaTheme="majorEastAsia"/>
          <w:b/>
          <w:bCs/>
          <w:shd w:val="clear" w:color="auto" w:fill="FFFFFF"/>
        </w:rPr>
        <w:t xml:space="preserve"> 流域面积大于1000平方公里三条河（沟）道基本情况</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1"/>
        <w:gridCol w:w="1332"/>
        <w:gridCol w:w="1106"/>
        <w:gridCol w:w="2126"/>
        <w:gridCol w:w="1226"/>
        <w:gridCol w:w="19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34" w:type="pct"/>
            <w:vMerge w:val="restart"/>
            <w:vAlign w:val="center"/>
          </w:tcPr>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河道</w:t>
            </w:r>
          </w:p>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名称</w:t>
            </w:r>
          </w:p>
        </w:tc>
        <w:tc>
          <w:tcPr>
            <w:tcW w:w="4466" w:type="pct"/>
            <w:gridSpan w:val="5"/>
            <w:vAlign w:val="center"/>
          </w:tcPr>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河湖沟道基本概况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534" w:type="pct"/>
            <w:vMerge w:val="continue"/>
            <w:vAlign w:val="center"/>
          </w:tcPr>
          <w:p>
            <w:pPr>
              <w:widowControl/>
              <w:jc w:val="left"/>
              <w:rPr>
                <w:rFonts w:ascii="Times New Roman" w:hAnsi="Times New Roman" w:cs="Times New Roman"/>
                <w:b/>
                <w:bCs/>
                <w:spacing w:val="8"/>
                <w:kern w:val="0"/>
                <w:szCs w:val="21"/>
                <w:shd w:val="clear" w:color="auto" w:fill="FFFFFF"/>
              </w:rPr>
            </w:pPr>
          </w:p>
        </w:tc>
        <w:tc>
          <w:tcPr>
            <w:tcW w:w="764" w:type="pct"/>
            <w:vAlign w:val="center"/>
          </w:tcPr>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流经地（乡、镇）</w:t>
            </w:r>
          </w:p>
        </w:tc>
        <w:tc>
          <w:tcPr>
            <w:tcW w:w="634" w:type="pct"/>
            <w:vAlign w:val="center"/>
          </w:tcPr>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长度</w:t>
            </w:r>
          </w:p>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（km）</w:t>
            </w:r>
          </w:p>
        </w:tc>
        <w:tc>
          <w:tcPr>
            <w:tcW w:w="1219" w:type="pct"/>
            <w:vAlign w:val="center"/>
          </w:tcPr>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起</w:t>
            </w:r>
            <w:r>
              <w:rPr>
                <w:rFonts w:ascii="Times New Roman" w:hAnsi="Times New Roman" w:cs="Times New Roman"/>
                <w:b/>
                <w:bCs/>
                <w:sz w:val="21"/>
                <w:szCs w:val="21"/>
                <w:lang w:bidi="ar"/>
              </w:rPr>
              <w:t>、</w:t>
            </w:r>
            <w:r>
              <w:rPr>
                <w:rFonts w:ascii="Times New Roman" w:hAnsi="Times New Roman" w:cs="Times New Roman"/>
                <w:b/>
                <w:bCs/>
                <w:spacing w:val="8"/>
                <w:sz w:val="21"/>
                <w:szCs w:val="21"/>
                <w:shd w:val="clear" w:color="auto" w:fill="FFFFFF"/>
              </w:rPr>
              <w:t>地点</w:t>
            </w:r>
          </w:p>
        </w:tc>
        <w:tc>
          <w:tcPr>
            <w:tcW w:w="703" w:type="pct"/>
            <w:vAlign w:val="center"/>
          </w:tcPr>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保护对象</w:t>
            </w:r>
          </w:p>
        </w:tc>
        <w:tc>
          <w:tcPr>
            <w:tcW w:w="1146" w:type="pct"/>
            <w:vAlign w:val="center"/>
          </w:tcPr>
          <w:p>
            <w:pPr>
              <w:pStyle w:val="13"/>
              <w:spacing w:before="0" w:beforeAutospacing="0" w:after="0" w:afterAutospacing="0" w:line="260" w:lineRule="exact"/>
              <w:jc w:val="center"/>
              <w:rPr>
                <w:rFonts w:ascii="Times New Roman" w:hAnsi="Times New Roman" w:cs="Times New Roman"/>
                <w:b/>
                <w:bCs/>
                <w:spacing w:val="8"/>
                <w:sz w:val="21"/>
                <w:szCs w:val="21"/>
                <w:shd w:val="clear" w:color="auto" w:fill="FFFFFF"/>
              </w:rPr>
            </w:pPr>
            <w:r>
              <w:rPr>
                <w:rFonts w:ascii="Times New Roman" w:hAnsi="Times New Roman" w:cs="Times New Roman"/>
                <w:b/>
                <w:bCs/>
                <w:spacing w:val="8"/>
                <w:sz w:val="21"/>
                <w:szCs w:val="21"/>
                <w:shd w:val="clear" w:color="auto" w:fill="FFFFFF"/>
              </w:rPr>
              <w:t>重点任务及目标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5" w:hRule="atLeast"/>
        </w:trPr>
        <w:tc>
          <w:tcPr>
            <w:tcW w:w="534" w:type="pct"/>
            <w:vAlign w:val="center"/>
          </w:tcPr>
          <w:p>
            <w:pPr>
              <w:pStyle w:val="13"/>
              <w:spacing w:before="0" w:beforeAutospacing="0" w:after="0" w:afterAutospacing="0" w:line="260" w:lineRule="exact"/>
              <w:jc w:val="center"/>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甜水堡主沟、小河沟</w:t>
            </w:r>
          </w:p>
        </w:tc>
        <w:tc>
          <w:tcPr>
            <w:tcW w:w="764" w:type="pct"/>
            <w:vAlign w:val="center"/>
          </w:tcPr>
          <w:p>
            <w:pPr>
              <w:pStyle w:val="13"/>
              <w:spacing w:before="0" w:beforeAutospacing="0" w:after="0" w:afterAutospacing="0" w:line="260" w:lineRule="exact"/>
              <w:jc w:val="center"/>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惠安堡镇</w:t>
            </w:r>
          </w:p>
          <w:p>
            <w:pPr>
              <w:pStyle w:val="13"/>
              <w:spacing w:before="0" w:beforeAutospacing="0" w:after="0" w:afterAutospacing="0" w:line="260" w:lineRule="exact"/>
              <w:jc w:val="center"/>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大水坑镇</w:t>
            </w:r>
          </w:p>
        </w:tc>
        <w:tc>
          <w:tcPr>
            <w:tcW w:w="634" w:type="pct"/>
            <w:vAlign w:val="center"/>
          </w:tcPr>
          <w:p>
            <w:pPr>
              <w:pStyle w:val="13"/>
              <w:spacing w:before="0" w:beforeAutospacing="0" w:after="0" w:afterAutospacing="0" w:line="260" w:lineRule="exact"/>
              <w:jc w:val="center"/>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73.36</w:t>
            </w:r>
          </w:p>
        </w:tc>
        <w:tc>
          <w:tcPr>
            <w:tcW w:w="1219" w:type="pct"/>
            <w:vAlign w:val="center"/>
          </w:tcPr>
          <w:p>
            <w:pPr>
              <w:pStyle w:val="13"/>
              <w:spacing w:before="0" w:beforeAutospacing="0" w:after="0" w:afterAutospacing="0" w:line="260" w:lineRule="exact"/>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甜水堡主沟起于北窑子自然村至刘石咀自然村</w:t>
            </w:r>
          </w:p>
          <w:p>
            <w:pPr>
              <w:pStyle w:val="13"/>
              <w:spacing w:before="0" w:beforeAutospacing="0" w:after="0" w:afterAutospacing="0" w:line="260" w:lineRule="exact"/>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小河沟起于</w:t>
            </w:r>
            <w:r>
              <w:rPr>
                <w:rFonts w:ascii="Times New Roman" w:hAnsi="Times New Roman" w:cs="Times New Roman"/>
                <w:bCs/>
                <w:sz w:val="21"/>
                <w:szCs w:val="21"/>
                <w:lang w:bidi="ar"/>
              </w:rPr>
              <w:t>大水坑镇向阳村至惠安堡镇隰宁堡村</w:t>
            </w:r>
          </w:p>
        </w:tc>
        <w:tc>
          <w:tcPr>
            <w:tcW w:w="703" w:type="pct"/>
            <w:vAlign w:val="center"/>
          </w:tcPr>
          <w:p>
            <w:pPr>
              <w:widowControl/>
              <w:spacing w:line="260" w:lineRule="exact"/>
              <w:jc w:val="center"/>
              <w:rPr>
                <w:rFonts w:ascii="Times New Roman" w:hAnsi="Times New Roman" w:cs="Times New Roman"/>
                <w:bCs/>
                <w:kern w:val="0"/>
                <w:szCs w:val="21"/>
                <w:lang w:bidi="ar"/>
              </w:rPr>
            </w:pPr>
            <w:r>
              <w:rPr>
                <w:rFonts w:ascii="Times New Roman" w:hAnsi="Times New Roman" w:cs="Times New Roman"/>
                <w:bCs/>
                <w:kern w:val="0"/>
                <w:szCs w:val="21"/>
                <w:lang w:bidi="ar"/>
              </w:rPr>
              <w:t>农田、村庄</w:t>
            </w:r>
          </w:p>
        </w:tc>
        <w:tc>
          <w:tcPr>
            <w:tcW w:w="1146" w:type="pct"/>
            <w:vAlign w:val="center"/>
          </w:tcPr>
          <w:p>
            <w:pPr>
              <w:widowControl/>
              <w:spacing w:line="260" w:lineRule="exact"/>
              <w:jc w:val="center"/>
              <w:rPr>
                <w:rFonts w:ascii="Times New Roman" w:hAnsi="Times New Roman" w:cs="Times New Roman"/>
                <w:bCs/>
                <w:szCs w:val="21"/>
              </w:rPr>
            </w:pPr>
            <w:r>
              <w:rPr>
                <w:rFonts w:ascii="Times New Roman" w:hAnsi="Times New Roman" w:cs="Times New Roman"/>
                <w:szCs w:val="21"/>
              </w:rPr>
              <w:t>加强水环境综合治理、保障防洪安全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9" w:hRule="atLeast"/>
        </w:trPr>
        <w:tc>
          <w:tcPr>
            <w:tcW w:w="534" w:type="pct"/>
            <w:vAlign w:val="center"/>
          </w:tcPr>
          <w:p>
            <w:pPr>
              <w:pStyle w:val="13"/>
              <w:spacing w:before="0" w:beforeAutospacing="0" w:after="0" w:afterAutospacing="0" w:line="260" w:lineRule="exact"/>
              <w:jc w:val="center"/>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西川河（桑家沟）</w:t>
            </w:r>
          </w:p>
        </w:tc>
        <w:tc>
          <w:tcPr>
            <w:tcW w:w="764" w:type="pct"/>
            <w:vAlign w:val="center"/>
          </w:tcPr>
          <w:p>
            <w:pPr>
              <w:pStyle w:val="13"/>
              <w:spacing w:before="0" w:beforeAutospacing="0" w:after="0" w:afterAutospacing="0" w:line="260" w:lineRule="exact"/>
              <w:jc w:val="center"/>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麻黄山乡</w:t>
            </w:r>
          </w:p>
        </w:tc>
        <w:tc>
          <w:tcPr>
            <w:tcW w:w="634" w:type="pct"/>
            <w:vAlign w:val="center"/>
          </w:tcPr>
          <w:p>
            <w:pPr>
              <w:pStyle w:val="13"/>
              <w:spacing w:before="0" w:beforeAutospacing="0" w:after="0" w:afterAutospacing="0" w:line="260" w:lineRule="exact"/>
              <w:ind w:firstLine="226" w:firstLineChars="100"/>
              <w:jc w:val="center"/>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23.2</w:t>
            </w:r>
          </w:p>
        </w:tc>
        <w:tc>
          <w:tcPr>
            <w:tcW w:w="1219" w:type="pct"/>
            <w:vAlign w:val="center"/>
          </w:tcPr>
          <w:p>
            <w:pPr>
              <w:pStyle w:val="13"/>
              <w:spacing w:before="0" w:beforeAutospacing="0" w:after="0" w:afterAutospacing="0" w:line="260" w:lineRule="exact"/>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何新庄自然村至天池塘自然村</w:t>
            </w:r>
          </w:p>
        </w:tc>
        <w:tc>
          <w:tcPr>
            <w:tcW w:w="703" w:type="pct"/>
            <w:vAlign w:val="center"/>
          </w:tcPr>
          <w:p>
            <w:pPr>
              <w:widowControl/>
              <w:spacing w:line="260" w:lineRule="exact"/>
              <w:jc w:val="center"/>
              <w:rPr>
                <w:rFonts w:ascii="Times New Roman" w:hAnsi="Times New Roman" w:cs="Times New Roman"/>
                <w:bCs/>
                <w:kern w:val="0"/>
                <w:szCs w:val="21"/>
                <w:lang w:bidi="ar"/>
              </w:rPr>
            </w:pPr>
            <w:r>
              <w:rPr>
                <w:rFonts w:ascii="Times New Roman" w:hAnsi="Times New Roman" w:cs="Times New Roman"/>
                <w:bCs/>
                <w:kern w:val="0"/>
                <w:szCs w:val="21"/>
                <w:lang w:bidi="ar"/>
              </w:rPr>
              <w:t>农田、村庄</w:t>
            </w:r>
          </w:p>
        </w:tc>
        <w:tc>
          <w:tcPr>
            <w:tcW w:w="1146" w:type="pct"/>
            <w:vAlign w:val="center"/>
          </w:tcPr>
          <w:p>
            <w:pPr>
              <w:widowControl/>
              <w:spacing w:line="260" w:lineRule="exact"/>
              <w:jc w:val="center"/>
              <w:rPr>
                <w:rFonts w:ascii="Times New Roman" w:hAnsi="Times New Roman" w:cs="Times New Roman"/>
                <w:bCs/>
                <w:szCs w:val="21"/>
              </w:rPr>
            </w:pPr>
            <w:r>
              <w:rPr>
                <w:rFonts w:ascii="Times New Roman" w:hAnsi="Times New Roman" w:cs="Times New Roman"/>
                <w:szCs w:val="21"/>
              </w:rPr>
              <w:t>加强水环境综合治理、保障防洪安全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3" w:hRule="atLeast"/>
        </w:trPr>
        <w:tc>
          <w:tcPr>
            <w:tcW w:w="534" w:type="pct"/>
            <w:vAlign w:val="center"/>
          </w:tcPr>
          <w:p>
            <w:pPr>
              <w:pStyle w:val="13"/>
              <w:spacing w:before="0" w:beforeAutospacing="0" w:after="0" w:afterAutospacing="0" w:line="260" w:lineRule="exact"/>
              <w:jc w:val="center"/>
              <w:rPr>
                <w:rFonts w:ascii="Times New Roman" w:hAnsi="Times New Roman" w:cs="Times New Roman"/>
                <w:spacing w:val="8"/>
                <w:sz w:val="21"/>
                <w:szCs w:val="21"/>
                <w:shd w:val="clear" w:color="auto" w:fill="FFFFFF"/>
              </w:rPr>
            </w:pPr>
            <w:r>
              <w:rPr>
                <w:rFonts w:ascii="Times New Roman" w:hAnsi="Times New Roman" w:cs="Times New Roman"/>
                <w:spacing w:val="8"/>
                <w:sz w:val="21"/>
                <w:szCs w:val="21"/>
                <w:shd w:val="clear" w:color="auto" w:fill="FFFFFF"/>
              </w:rPr>
              <w:t>马莲河（浅井沟主沟）</w:t>
            </w:r>
          </w:p>
        </w:tc>
        <w:tc>
          <w:tcPr>
            <w:tcW w:w="764" w:type="pct"/>
            <w:vAlign w:val="center"/>
          </w:tcPr>
          <w:p>
            <w:pPr>
              <w:widowControl/>
              <w:spacing w:line="260" w:lineRule="exact"/>
              <w:jc w:val="center"/>
              <w:rPr>
                <w:rFonts w:ascii="Times New Roman" w:hAnsi="Times New Roman" w:cs="Times New Roman"/>
                <w:bCs/>
                <w:kern w:val="0"/>
                <w:szCs w:val="21"/>
                <w:lang w:bidi="ar"/>
              </w:rPr>
            </w:pPr>
            <w:r>
              <w:rPr>
                <w:rFonts w:ascii="Times New Roman" w:hAnsi="Times New Roman" w:cs="Times New Roman"/>
                <w:bCs/>
                <w:kern w:val="0"/>
                <w:szCs w:val="21"/>
                <w:lang w:bidi="ar"/>
              </w:rPr>
              <w:t>麻黄山乡</w:t>
            </w:r>
          </w:p>
          <w:p>
            <w:pPr>
              <w:widowControl/>
              <w:spacing w:line="260" w:lineRule="exact"/>
              <w:jc w:val="center"/>
              <w:rPr>
                <w:rFonts w:ascii="Times New Roman" w:hAnsi="Times New Roman" w:cs="Times New Roman"/>
                <w:spacing w:val="8"/>
                <w:szCs w:val="21"/>
                <w:shd w:val="clear" w:color="auto" w:fill="FFFFFF"/>
              </w:rPr>
            </w:pPr>
            <w:r>
              <w:rPr>
                <w:rFonts w:ascii="Times New Roman" w:hAnsi="Times New Roman" w:cs="Times New Roman"/>
                <w:bCs/>
                <w:kern w:val="0"/>
                <w:szCs w:val="21"/>
                <w:lang w:bidi="ar"/>
              </w:rPr>
              <w:t>大水坑镇</w:t>
            </w:r>
          </w:p>
        </w:tc>
        <w:tc>
          <w:tcPr>
            <w:tcW w:w="634" w:type="pct"/>
            <w:vAlign w:val="center"/>
          </w:tcPr>
          <w:p>
            <w:pPr>
              <w:widowControl/>
              <w:spacing w:line="260" w:lineRule="exact"/>
              <w:jc w:val="center"/>
              <w:rPr>
                <w:rFonts w:ascii="Times New Roman" w:hAnsi="Times New Roman" w:cs="Times New Roman"/>
                <w:spacing w:val="8"/>
                <w:szCs w:val="21"/>
                <w:shd w:val="clear" w:color="auto" w:fill="FFFFFF"/>
              </w:rPr>
            </w:pPr>
            <w:r>
              <w:rPr>
                <w:rFonts w:ascii="Times New Roman" w:hAnsi="Times New Roman" w:cs="Times New Roman"/>
                <w:bCs/>
                <w:kern w:val="0"/>
                <w:szCs w:val="21"/>
                <w:lang w:bidi="ar"/>
              </w:rPr>
              <w:t>46.04</w:t>
            </w:r>
          </w:p>
        </w:tc>
        <w:tc>
          <w:tcPr>
            <w:tcW w:w="1219" w:type="pct"/>
            <w:vAlign w:val="center"/>
          </w:tcPr>
          <w:p>
            <w:pPr>
              <w:widowControl/>
              <w:spacing w:line="260" w:lineRule="exact"/>
              <w:jc w:val="left"/>
              <w:rPr>
                <w:rFonts w:ascii="Times New Roman" w:hAnsi="Times New Roman" w:cs="Times New Roman"/>
                <w:spacing w:val="8"/>
                <w:szCs w:val="21"/>
                <w:shd w:val="clear" w:color="auto" w:fill="FFFFFF"/>
              </w:rPr>
            </w:pPr>
            <w:r>
              <w:rPr>
                <w:rFonts w:ascii="Times New Roman" w:hAnsi="Times New Roman" w:cs="Times New Roman"/>
                <w:bCs/>
                <w:kern w:val="0"/>
                <w:szCs w:val="21"/>
                <w:lang w:bidi="ar"/>
              </w:rPr>
              <w:t>麻黄山乡麻黄山村至大水坑镇东风村</w:t>
            </w:r>
          </w:p>
        </w:tc>
        <w:tc>
          <w:tcPr>
            <w:tcW w:w="703" w:type="pct"/>
            <w:vAlign w:val="center"/>
          </w:tcPr>
          <w:p>
            <w:pPr>
              <w:widowControl/>
              <w:spacing w:line="260" w:lineRule="exact"/>
              <w:jc w:val="center"/>
              <w:rPr>
                <w:rFonts w:ascii="Times New Roman" w:hAnsi="Times New Roman" w:cs="Times New Roman"/>
                <w:bCs/>
                <w:kern w:val="0"/>
                <w:szCs w:val="21"/>
                <w:lang w:bidi="ar"/>
              </w:rPr>
            </w:pPr>
            <w:r>
              <w:rPr>
                <w:rFonts w:ascii="Times New Roman" w:hAnsi="Times New Roman" w:cs="Times New Roman"/>
                <w:bCs/>
                <w:kern w:val="0"/>
                <w:szCs w:val="21"/>
                <w:lang w:bidi="ar"/>
              </w:rPr>
              <w:t>农田、村庄</w:t>
            </w:r>
          </w:p>
        </w:tc>
        <w:tc>
          <w:tcPr>
            <w:tcW w:w="1146" w:type="pct"/>
            <w:vAlign w:val="center"/>
          </w:tcPr>
          <w:p>
            <w:pPr>
              <w:widowControl/>
              <w:spacing w:line="260" w:lineRule="exact"/>
              <w:jc w:val="center"/>
              <w:rPr>
                <w:rFonts w:ascii="Times New Roman" w:hAnsi="Times New Roman" w:cs="Times New Roman"/>
                <w:bCs/>
                <w:szCs w:val="21"/>
              </w:rPr>
            </w:pPr>
            <w:r>
              <w:rPr>
                <w:rFonts w:ascii="Times New Roman" w:hAnsi="Times New Roman" w:cs="Times New Roman"/>
                <w:szCs w:val="21"/>
              </w:rPr>
              <w:t>加强水环境综合治理、保障防洪安全</w:t>
            </w:r>
          </w:p>
        </w:tc>
      </w:tr>
    </w:tbl>
    <w:p>
      <w:pPr>
        <w:adjustRightInd w:val="0"/>
        <w:snapToGrid w:val="0"/>
        <w:spacing w:before="156" w:beforeLines="50" w:line="360" w:lineRule="auto"/>
        <w:ind w:firstLine="560" w:firstLineChars="200"/>
        <w:rPr>
          <w:rFonts w:ascii="仿宋_GB2312" w:hAnsi="黑体" w:eastAsia="仿宋_GB2312"/>
          <w:sz w:val="28"/>
          <w:szCs w:val="28"/>
        </w:rPr>
      </w:pPr>
      <w:r>
        <w:rPr>
          <w:rFonts w:hint="eastAsia" w:ascii="仿宋_GB2312" w:eastAsia="仿宋_GB2312"/>
          <w:sz w:val="28"/>
          <w:szCs w:val="28"/>
        </w:rPr>
        <w:t>根据盐池县河湖水域岸线划界确权工作方案，盐池县已完成苦水河、马莲河、红山沟、李记沟、雷家沟、西沟、泾河盐池县段等河湖水域岸线划界确权工作，划定面积212.915</w:t>
      </w:r>
      <w:r>
        <w:rPr>
          <w:rFonts w:ascii="Times New Roman" w:hAnsi="Times New Roman" w:eastAsiaTheme="majorEastAsia"/>
          <w:b/>
          <w:kern w:val="0"/>
          <w:szCs w:val="21"/>
        </w:rPr>
        <w:t xml:space="preserve"> </w:t>
      </w:r>
      <w:r>
        <w:rPr>
          <w:rFonts w:hint="eastAsia" w:ascii="仿宋_GB2312" w:hAnsi="Times New Roman" w:eastAsia="仿宋_GB2312"/>
          <w:kern w:val="0"/>
          <w:sz w:val="28"/>
          <w:szCs w:val="28"/>
        </w:rPr>
        <w:t>km</w:t>
      </w:r>
      <w:r>
        <w:rPr>
          <w:rFonts w:hint="eastAsia" w:ascii="仿宋_GB2312" w:hAnsi="Times New Roman" w:eastAsia="仿宋_GB2312"/>
          <w:kern w:val="0"/>
          <w:sz w:val="28"/>
          <w:szCs w:val="28"/>
          <w:vertAlign w:val="superscript"/>
        </w:rPr>
        <w:t>2</w:t>
      </w:r>
      <w:r>
        <w:rPr>
          <w:rFonts w:hint="eastAsia" w:ascii="仿宋_GB2312" w:eastAsia="仿宋_GB2312"/>
          <w:sz w:val="28"/>
          <w:szCs w:val="28"/>
        </w:rPr>
        <w:t>。具体见表4-4。</w:t>
      </w:r>
    </w:p>
    <w:p>
      <w:pPr>
        <w:adjustRightInd w:val="0"/>
        <w:snapToGrid w:val="0"/>
        <w:spacing w:line="360" w:lineRule="auto"/>
        <w:ind w:firstLine="560" w:firstLineChars="200"/>
        <w:rPr>
          <w:rFonts w:ascii="仿宋_GB2312" w:hAnsi="黑体" w:eastAsia="仿宋_GB2312"/>
          <w:sz w:val="28"/>
          <w:szCs w:val="28"/>
        </w:rPr>
      </w:pP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 xml:space="preserve">4-4 </w:t>
      </w:r>
      <w:r>
        <w:rPr>
          <w:rFonts w:ascii="Times New Roman" w:hAnsi="Times New Roman"/>
          <w:b/>
          <w:sz w:val="24"/>
          <w:szCs w:val="24"/>
        </w:rPr>
        <w:t xml:space="preserve"> 盐池县已划定河湖岸线基本情况</w:t>
      </w:r>
    </w:p>
    <w:tbl>
      <w:tblPr>
        <w:tblStyle w:val="14"/>
        <w:tblW w:w="1354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98"/>
        <w:gridCol w:w="796"/>
        <w:gridCol w:w="1324"/>
        <w:gridCol w:w="1348"/>
        <w:gridCol w:w="1543"/>
        <w:gridCol w:w="1134"/>
        <w:gridCol w:w="1016"/>
        <w:gridCol w:w="1931"/>
        <w:gridCol w:w="987"/>
        <w:gridCol w:w="24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27" w:hRule="atLeast"/>
          <w:jc w:val="center"/>
        </w:trPr>
        <w:tc>
          <w:tcPr>
            <w:tcW w:w="998" w:type="dxa"/>
            <w:vMerge w:val="restart"/>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kern w:val="0"/>
                <w:szCs w:val="21"/>
              </w:rPr>
            </w:pPr>
            <w:r>
              <w:rPr>
                <w:rFonts w:ascii="Times New Roman" w:hAnsi="Times New Roman" w:eastAsiaTheme="majorEastAsia"/>
                <w:b/>
                <w:kern w:val="0"/>
                <w:szCs w:val="21"/>
              </w:rPr>
              <w:t>河(沟）道名称</w:t>
            </w:r>
          </w:p>
        </w:tc>
        <w:tc>
          <w:tcPr>
            <w:tcW w:w="796" w:type="dxa"/>
            <w:vMerge w:val="restart"/>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河（湖）长</w:t>
            </w:r>
          </w:p>
        </w:tc>
        <w:tc>
          <w:tcPr>
            <w:tcW w:w="1324" w:type="dxa"/>
            <w:vMerge w:val="restart"/>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河（湖）长单位</w:t>
            </w:r>
          </w:p>
        </w:tc>
        <w:tc>
          <w:tcPr>
            <w:tcW w:w="1348" w:type="dxa"/>
            <w:vMerge w:val="restart"/>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责任单位</w:t>
            </w:r>
          </w:p>
        </w:tc>
        <w:tc>
          <w:tcPr>
            <w:tcW w:w="9079" w:type="dxa"/>
            <w:gridSpan w:val="6"/>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河湖沟道基本情况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49" w:hRule="atLeast"/>
          <w:jc w:val="center"/>
        </w:trPr>
        <w:tc>
          <w:tcPr>
            <w:tcW w:w="998" w:type="dxa"/>
            <w:vMerge w:val="continue"/>
            <w:vAlign w:val="center"/>
          </w:tcPr>
          <w:p>
            <w:pPr>
              <w:widowControl/>
              <w:jc w:val="left"/>
              <w:rPr>
                <w:rFonts w:ascii="Times New Roman" w:hAnsi="Times New Roman" w:eastAsiaTheme="majorEastAsia"/>
                <w:b/>
                <w:kern w:val="0"/>
                <w:szCs w:val="21"/>
              </w:rPr>
            </w:pPr>
          </w:p>
        </w:tc>
        <w:tc>
          <w:tcPr>
            <w:tcW w:w="796" w:type="dxa"/>
            <w:vMerge w:val="continue"/>
            <w:vAlign w:val="center"/>
          </w:tcPr>
          <w:p>
            <w:pPr>
              <w:widowControl/>
              <w:jc w:val="left"/>
              <w:rPr>
                <w:rFonts w:ascii="Times New Roman" w:hAnsi="Times New Roman" w:eastAsiaTheme="majorEastAsia"/>
                <w:b/>
                <w:szCs w:val="21"/>
              </w:rPr>
            </w:pPr>
          </w:p>
        </w:tc>
        <w:tc>
          <w:tcPr>
            <w:tcW w:w="1324" w:type="dxa"/>
            <w:vMerge w:val="continue"/>
            <w:vAlign w:val="center"/>
          </w:tcPr>
          <w:p>
            <w:pPr>
              <w:widowControl/>
              <w:jc w:val="left"/>
              <w:rPr>
                <w:rFonts w:ascii="Times New Roman" w:hAnsi="Times New Roman" w:eastAsiaTheme="majorEastAsia"/>
                <w:b/>
                <w:szCs w:val="21"/>
              </w:rPr>
            </w:pPr>
          </w:p>
        </w:tc>
        <w:tc>
          <w:tcPr>
            <w:tcW w:w="1348" w:type="dxa"/>
            <w:vMerge w:val="continue"/>
            <w:vAlign w:val="center"/>
          </w:tcPr>
          <w:p>
            <w:pPr>
              <w:widowControl/>
              <w:jc w:val="left"/>
              <w:rPr>
                <w:rFonts w:ascii="Times New Roman" w:hAnsi="Times New Roman" w:eastAsiaTheme="majorEastAsia"/>
                <w:b/>
                <w:szCs w:val="21"/>
              </w:rPr>
            </w:pPr>
          </w:p>
        </w:tc>
        <w:tc>
          <w:tcPr>
            <w:tcW w:w="154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主</w:t>
            </w:r>
            <w:r>
              <w:rPr>
                <w:rFonts w:hint="eastAsia" w:ascii="Times New Roman" w:hAnsi="Times New Roman" w:eastAsiaTheme="majorEastAsia"/>
                <w:b/>
                <w:kern w:val="0"/>
                <w:szCs w:val="21"/>
              </w:rPr>
              <w:t>（</w:t>
            </w:r>
            <w:r>
              <w:rPr>
                <w:rFonts w:ascii="Times New Roman" w:hAnsi="Times New Roman" w:eastAsiaTheme="majorEastAsia"/>
                <w:b/>
                <w:kern w:val="0"/>
                <w:szCs w:val="21"/>
              </w:rPr>
              <w:t>支</w:t>
            </w:r>
            <w:r>
              <w:rPr>
                <w:rFonts w:hint="eastAsia" w:ascii="Times New Roman" w:hAnsi="Times New Roman" w:eastAsiaTheme="majorEastAsia"/>
                <w:b/>
                <w:kern w:val="0"/>
                <w:szCs w:val="21"/>
              </w:rPr>
              <w:t>）</w:t>
            </w:r>
            <w:r>
              <w:rPr>
                <w:rFonts w:ascii="Times New Roman" w:hAnsi="Times New Roman" w:eastAsiaTheme="majorEastAsia"/>
                <w:b/>
                <w:kern w:val="0"/>
                <w:szCs w:val="21"/>
              </w:rPr>
              <w:t>沟名称</w:t>
            </w:r>
          </w:p>
        </w:tc>
        <w:tc>
          <w:tcPr>
            <w:tcW w:w="1134"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流经地</w:t>
            </w:r>
          </w:p>
        </w:tc>
        <w:tc>
          <w:tcPr>
            <w:tcW w:w="1016"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kern w:val="0"/>
                <w:szCs w:val="21"/>
              </w:rPr>
            </w:pPr>
            <w:r>
              <w:rPr>
                <w:rFonts w:ascii="Times New Roman" w:hAnsi="Times New Roman" w:eastAsiaTheme="majorEastAsia"/>
                <w:b/>
                <w:kern w:val="0"/>
                <w:szCs w:val="21"/>
              </w:rPr>
              <w:t>长度(km)</w:t>
            </w:r>
          </w:p>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面积（km</w:t>
            </w:r>
            <w:r>
              <w:rPr>
                <w:rFonts w:ascii="Times New Roman" w:hAnsi="Times New Roman" w:eastAsiaTheme="majorEastAsia"/>
                <w:b/>
                <w:kern w:val="0"/>
                <w:szCs w:val="21"/>
                <w:vertAlign w:val="superscript"/>
              </w:rPr>
              <w:t>2</w:t>
            </w:r>
            <w:r>
              <w:rPr>
                <w:rFonts w:ascii="Times New Roman" w:hAnsi="Times New Roman" w:eastAsiaTheme="majorEastAsia"/>
                <w:b/>
                <w:kern w:val="0"/>
                <w:szCs w:val="21"/>
              </w:rPr>
              <w:t>）</w:t>
            </w:r>
          </w:p>
        </w:tc>
        <w:tc>
          <w:tcPr>
            <w:tcW w:w="1931"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起、止地点</w:t>
            </w:r>
          </w:p>
        </w:tc>
        <w:tc>
          <w:tcPr>
            <w:tcW w:w="987"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保护对象</w:t>
            </w:r>
          </w:p>
        </w:tc>
        <w:tc>
          <w:tcPr>
            <w:tcW w:w="2468"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重点任务及目标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24" w:hRule="atLeast"/>
          <w:jc w:val="center"/>
        </w:trPr>
        <w:tc>
          <w:tcPr>
            <w:tcW w:w="998"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lang w:bidi="ar"/>
              </w:rPr>
            </w:pPr>
            <w:r>
              <w:rPr>
                <w:rFonts w:ascii="Times New Roman" w:hAnsi="Times New Roman" w:eastAsiaTheme="majorEastAsia"/>
                <w:bCs/>
                <w:kern w:val="0"/>
                <w:szCs w:val="21"/>
                <w:lang w:bidi="ar"/>
              </w:rPr>
              <w:t>苦水河</w:t>
            </w:r>
          </w:p>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lang w:bidi="ar"/>
              </w:rPr>
              <w:t>（盐池段）</w:t>
            </w:r>
          </w:p>
        </w:tc>
        <w:tc>
          <w:tcPr>
            <w:tcW w:w="796"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吴科</w:t>
            </w:r>
          </w:p>
        </w:tc>
        <w:tc>
          <w:tcPr>
            <w:tcW w:w="1324"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盐池</w:t>
            </w:r>
          </w:p>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县人民政府</w:t>
            </w:r>
          </w:p>
        </w:tc>
        <w:tc>
          <w:tcPr>
            <w:tcW w:w="1348"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自然资源局</w:t>
            </w:r>
          </w:p>
        </w:tc>
        <w:tc>
          <w:tcPr>
            <w:tcW w:w="154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bCs/>
                <w:kern w:val="0"/>
                <w:szCs w:val="21"/>
                <w:lang w:bidi="ar"/>
              </w:rPr>
              <w:t>苦水河</w:t>
            </w:r>
          </w:p>
        </w:tc>
        <w:tc>
          <w:tcPr>
            <w:tcW w:w="1134"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bCs/>
                <w:kern w:val="0"/>
                <w:szCs w:val="21"/>
                <w:lang w:bidi="ar"/>
              </w:rPr>
              <w:t>惠安堡镇</w:t>
            </w:r>
          </w:p>
        </w:tc>
        <w:tc>
          <w:tcPr>
            <w:tcW w:w="1016"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kern w:val="0"/>
                <w:szCs w:val="21"/>
              </w:rPr>
              <w:t>41.4</w:t>
            </w:r>
          </w:p>
        </w:tc>
        <w:tc>
          <w:tcPr>
            <w:tcW w:w="1931"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spacing w:val="8"/>
                <w:szCs w:val="21"/>
                <w:shd w:val="clear" w:color="auto" w:fill="FFFFFF"/>
              </w:rPr>
              <w:t>周家山自然村至刘石咀自然村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tcMar>
              <w:top w:w="15" w:type="dxa"/>
              <w:left w:w="15" w:type="dxa"/>
              <w:bottom w:w="0" w:type="dxa"/>
              <w:right w:w="15" w:type="dxa"/>
            </w:tcMar>
            <w:vAlign w:val="center"/>
          </w:tcPr>
          <w:p>
            <w:pPr>
              <w:spacing w:line="260" w:lineRule="exact"/>
              <w:jc w:val="left"/>
              <w:rPr>
                <w:rFonts w:ascii="Times New Roman" w:hAnsi="Times New Roman" w:eastAsiaTheme="majorEastAsia"/>
                <w:bCs/>
                <w:szCs w:val="21"/>
              </w:rPr>
            </w:pPr>
            <w:r>
              <w:rPr>
                <w:rFonts w:ascii="Times New Roman" w:hAnsi="Times New Roman" w:eastAsiaTheme="majorEastAsia"/>
                <w:bCs/>
                <w:szCs w:val="21"/>
              </w:rPr>
              <w:t>治理非法采砂与侵占河道、</w:t>
            </w:r>
            <w:r>
              <w:rPr>
                <w:rFonts w:ascii="Times New Roman" w:hAnsi="Times New Roman" w:eastAsiaTheme="majorEastAsia"/>
                <w:kern w:val="0"/>
                <w:szCs w:val="21"/>
                <w:lang w:bidi="ar"/>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49" w:hRule="atLeast"/>
          <w:jc w:val="center"/>
        </w:trPr>
        <w:tc>
          <w:tcPr>
            <w:tcW w:w="998" w:type="dxa"/>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马莲河</w:t>
            </w:r>
          </w:p>
        </w:tc>
        <w:tc>
          <w:tcPr>
            <w:tcW w:w="796"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张晨</w:t>
            </w:r>
          </w:p>
        </w:tc>
        <w:tc>
          <w:tcPr>
            <w:tcW w:w="1324"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盐池县</w:t>
            </w:r>
          </w:p>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人民政府</w:t>
            </w:r>
          </w:p>
        </w:tc>
        <w:tc>
          <w:tcPr>
            <w:tcW w:w="1348"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市生态环境局盐池分局</w:t>
            </w:r>
          </w:p>
        </w:tc>
        <w:tc>
          <w:tcPr>
            <w:tcW w:w="154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bCs/>
                <w:szCs w:val="21"/>
              </w:rPr>
              <w:t>马莲河</w:t>
            </w:r>
          </w:p>
        </w:tc>
        <w:tc>
          <w:tcPr>
            <w:tcW w:w="1134"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bCs/>
                <w:kern w:val="0"/>
                <w:szCs w:val="21"/>
                <w:lang w:bidi="ar"/>
              </w:rPr>
              <w:t>麻黄山乡大水坑镇</w:t>
            </w:r>
          </w:p>
        </w:tc>
        <w:tc>
          <w:tcPr>
            <w:tcW w:w="1016"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kern w:val="0"/>
                <w:szCs w:val="21"/>
              </w:rPr>
              <w:t>39.33</w:t>
            </w:r>
          </w:p>
        </w:tc>
        <w:tc>
          <w:tcPr>
            <w:tcW w:w="1931"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bCs/>
                <w:kern w:val="0"/>
                <w:szCs w:val="21"/>
                <w:lang w:bidi="ar"/>
              </w:rPr>
              <w:t>李伏渠村至</w:t>
            </w:r>
            <w:r>
              <w:rPr>
                <w:rFonts w:ascii="Times New Roman" w:hAnsi="Times New Roman" w:eastAsiaTheme="majorEastAsia"/>
                <w:szCs w:val="21"/>
              </w:rPr>
              <w:t>打虎店自然村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tcMar>
              <w:top w:w="15" w:type="dxa"/>
              <w:left w:w="15" w:type="dxa"/>
              <w:bottom w:w="0" w:type="dxa"/>
              <w:right w:w="15" w:type="dxa"/>
            </w:tcMar>
            <w:vAlign w:val="center"/>
          </w:tcPr>
          <w:p>
            <w:pPr>
              <w:widowControl/>
              <w:spacing w:line="260" w:lineRule="exact"/>
              <w:jc w:val="left"/>
              <w:textAlignment w:val="center"/>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atLeast"/>
          <w:jc w:val="center"/>
        </w:trPr>
        <w:tc>
          <w:tcPr>
            <w:tcW w:w="998" w:type="dxa"/>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灵武</w:t>
            </w:r>
          </w:p>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盐场湖</w:t>
            </w:r>
          </w:p>
        </w:tc>
        <w:tc>
          <w:tcPr>
            <w:tcW w:w="796"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张晨</w:t>
            </w:r>
          </w:p>
        </w:tc>
        <w:tc>
          <w:tcPr>
            <w:tcW w:w="1324"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盐池县</w:t>
            </w:r>
          </w:p>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人民政府</w:t>
            </w:r>
          </w:p>
        </w:tc>
        <w:tc>
          <w:tcPr>
            <w:tcW w:w="1348"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市生态环境局盐池分局</w:t>
            </w:r>
          </w:p>
        </w:tc>
        <w:tc>
          <w:tcPr>
            <w:tcW w:w="154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Cs/>
                <w:szCs w:val="21"/>
              </w:rPr>
            </w:pPr>
            <w:r>
              <w:rPr>
                <w:rFonts w:ascii="Times New Roman" w:hAnsi="Times New Roman" w:eastAsiaTheme="majorEastAsia"/>
                <w:bCs/>
                <w:szCs w:val="21"/>
              </w:rPr>
              <w:t>马莲河</w:t>
            </w:r>
          </w:p>
        </w:tc>
        <w:tc>
          <w:tcPr>
            <w:tcW w:w="1134"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Cs/>
                <w:kern w:val="0"/>
                <w:szCs w:val="21"/>
                <w:lang w:bidi="ar"/>
              </w:rPr>
            </w:pPr>
            <w:r>
              <w:rPr>
                <w:rFonts w:ascii="Times New Roman" w:hAnsi="Times New Roman" w:eastAsiaTheme="majorEastAsia"/>
                <w:bCs/>
                <w:kern w:val="0"/>
                <w:szCs w:val="21"/>
                <w:lang w:bidi="ar"/>
              </w:rPr>
              <w:t>冯记沟乡</w:t>
            </w:r>
          </w:p>
        </w:tc>
        <w:tc>
          <w:tcPr>
            <w:tcW w:w="1016"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kern w:val="0"/>
                <w:szCs w:val="21"/>
              </w:rPr>
            </w:pPr>
            <w:r>
              <w:rPr>
                <w:rFonts w:ascii="Times New Roman" w:hAnsi="Times New Roman" w:eastAsiaTheme="majorEastAsia"/>
                <w:kern w:val="0"/>
                <w:szCs w:val="21"/>
              </w:rPr>
              <w:t>4.895</w:t>
            </w:r>
          </w:p>
        </w:tc>
        <w:tc>
          <w:tcPr>
            <w:tcW w:w="1931"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Cs/>
                <w:kern w:val="0"/>
                <w:szCs w:val="21"/>
                <w:lang w:bidi="ar"/>
              </w:rPr>
            </w:pPr>
            <w:r>
              <w:rPr>
                <w:rFonts w:ascii="Times New Roman" w:hAnsi="Times New Roman" w:eastAsiaTheme="majorEastAsia"/>
                <w:spacing w:val="5"/>
                <w:kern w:val="0"/>
                <w:szCs w:val="21"/>
              </w:rPr>
              <w:t>冯记沟乡回六庄村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tcMar>
              <w:top w:w="15" w:type="dxa"/>
              <w:left w:w="15" w:type="dxa"/>
              <w:bottom w:w="0" w:type="dxa"/>
              <w:right w:w="15" w:type="dxa"/>
            </w:tcMar>
            <w:vAlign w:val="center"/>
          </w:tcPr>
          <w:p>
            <w:pPr>
              <w:widowControl/>
              <w:spacing w:line="260" w:lineRule="exact"/>
              <w:jc w:val="left"/>
              <w:textAlignment w:val="center"/>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5" w:hRule="atLeast"/>
          <w:jc w:val="center"/>
        </w:trPr>
        <w:tc>
          <w:tcPr>
            <w:tcW w:w="998"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芦沟子沟</w:t>
            </w:r>
          </w:p>
        </w:tc>
        <w:tc>
          <w:tcPr>
            <w:tcW w:w="79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szCs w:val="21"/>
              </w:rPr>
              <w:t>李玉龙</w:t>
            </w:r>
          </w:p>
        </w:tc>
        <w:tc>
          <w:tcPr>
            <w:tcW w:w="1324"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kern w:val="0"/>
                <w:szCs w:val="21"/>
              </w:rPr>
            </w:pPr>
            <w:r>
              <w:rPr>
                <w:rFonts w:ascii="Times New Roman" w:hAnsi="Times New Roman" w:eastAsiaTheme="majorEastAsia"/>
                <w:bCs/>
                <w:kern w:val="0"/>
                <w:szCs w:val="21"/>
              </w:rPr>
              <w:t>大水坑镇</w:t>
            </w:r>
          </w:p>
          <w:p>
            <w:pPr>
              <w:spacing w:line="260" w:lineRule="exact"/>
              <w:jc w:val="center"/>
              <w:rPr>
                <w:rFonts w:ascii="Times New Roman" w:hAnsi="Times New Roman" w:eastAsiaTheme="majorEastAsia"/>
                <w:bCs/>
                <w:szCs w:val="21"/>
              </w:rPr>
            </w:pPr>
            <w:r>
              <w:rPr>
                <w:rFonts w:ascii="Times New Roman" w:hAnsi="Times New Roman" w:eastAsiaTheme="majorEastAsia"/>
                <w:bCs/>
                <w:kern w:val="0"/>
                <w:szCs w:val="21"/>
              </w:rPr>
              <w:t>人民政府</w:t>
            </w:r>
          </w:p>
        </w:tc>
        <w:tc>
          <w:tcPr>
            <w:tcW w:w="1348"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自然资源局</w:t>
            </w:r>
          </w:p>
        </w:tc>
        <w:tc>
          <w:tcPr>
            <w:tcW w:w="1543"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芦沟子沟</w:t>
            </w:r>
          </w:p>
        </w:tc>
        <w:tc>
          <w:tcPr>
            <w:tcW w:w="1134"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大水坑镇</w:t>
            </w:r>
          </w:p>
        </w:tc>
        <w:tc>
          <w:tcPr>
            <w:tcW w:w="101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2.22</w:t>
            </w:r>
          </w:p>
        </w:tc>
        <w:tc>
          <w:tcPr>
            <w:tcW w:w="1931"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摆宴井村至摆宴井村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widowControl/>
              <w:spacing w:line="260" w:lineRule="exact"/>
              <w:jc w:val="left"/>
              <w:textAlignment w:val="center"/>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81" w:hRule="atLeast"/>
          <w:jc w:val="center"/>
        </w:trPr>
        <w:tc>
          <w:tcPr>
            <w:tcW w:w="998" w:type="dxa"/>
            <w:vMerge w:val="restart"/>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刘家沟</w:t>
            </w:r>
          </w:p>
        </w:tc>
        <w:tc>
          <w:tcPr>
            <w:tcW w:w="796" w:type="dxa"/>
            <w:vMerge w:val="restart"/>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szCs w:val="21"/>
              </w:rPr>
              <w:t>陈有强</w:t>
            </w:r>
          </w:p>
        </w:tc>
        <w:tc>
          <w:tcPr>
            <w:tcW w:w="1324" w:type="dxa"/>
            <w:vMerge w:val="restart"/>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惠安堡镇</w:t>
            </w:r>
          </w:p>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人民政府</w:t>
            </w:r>
          </w:p>
        </w:tc>
        <w:tc>
          <w:tcPr>
            <w:tcW w:w="1348" w:type="dxa"/>
            <w:vMerge w:val="restart"/>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自然资源局</w:t>
            </w:r>
          </w:p>
        </w:tc>
        <w:tc>
          <w:tcPr>
            <w:tcW w:w="1543"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刘家沟</w:t>
            </w:r>
          </w:p>
        </w:tc>
        <w:tc>
          <w:tcPr>
            <w:tcW w:w="1134"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惠安堡镇</w:t>
            </w:r>
          </w:p>
        </w:tc>
        <w:tc>
          <w:tcPr>
            <w:tcW w:w="101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13.34</w:t>
            </w:r>
          </w:p>
        </w:tc>
        <w:tc>
          <w:tcPr>
            <w:tcW w:w="1931"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四墩子村至沟沿村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spacing w:line="260" w:lineRule="exact"/>
              <w:jc w:val="left"/>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998" w:type="dxa"/>
            <w:vMerge w:val="continue"/>
            <w:vAlign w:val="center"/>
          </w:tcPr>
          <w:p>
            <w:pPr>
              <w:widowControl/>
              <w:jc w:val="left"/>
              <w:rPr>
                <w:rFonts w:ascii="Times New Roman" w:hAnsi="Times New Roman" w:eastAsiaTheme="majorEastAsia"/>
                <w:bCs/>
                <w:szCs w:val="21"/>
              </w:rPr>
            </w:pPr>
          </w:p>
        </w:tc>
        <w:tc>
          <w:tcPr>
            <w:tcW w:w="796" w:type="dxa"/>
            <w:vMerge w:val="continue"/>
            <w:vAlign w:val="center"/>
          </w:tcPr>
          <w:p>
            <w:pPr>
              <w:widowControl/>
              <w:jc w:val="left"/>
              <w:rPr>
                <w:rFonts w:ascii="Times New Roman" w:hAnsi="Times New Roman" w:eastAsiaTheme="majorEastAsia"/>
                <w:bCs/>
                <w:szCs w:val="21"/>
              </w:rPr>
            </w:pPr>
          </w:p>
        </w:tc>
        <w:tc>
          <w:tcPr>
            <w:tcW w:w="1324" w:type="dxa"/>
            <w:vMerge w:val="continue"/>
            <w:vAlign w:val="center"/>
          </w:tcPr>
          <w:p>
            <w:pPr>
              <w:widowControl/>
              <w:jc w:val="left"/>
              <w:rPr>
                <w:rFonts w:ascii="Times New Roman" w:hAnsi="Times New Roman" w:eastAsiaTheme="majorEastAsia"/>
                <w:bCs/>
                <w:szCs w:val="21"/>
              </w:rPr>
            </w:pPr>
          </w:p>
        </w:tc>
        <w:tc>
          <w:tcPr>
            <w:tcW w:w="1348" w:type="dxa"/>
            <w:vMerge w:val="continue"/>
            <w:vAlign w:val="center"/>
          </w:tcPr>
          <w:p>
            <w:pPr>
              <w:widowControl/>
              <w:jc w:val="left"/>
              <w:rPr>
                <w:rFonts w:ascii="Times New Roman" w:hAnsi="Times New Roman" w:eastAsiaTheme="majorEastAsia"/>
                <w:bCs/>
                <w:szCs w:val="21"/>
              </w:rPr>
            </w:pPr>
          </w:p>
        </w:tc>
        <w:tc>
          <w:tcPr>
            <w:tcW w:w="1543"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刘家沟支沟1</w:t>
            </w:r>
          </w:p>
        </w:tc>
        <w:tc>
          <w:tcPr>
            <w:tcW w:w="1134"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惠安堡镇</w:t>
            </w:r>
          </w:p>
        </w:tc>
        <w:tc>
          <w:tcPr>
            <w:tcW w:w="101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2.58</w:t>
            </w:r>
          </w:p>
        </w:tc>
        <w:tc>
          <w:tcPr>
            <w:tcW w:w="1931"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老盐池村至老盐池村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spacing w:line="260" w:lineRule="exact"/>
              <w:jc w:val="left"/>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1" w:hRule="atLeast"/>
          <w:jc w:val="center"/>
        </w:trPr>
        <w:tc>
          <w:tcPr>
            <w:tcW w:w="998" w:type="dxa"/>
            <w:vMerge w:val="continue"/>
            <w:vAlign w:val="center"/>
          </w:tcPr>
          <w:p>
            <w:pPr>
              <w:widowControl/>
              <w:jc w:val="left"/>
              <w:rPr>
                <w:rFonts w:ascii="Times New Roman" w:hAnsi="Times New Roman" w:eastAsiaTheme="majorEastAsia"/>
                <w:bCs/>
                <w:szCs w:val="21"/>
              </w:rPr>
            </w:pPr>
          </w:p>
        </w:tc>
        <w:tc>
          <w:tcPr>
            <w:tcW w:w="796" w:type="dxa"/>
            <w:vMerge w:val="continue"/>
            <w:vAlign w:val="center"/>
          </w:tcPr>
          <w:p>
            <w:pPr>
              <w:widowControl/>
              <w:jc w:val="left"/>
              <w:rPr>
                <w:rFonts w:ascii="Times New Roman" w:hAnsi="Times New Roman" w:eastAsiaTheme="majorEastAsia"/>
                <w:bCs/>
                <w:szCs w:val="21"/>
              </w:rPr>
            </w:pPr>
          </w:p>
        </w:tc>
        <w:tc>
          <w:tcPr>
            <w:tcW w:w="1324" w:type="dxa"/>
            <w:vMerge w:val="continue"/>
            <w:vAlign w:val="center"/>
          </w:tcPr>
          <w:p>
            <w:pPr>
              <w:widowControl/>
              <w:jc w:val="left"/>
              <w:rPr>
                <w:rFonts w:ascii="Times New Roman" w:hAnsi="Times New Roman" w:eastAsiaTheme="majorEastAsia"/>
                <w:bCs/>
                <w:szCs w:val="21"/>
              </w:rPr>
            </w:pPr>
          </w:p>
        </w:tc>
        <w:tc>
          <w:tcPr>
            <w:tcW w:w="1348" w:type="dxa"/>
            <w:vMerge w:val="continue"/>
            <w:vAlign w:val="center"/>
          </w:tcPr>
          <w:p>
            <w:pPr>
              <w:widowControl/>
              <w:jc w:val="left"/>
              <w:rPr>
                <w:rFonts w:ascii="Times New Roman" w:hAnsi="Times New Roman" w:eastAsiaTheme="majorEastAsia"/>
                <w:bCs/>
                <w:szCs w:val="21"/>
              </w:rPr>
            </w:pPr>
          </w:p>
        </w:tc>
        <w:tc>
          <w:tcPr>
            <w:tcW w:w="1543"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bCs/>
                <w:kern w:val="0"/>
                <w:szCs w:val="21"/>
              </w:rPr>
              <w:t>刘家沟支沟2</w:t>
            </w:r>
          </w:p>
        </w:tc>
        <w:tc>
          <w:tcPr>
            <w:tcW w:w="1134"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bCs/>
                <w:kern w:val="0"/>
                <w:szCs w:val="21"/>
              </w:rPr>
              <w:t>惠安堡镇</w:t>
            </w:r>
          </w:p>
        </w:tc>
        <w:tc>
          <w:tcPr>
            <w:tcW w:w="101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bCs/>
                <w:kern w:val="0"/>
                <w:szCs w:val="21"/>
              </w:rPr>
              <w:t>3.03</w:t>
            </w:r>
          </w:p>
        </w:tc>
        <w:tc>
          <w:tcPr>
            <w:tcW w:w="1931"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bCs/>
                <w:kern w:val="0"/>
                <w:szCs w:val="21"/>
              </w:rPr>
              <w:t>老盐池村至老盐池村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spacing w:line="260" w:lineRule="exact"/>
              <w:jc w:val="left"/>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5" w:hRule="atLeast"/>
          <w:jc w:val="center"/>
        </w:trPr>
        <w:tc>
          <w:tcPr>
            <w:tcW w:w="998" w:type="dxa"/>
            <w:vMerge w:val="continue"/>
            <w:vAlign w:val="center"/>
          </w:tcPr>
          <w:p>
            <w:pPr>
              <w:widowControl/>
              <w:jc w:val="left"/>
              <w:rPr>
                <w:rFonts w:ascii="Times New Roman" w:hAnsi="Times New Roman" w:eastAsiaTheme="majorEastAsia"/>
                <w:bCs/>
                <w:szCs w:val="21"/>
              </w:rPr>
            </w:pPr>
          </w:p>
        </w:tc>
        <w:tc>
          <w:tcPr>
            <w:tcW w:w="796" w:type="dxa"/>
            <w:vMerge w:val="continue"/>
            <w:vAlign w:val="center"/>
          </w:tcPr>
          <w:p>
            <w:pPr>
              <w:widowControl/>
              <w:jc w:val="left"/>
              <w:rPr>
                <w:rFonts w:ascii="Times New Roman" w:hAnsi="Times New Roman" w:eastAsiaTheme="majorEastAsia"/>
                <w:bCs/>
                <w:szCs w:val="21"/>
              </w:rPr>
            </w:pPr>
          </w:p>
        </w:tc>
        <w:tc>
          <w:tcPr>
            <w:tcW w:w="1324" w:type="dxa"/>
            <w:vMerge w:val="continue"/>
            <w:vAlign w:val="center"/>
          </w:tcPr>
          <w:p>
            <w:pPr>
              <w:widowControl/>
              <w:jc w:val="left"/>
              <w:rPr>
                <w:rFonts w:ascii="Times New Roman" w:hAnsi="Times New Roman" w:eastAsiaTheme="majorEastAsia"/>
                <w:bCs/>
                <w:szCs w:val="21"/>
              </w:rPr>
            </w:pPr>
          </w:p>
        </w:tc>
        <w:tc>
          <w:tcPr>
            <w:tcW w:w="1348" w:type="dxa"/>
            <w:vMerge w:val="continue"/>
            <w:vAlign w:val="center"/>
          </w:tcPr>
          <w:p>
            <w:pPr>
              <w:widowControl/>
              <w:jc w:val="left"/>
              <w:rPr>
                <w:rFonts w:ascii="Times New Roman" w:hAnsi="Times New Roman" w:eastAsiaTheme="majorEastAsia"/>
                <w:bCs/>
                <w:szCs w:val="21"/>
              </w:rPr>
            </w:pPr>
          </w:p>
        </w:tc>
        <w:tc>
          <w:tcPr>
            <w:tcW w:w="1543"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刘家沟支沟3</w:t>
            </w:r>
          </w:p>
        </w:tc>
        <w:tc>
          <w:tcPr>
            <w:tcW w:w="1134"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惠安堡镇</w:t>
            </w:r>
          </w:p>
        </w:tc>
        <w:tc>
          <w:tcPr>
            <w:tcW w:w="101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0.7</w:t>
            </w:r>
          </w:p>
        </w:tc>
        <w:tc>
          <w:tcPr>
            <w:tcW w:w="1931"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老盐池村至老盐池村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spacing w:line="260" w:lineRule="exact"/>
              <w:jc w:val="left"/>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5" w:hRule="atLeast"/>
          <w:jc w:val="center"/>
        </w:trPr>
        <w:tc>
          <w:tcPr>
            <w:tcW w:w="998" w:type="dxa"/>
            <w:vMerge w:val="restart"/>
            <w:vAlign w:val="center"/>
          </w:tcPr>
          <w:p>
            <w:pPr>
              <w:widowControl/>
              <w:spacing w:line="300" w:lineRule="exact"/>
              <w:jc w:val="center"/>
              <w:textAlignment w:val="center"/>
              <w:rPr>
                <w:rFonts w:ascii="Times New Roman" w:hAnsi="Times New Roman" w:eastAsiaTheme="majorEastAsia"/>
                <w:b/>
                <w:kern w:val="0"/>
                <w:szCs w:val="21"/>
              </w:rPr>
            </w:pPr>
            <w:r>
              <w:rPr>
                <w:rFonts w:ascii="Times New Roman" w:hAnsi="Times New Roman" w:eastAsiaTheme="majorEastAsia"/>
                <w:b/>
                <w:kern w:val="0"/>
                <w:szCs w:val="21"/>
              </w:rPr>
              <w:t>河(沟）道名称</w:t>
            </w:r>
          </w:p>
        </w:tc>
        <w:tc>
          <w:tcPr>
            <w:tcW w:w="796" w:type="dxa"/>
            <w:vMerge w:val="restart"/>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河（湖）长</w:t>
            </w:r>
          </w:p>
        </w:tc>
        <w:tc>
          <w:tcPr>
            <w:tcW w:w="1324" w:type="dxa"/>
            <w:vMerge w:val="restart"/>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河（湖）长单位</w:t>
            </w:r>
          </w:p>
        </w:tc>
        <w:tc>
          <w:tcPr>
            <w:tcW w:w="1348" w:type="dxa"/>
            <w:vMerge w:val="restart"/>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责任单位</w:t>
            </w:r>
          </w:p>
        </w:tc>
        <w:tc>
          <w:tcPr>
            <w:tcW w:w="9079" w:type="dxa"/>
            <w:gridSpan w:val="6"/>
            <w:noWrap/>
            <w:tcMar>
              <w:top w:w="15" w:type="dxa"/>
              <w:left w:w="15" w:type="dxa"/>
              <w:bottom w:w="0" w:type="dxa"/>
              <w:right w:w="15" w:type="dxa"/>
            </w:tcMar>
            <w:vAlign w:val="center"/>
          </w:tcPr>
          <w:p>
            <w:pPr>
              <w:spacing w:line="260" w:lineRule="exact"/>
              <w:jc w:val="center"/>
              <w:rPr>
                <w:rFonts w:ascii="Times New Roman" w:hAnsi="Times New Roman" w:eastAsiaTheme="majorEastAsia"/>
                <w:kern w:val="0"/>
                <w:szCs w:val="21"/>
              </w:rPr>
            </w:pPr>
            <w:r>
              <w:rPr>
                <w:rFonts w:ascii="Times New Roman" w:hAnsi="Times New Roman" w:eastAsiaTheme="majorEastAsia"/>
                <w:b/>
                <w:kern w:val="0"/>
                <w:szCs w:val="21"/>
              </w:rPr>
              <w:t>河湖沟道基本情况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5" w:hRule="atLeast"/>
          <w:jc w:val="center"/>
        </w:trPr>
        <w:tc>
          <w:tcPr>
            <w:tcW w:w="998" w:type="dxa"/>
            <w:vMerge w:val="continue"/>
            <w:vAlign w:val="center"/>
          </w:tcPr>
          <w:p>
            <w:pPr>
              <w:widowControl/>
              <w:jc w:val="left"/>
              <w:rPr>
                <w:rFonts w:ascii="Times New Roman" w:hAnsi="Times New Roman" w:eastAsiaTheme="majorEastAsia"/>
                <w:bCs/>
                <w:szCs w:val="21"/>
              </w:rPr>
            </w:pPr>
          </w:p>
        </w:tc>
        <w:tc>
          <w:tcPr>
            <w:tcW w:w="796" w:type="dxa"/>
            <w:vMerge w:val="continue"/>
            <w:vAlign w:val="center"/>
          </w:tcPr>
          <w:p>
            <w:pPr>
              <w:widowControl/>
              <w:jc w:val="left"/>
              <w:rPr>
                <w:rFonts w:ascii="Times New Roman" w:hAnsi="Times New Roman" w:eastAsiaTheme="majorEastAsia"/>
                <w:bCs/>
                <w:szCs w:val="21"/>
              </w:rPr>
            </w:pPr>
          </w:p>
        </w:tc>
        <w:tc>
          <w:tcPr>
            <w:tcW w:w="1324" w:type="dxa"/>
            <w:vMerge w:val="continue"/>
            <w:vAlign w:val="center"/>
          </w:tcPr>
          <w:p>
            <w:pPr>
              <w:widowControl/>
              <w:jc w:val="left"/>
              <w:rPr>
                <w:rFonts w:ascii="Times New Roman" w:hAnsi="Times New Roman" w:eastAsiaTheme="majorEastAsia"/>
                <w:bCs/>
                <w:szCs w:val="21"/>
              </w:rPr>
            </w:pPr>
          </w:p>
        </w:tc>
        <w:tc>
          <w:tcPr>
            <w:tcW w:w="1348" w:type="dxa"/>
            <w:vMerge w:val="continue"/>
            <w:vAlign w:val="center"/>
          </w:tcPr>
          <w:p>
            <w:pPr>
              <w:widowControl/>
              <w:jc w:val="left"/>
              <w:rPr>
                <w:rFonts w:ascii="Times New Roman" w:hAnsi="Times New Roman" w:eastAsiaTheme="majorEastAsia"/>
                <w:bCs/>
                <w:szCs w:val="21"/>
              </w:rPr>
            </w:pPr>
          </w:p>
        </w:tc>
        <w:tc>
          <w:tcPr>
            <w:tcW w:w="1543"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主</w:t>
            </w:r>
            <w:r>
              <w:rPr>
                <w:rFonts w:hint="eastAsia" w:ascii="Times New Roman" w:hAnsi="Times New Roman" w:eastAsiaTheme="majorEastAsia"/>
                <w:b/>
                <w:kern w:val="0"/>
                <w:szCs w:val="21"/>
              </w:rPr>
              <w:t>（</w:t>
            </w:r>
            <w:r>
              <w:rPr>
                <w:rFonts w:ascii="Times New Roman" w:hAnsi="Times New Roman" w:eastAsiaTheme="majorEastAsia"/>
                <w:b/>
                <w:kern w:val="0"/>
                <w:szCs w:val="21"/>
              </w:rPr>
              <w:t>支</w:t>
            </w:r>
            <w:r>
              <w:rPr>
                <w:rFonts w:hint="eastAsia" w:ascii="Times New Roman" w:hAnsi="Times New Roman" w:eastAsiaTheme="majorEastAsia"/>
                <w:b/>
                <w:kern w:val="0"/>
                <w:szCs w:val="21"/>
              </w:rPr>
              <w:t>）</w:t>
            </w:r>
            <w:r>
              <w:rPr>
                <w:rFonts w:ascii="Times New Roman" w:hAnsi="Times New Roman" w:eastAsiaTheme="majorEastAsia"/>
                <w:b/>
                <w:kern w:val="0"/>
                <w:szCs w:val="21"/>
              </w:rPr>
              <w:t>沟名称</w:t>
            </w:r>
          </w:p>
        </w:tc>
        <w:tc>
          <w:tcPr>
            <w:tcW w:w="1134"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流经地</w:t>
            </w:r>
          </w:p>
        </w:tc>
        <w:tc>
          <w:tcPr>
            <w:tcW w:w="1016"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kern w:val="0"/>
                <w:szCs w:val="21"/>
              </w:rPr>
            </w:pPr>
            <w:r>
              <w:rPr>
                <w:rFonts w:ascii="Times New Roman" w:hAnsi="Times New Roman" w:eastAsiaTheme="majorEastAsia"/>
                <w:b/>
                <w:kern w:val="0"/>
                <w:szCs w:val="21"/>
              </w:rPr>
              <w:t>长度(km)</w:t>
            </w:r>
          </w:p>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面积（km</w:t>
            </w:r>
            <w:r>
              <w:rPr>
                <w:rFonts w:ascii="Times New Roman" w:hAnsi="Times New Roman" w:eastAsiaTheme="majorEastAsia"/>
                <w:b/>
                <w:kern w:val="0"/>
                <w:szCs w:val="21"/>
                <w:vertAlign w:val="superscript"/>
              </w:rPr>
              <w:t>2</w:t>
            </w:r>
            <w:r>
              <w:rPr>
                <w:rFonts w:ascii="Times New Roman" w:hAnsi="Times New Roman" w:eastAsiaTheme="majorEastAsia"/>
                <w:b/>
                <w:kern w:val="0"/>
                <w:szCs w:val="21"/>
              </w:rPr>
              <w:t>）</w:t>
            </w:r>
          </w:p>
        </w:tc>
        <w:tc>
          <w:tcPr>
            <w:tcW w:w="1931"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起、止地点</w:t>
            </w:r>
          </w:p>
        </w:tc>
        <w:tc>
          <w:tcPr>
            <w:tcW w:w="987"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保护对象</w:t>
            </w:r>
          </w:p>
        </w:tc>
        <w:tc>
          <w:tcPr>
            <w:tcW w:w="2468" w:type="dxa"/>
            <w:noWrap/>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Theme="majorEastAsia"/>
                <w:b/>
                <w:szCs w:val="21"/>
              </w:rPr>
            </w:pPr>
            <w:r>
              <w:rPr>
                <w:rFonts w:ascii="Times New Roman" w:hAnsi="Times New Roman" w:eastAsiaTheme="majorEastAsia"/>
                <w:b/>
                <w:kern w:val="0"/>
                <w:szCs w:val="21"/>
              </w:rPr>
              <w:t>重点任务及目标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998" w:type="dxa"/>
            <w:noWrap/>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车林沟（井沟）</w:t>
            </w:r>
          </w:p>
        </w:tc>
        <w:tc>
          <w:tcPr>
            <w:tcW w:w="796" w:type="dxa"/>
            <w:noWrap/>
            <w:tcMar>
              <w:top w:w="15" w:type="dxa"/>
              <w:left w:w="15" w:type="dxa"/>
              <w:bottom w:w="0" w:type="dxa"/>
              <w:right w:w="15" w:type="dxa"/>
            </w:tcMar>
            <w:vAlign w:val="center"/>
          </w:tcPr>
          <w:p>
            <w:pPr>
              <w:adjustRightInd w:val="0"/>
              <w:snapToGrid w:val="0"/>
              <w:jc w:val="center"/>
              <w:rPr>
                <w:rFonts w:ascii="Times New Roman" w:hAnsi="Times New Roman" w:eastAsiaTheme="majorEastAsia"/>
                <w:bCs/>
                <w:szCs w:val="21"/>
              </w:rPr>
            </w:pPr>
            <w:r>
              <w:rPr>
                <w:rFonts w:ascii="Times New Roman" w:hAnsi="Times New Roman" w:eastAsiaTheme="majorEastAsia"/>
                <w:bCs/>
                <w:szCs w:val="21"/>
              </w:rPr>
              <w:t>王生彦</w:t>
            </w:r>
          </w:p>
        </w:tc>
        <w:tc>
          <w:tcPr>
            <w:tcW w:w="1324" w:type="dxa"/>
            <w:noWrap/>
            <w:tcMar>
              <w:top w:w="15" w:type="dxa"/>
              <w:left w:w="15" w:type="dxa"/>
              <w:bottom w:w="0" w:type="dxa"/>
              <w:right w:w="15" w:type="dxa"/>
            </w:tcMar>
            <w:vAlign w:val="center"/>
          </w:tcPr>
          <w:p>
            <w:pPr>
              <w:adjustRightInd w:val="0"/>
              <w:snapToGrid w:val="0"/>
              <w:jc w:val="center"/>
              <w:rPr>
                <w:rFonts w:ascii="Times New Roman" w:hAnsi="Times New Roman" w:eastAsiaTheme="majorEastAsia"/>
                <w:bCs/>
                <w:szCs w:val="21"/>
              </w:rPr>
            </w:pPr>
            <w:r>
              <w:rPr>
                <w:rFonts w:ascii="Times New Roman" w:hAnsi="Times New Roman" w:eastAsiaTheme="majorEastAsia"/>
                <w:bCs/>
                <w:szCs w:val="21"/>
              </w:rPr>
              <w:t>花马池镇</w:t>
            </w:r>
          </w:p>
          <w:p>
            <w:pPr>
              <w:adjustRightInd w:val="0"/>
              <w:snapToGrid w:val="0"/>
              <w:jc w:val="center"/>
              <w:rPr>
                <w:rFonts w:ascii="Times New Roman" w:hAnsi="Times New Roman" w:eastAsiaTheme="majorEastAsia"/>
                <w:bCs/>
                <w:szCs w:val="21"/>
              </w:rPr>
            </w:pPr>
            <w:r>
              <w:rPr>
                <w:rFonts w:ascii="Times New Roman" w:hAnsi="Times New Roman" w:eastAsiaTheme="majorEastAsia"/>
                <w:bCs/>
                <w:szCs w:val="21"/>
              </w:rPr>
              <w:t>人民政府</w:t>
            </w:r>
          </w:p>
        </w:tc>
        <w:tc>
          <w:tcPr>
            <w:tcW w:w="1348" w:type="dxa"/>
            <w:noWrap/>
            <w:tcMar>
              <w:top w:w="15" w:type="dxa"/>
              <w:left w:w="15" w:type="dxa"/>
              <w:bottom w:w="0" w:type="dxa"/>
              <w:right w:w="15" w:type="dxa"/>
            </w:tcMar>
            <w:vAlign w:val="center"/>
          </w:tcPr>
          <w:p>
            <w:pPr>
              <w:adjustRightInd w:val="0"/>
              <w:snapToGrid w:val="0"/>
              <w:jc w:val="center"/>
              <w:rPr>
                <w:rFonts w:ascii="Times New Roman" w:hAnsi="Times New Roman" w:eastAsiaTheme="majorEastAsia"/>
                <w:bCs/>
                <w:szCs w:val="21"/>
              </w:rPr>
            </w:pPr>
            <w:r>
              <w:rPr>
                <w:rFonts w:ascii="Times New Roman" w:hAnsi="Times New Roman" w:eastAsiaTheme="majorEastAsia"/>
                <w:bCs/>
                <w:szCs w:val="21"/>
              </w:rPr>
              <w:t>农业农村局</w:t>
            </w:r>
          </w:p>
        </w:tc>
        <w:tc>
          <w:tcPr>
            <w:tcW w:w="1543" w:type="dxa"/>
            <w:noWrap/>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车林沟（井沟）</w:t>
            </w:r>
          </w:p>
        </w:tc>
        <w:tc>
          <w:tcPr>
            <w:tcW w:w="1134" w:type="dxa"/>
            <w:noWrap/>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szCs w:val="21"/>
              </w:rPr>
              <w:t>花马池镇</w:t>
            </w:r>
          </w:p>
        </w:tc>
        <w:tc>
          <w:tcPr>
            <w:tcW w:w="1016" w:type="dxa"/>
            <w:noWrap/>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szCs w:val="21"/>
              </w:rPr>
              <w:t>12.63</w:t>
            </w:r>
          </w:p>
        </w:tc>
        <w:tc>
          <w:tcPr>
            <w:tcW w:w="1931" w:type="dxa"/>
            <w:noWrap/>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szCs w:val="21"/>
              </w:rPr>
              <w:t>起点苏步井村</w:t>
            </w:r>
            <w:r>
              <w:rPr>
                <w:rFonts w:hint="eastAsia" w:ascii="Times New Roman" w:hAnsi="Times New Roman" w:eastAsiaTheme="majorEastAsia"/>
                <w:bCs/>
                <w:szCs w:val="21"/>
                <w:lang w:val="en-US" w:eastAsia="zh-CN"/>
              </w:rPr>
              <w:t>途经</w:t>
            </w:r>
            <w:r>
              <w:rPr>
                <w:rFonts w:ascii="Times New Roman" w:hAnsi="Times New Roman" w:eastAsiaTheme="majorEastAsia"/>
                <w:bCs/>
                <w:szCs w:val="21"/>
              </w:rPr>
              <w:t>高利乌苏村至冒寨子村</w:t>
            </w:r>
          </w:p>
        </w:tc>
        <w:tc>
          <w:tcPr>
            <w:tcW w:w="987" w:type="dxa"/>
            <w:noWrap/>
            <w:tcMar>
              <w:top w:w="15" w:type="dxa"/>
              <w:left w:w="15" w:type="dxa"/>
              <w:bottom w:w="0" w:type="dxa"/>
              <w:right w:w="15" w:type="dxa"/>
            </w:tcMar>
            <w:vAlign w:val="center"/>
          </w:tcPr>
          <w:p>
            <w:pPr>
              <w:adjustRightInd w:val="0"/>
              <w:snapToGrid w:val="0"/>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adjustRightInd w:val="0"/>
              <w:snapToGrid w:val="0"/>
              <w:jc w:val="left"/>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998"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莲花池沟（二道沟）</w:t>
            </w:r>
          </w:p>
        </w:tc>
        <w:tc>
          <w:tcPr>
            <w:tcW w:w="796"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李玉龙</w:t>
            </w:r>
          </w:p>
        </w:tc>
        <w:tc>
          <w:tcPr>
            <w:tcW w:w="1324"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kern w:val="0"/>
                <w:szCs w:val="21"/>
              </w:rPr>
            </w:pPr>
            <w:r>
              <w:rPr>
                <w:rFonts w:ascii="Times New Roman" w:hAnsi="Times New Roman" w:eastAsiaTheme="majorEastAsia"/>
                <w:bCs/>
                <w:kern w:val="0"/>
                <w:szCs w:val="21"/>
              </w:rPr>
              <w:t>大水坑镇</w:t>
            </w:r>
          </w:p>
          <w:p>
            <w:pPr>
              <w:spacing w:line="260" w:lineRule="exact"/>
              <w:jc w:val="center"/>
              <w:rPr>
                <w:rFonts w:ascii="Times New Roman" w:hAnsi="Times New Roman" w:eastAsiaTheme="majorEastAsia"/>
                <w:bCs/>
                <w:szCs w:val="21"/>
              </w:rPr>
            </w:pPr>
            <w:r>
              <w:rPr>
                <w:rFonts w:ascii="Times New Roman" w:hAnsi="Times New Roman" w:eastAsiaTheme="majorEastAsia"/>
                <w:bCs/>
                <w:kern w:val="0"/>
                <w:szCs w:val="21"/>
              </w:rPr>
              <w:t>人民政府</w:t>
            </w:r>
          </w:p>
        </w:tc>
        <w:tc>
          <w:tcPr>
            <w:tcW w:w="1348"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市生态环境局盐池分局</w:t>
            </w:r>
          </w:p>
        </w:tc>
        <w:tc>
          <w:tcPr>
            <w:tcW w:w="1543"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莲花池沟（二道沟）</w:t>
            </w:r>
          </w:p>
        </w:tc>
        <w:tc>
          <w:tcPr>
            <w:tcW w:w="1134"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kern w:val="0"/>
                <w:szCs w:val="21"/>
              </w:rPr>
              <w:t>大水坑镇</w:t>
            </w:r>
          </w:p>
        </w:tc>
        <w:tc>
          <w:tcPr>
            <w:tcW w:w="101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szCs w:val="21"/>
              </w:rPr>
              <w:t>9.85</w:t>
            </w:r>
          </w:p>
        </w:tc>
        <w:tc>
          <w:tcPr>
            <w:tcW w:w="1931"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szCs w:val="21"/>
              </w:rPr>
              <w:t>二道沟村至马坊村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spacing w:line="260" w:lineRule="exact"/>
              <w:jc w:val="left"/>
              <w:rPr>
                <w:rFonts w:ascii="Times New Roman" w:hAnsi="Times New Roman" w:eastAsiaTheme="majorEastAsia"/>
                <w:bCs/>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6" w:hRule="atLeast"/>
          <w:jc w:val="center"/>
        </w:trPr>
        <w:tc>
          <w:tcPr>
            <w:tcW w:w="998"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bCs/>
                <w:kern w:val="0"/>
                <w:szCs w:val="21"/>
              </w:rPr>
              <w:t>要冰洼沟</w:t>
            </w:r>
          </w:p>
        </w:tc>
        <w:tc>
          <w:tcPr>
            <w:tcW w:w="796"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王军</w:t>
            </w:r>
          </w:p>
        </w:tc>
        <w:tc>
          <w:tcPr>
            <w:tcW w:w="1324"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kern w:val="0"/>
                <w:szCs w:val="21"/>
              </w:rPr>
            </w:pPr>
            <w:r>
              <w:rPr>
                <w:rFonts w:ascii="Times New Roman" w:hAnsi="Times New Roman" w:eastAsiaTheme="majorEastAsia"/>
                <w:bCs/>
                <w:kern w:val="0"/>
                <w:szCs w:val="21"/>
              </w:rPr>
              <w:t>青山乡</w:t>
            </w:r>
          </w:p>
          <w:p>
            <w:pPr>
              <w:spacing w:line="260" w:lineRule="exact"/>
              <w:jc w:val="center"/>
              <w:rPr>
                <w:rFonts w:ascii="Times New Roman" w:hAnsi="Times New Roman" w:eastAsiaTheme="majorEastAsia"/>
                <w:bCs/>
                <w:kern w:val="0"/>
                <w:szCs w:val="21"/>
              </w:rPr>
            </w:pPr>
            <w:r>
              <w:rPr>
                <w:rFonts w:ascii="Times New Roman" w:hAnsi="Times New Roman" w:eastAsiaTheme="majorEastAsia"/>
                <w:bCs/>
                <w:kern w:val="0"/>
                <w:szCs w:val="21"/>
              </w:rPr>
              <w:t>人民政府</w:t>
            </w:r>
          </w:p>
        </w:tc>
        <w:tc>
          <w:tcPr>
            <w:tcW w:w="1348"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水务局</w:t>
            </w:r>
          </w:p>
        </w:tc>
        <w:tc>
          <w:tcPr>
            <w:tcW w:w="1543"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bCs/>
                <w:kern w:val="0"/>
                <w:szCs w:val="21"/>
              </w:rPr>
              <w:t>要冰洼沟</w:t>
            </w:r>
          </w:p>
        </w:tc>
        <w:tc>
          <w:tcPr>
            <w:tcW w:w="1134"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bCs/>
                <w:kern w:val="0"/>
                <w:szCs w:val="21"/>
              </w:rPr>
              <w:t>青山乡</w:t>
            </w:r>
          </w:p>
        </w:tc>
        <w:tc>
          <w:tcPr>
            <w:tcW w:w="101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szCs w:val="21"/>
              </w:rPr>
              <w:t>26.74</w:t>
            </w:r>
          </w:p>
        </w:tc>
        <w:tc>
          <w:tcPr>
            <w:tcW w:w="1931"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szCs w:val="21"/>
              </w:rPr>
              <w:t>月儿泉村至铁柱泉村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spacing w:line="260" w:lineRule="exact"/>
              <w:jc w:val="left"/>
              <w:rPr>
                <w:rFonts w:ascii="Times New Roman" w:hAnsi="Times New Roman" w:eastAsiaTheme="majorEastAsia"/>
                <w:kern w:val="0"/>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6" w:hRule="atLeast"/>
          <w:jc w:val="center"/>
        </w:trPr>
        <w:tc>
          <w:tcPr>
            <w:tcW w:w="998"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余家沟</w:t>
            </w:r>
          </w:p>
        </w:tc>
        <w:tc>
          <w:tcPr>
            <w:tcW w:w="796"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陈有强</w:t>
            </w:r>
          </w:p>
        </w:tc>
        <w:tc>
          <w:tcPr>
            <w:tcW w:w="1324"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惠安堡镇</w:t>
            </w:r>
          </w:p>
          <w:p>
            <w:pPr>
              <w:widowControl/>
              <w:jc w:val="center"/>
              <w:rPr>
                <w:rFonts w:ascii="Times New Roman" w:hAnsi="Times New Roman" w:eastAsiaTheme="majorEastAsia"/>
                <w:kern w:val="0"/>
                <w:szCs w:val="21"/>
              </w:rPr>
            </w:pPr>
            <w:r>
              <w:rPr>
                <w:rFonts w:ascii="Times New Roman" w:hAnsi="Times New Roman" w:eastAsiaTheme="majorEastAsia"/>
                <w:kern w:val="0"/>
                <w:szCs w:val="21"/>
              </w:rPr>
              <w:t>人民政府</w:t>
            </w:r>
          </w:p>
        </w:tc>
        <w:tc>
          <w:tcPr>
            <w:tcW w:w="1348"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自然资源局</w:t>
            </w:r>
          </w:p>
        </w:tc>
        <w:tc>
          <w:tcPr>
            <w:tcW w:w="1543" w:type="dxa"/>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kern w:val="0"/>
                <w:szCs w:val="21"/>
              </w:rPr>
              <w:t>余家沟</w:t>
            </w:r>
          </w:p>
        </w:tc>
        <w:tc>
          <w:tcPr>
            <w:tcW w:w="1134"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kern w:val="0"/>
                <w:szCs w:val="21"/>
              </w:rPr>
            </w:pPr>
            <w:r>
              <w:rPr>
                <w:rFonts w:ascii="Times New Roman" w:hAnsi="Times New Roman" w:eastAsiaTheme="majorEastAsia"/>
                <w:kern w:val="0"/>
                <w:szCs w:val="21"/>
              </w:rPr>
              <w:t>惠安堡镇</w:t>
            </w:r>
          </w:p>
        </w:tc>
        <w:tc>
          <w:tcPr>
            <w:tcW w:w="1016" w:type="dxa"/>
            <w:noWrap/>
            <w:tcMar>
              <w:top w:w="15" w:type="dxa"/>
              <w:left w:w="15" w:type="dxa"/>
              <w:bottom w:w="0" w:type="dxa"/>
              <w:right w:w="15" w:type="dxa"/>
            </w:tcMar>
            <w:vAlign w:val="center"/>
          </w:tcPr>
          <w:p>
            <w:pPr>
              <w:widowControl/>
              <w:spacing w:line="260" w:lineRule="exact"/>
              <w:jc w:val="center"/>
              <w:textAlignment w:val="center"/>
              <w:rPr>
                <w:rFonts w:ascii="Times New Roman" w:hAnsi="Times New Roman" w:eastAsiaTheme="majorEastAsia"/>
                <w:bCs/>
                <w:szCs w:val="21"/>
              </w:rPr>
            </w:pPr>
            <w:r>
              <w:rPr>
                <w:rFonts w:ascii="Times New Roman" w:hAnsi="Times New Roman" w:eastAsiaTheme="majorEastAsia"/>
                <w:bCs/>
                <w:szCs w:val="21"/>
              </w:rPr>
              <w:t>8.93</w:t>
            </w:r>
          </w:p>
        </w:tc>
        <w:tc>
          <w:tcPr>
            <w:tcW w:w="1931" w:type="dxa"/>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惠安堡镇石湾沟自然村至惠安堡镇郝记台自然村</w:t>
            </w:r>
          </w:p>
        </w:tc>
        <w:tc>
          <w:tcPr>
            <w:tcW w:w="987"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农田、村庄</w:t>
            </w:r>
          </w:p>
        </w:tc>
        <w:tc>
          <w:tcPr>
            <w:tcW w:w="2468" w:type="dxa"/>
            <w:noWrap/>
            <w:tcMar>
              <w:top w:w="15" w:type="dxa"/>
              <w:left w:w="15" w:type="dxa"/>
              <w:bottom w:w="0" w:type="dxa"/>
              <w:right w:w="15" w:type="dxa"/>
            </w:tcMar>
            <w:vAlign w:val="center"/>
          </w:tcPr>
          <w:p>
            <w:pPr>
              <w:widowControl/>
              <w:jc w:val="left"/>
              <w:rPr>
                <w:rFonts w:ascii="Times New Roman" w:hAnsi="Times New Roman" w:eastAsiaTheme="majorEastAsia"/>
                <w:kern w:val="0"/>
                <w:szCs w:val="21"/>
              </w:rPr>
            </w:pPr>
            <w:r>
              <w:rPr>
                <w:rFonts w:ascii="Times New Roman" w:hAnsi="Times New Roman" w:eastAsiaTheme="majorEastAsia"/>
                <w:kern w:val="0"/>
                <w:szCs w:val="21"/>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6" w:hRule="atLeast"/>
          <w:jc w:val="center"/>
        </w:trPr>
        <w:tc>
          <w:tcPr>
            <w:tcW w:w="998"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spacing w:val="8"/>
                <w:szCs w:val="21"/>
              </w:rPr>
              <w:t>甜水堡沟</w:t>
            </w:r>
          </w:p>
        </w:tc>
        <w:tc>
          <w:tcPr>
            <w:tcW w:w="796"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陈有强</w:t>
            </w:r>
          </w:p>
        </w:tc>
        <w:tc>
          <w:tcPr>
            <w:tcW w:w="1324"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惠安堡镇</w:t>
            </w:r>
          </w:p>
          <w:p>
            <w:pPr>
              <w:widowControl/>
              <w:jc w:val="center"/>
              <w:rPr>
                <w:rFonts w:ascii="Times New Roman" w:hAnsi="Times New Roman" w:eastAsiaTheme="majorEastAsia"/>
                <w:kern w:val="0"/>
                <w:szCs w:val="21"/>
              </w:rPr>
            </w:pPr>
            <w:r>
              <w:rPr>
                <w:rFonts w:ascii="Times New Roman" w:hAnsi="Times New Roman" w:eastAsiaTheme="majorEastAsia"/>
                <w:kern w:val="0"/>
                <w:szCs w:val="21"/>
              </w:rPr>
              <w:t>人民政府</w:t>
            </w:r>
          </w:p>
        </w:tc>
        <w:tc>
          <w:tcPr>
            <w:tcW w:w="1348" w:type="dxa"/>
            <w:noWrap/>
            <w:tcMar>
              <w:top w:w="15" w:type="dxa"/>
              <w:left w:w="15" w:type="dxa"/>
              <w:bottom w:w="0" w:type="dxa"/>
              <w:right w:w="15" w:type="dxa"/>
            </w:tcMar>
            <w:vAlign w:val="center"/>
          </w:tcPr>
          <w:p>
            <w:pPr>
              <w:widowControl/>
              <w:jc w:val="center"/>
              <w:rPr>
                <w:rFonts w:ascii="Times New Roman" w:hAnsi="Times New Roman" w:eastAsiaTheme="majorEastAsia"/>
                <w:kern w:val="0"/>
                <w:szCs w:val="21"/>
              </w:rPr>
            </w:pPr>
            <w:r>
              <w:rPr>
                <w:rFonts w:ascii="Times New Roman" w:hAnsi="Times New Roman" w:eastAsiaTheme="majorEastAsia"/>
                <w:kern w:val="0"/>
                <w:szCs w:val="21"/>
              </w:rPr>
              <w:t>自然资源局</w:t>
            </w:r>
          </w:p>
        </w:tc>
        <w:tc>
          <w:tcPr>
            <w:tcW w:w="1543" w:type="dxa"/>
            <w:tcMar>
              <w:top w:w="15" w:type="dxa"/>
              <w:left w:w="15" w:type="dxa"/>
              <w:bottom w:w="0" w:type="dxa"/>
              <w:right w:w="15" w:type="dxa"/>
            </w:tcMar>
            <w:vAlign w:val="center"/>
          </w:tcPr>
          <w:p>
            <w:pPr>
              <w:pStyle w:val="13"/>
              <w:spacing w:before="0" w:beforeAutospacing="0" w:after="0" w:afterAutospacing="0" w:line="260" w:lineRule="exact"/>
              <w:jc w:val="center"/>
              <w:rPr>
                <w:rFonts w:ascii="Times New Roman" w:hAnsi="Times New Roman" w:cs="Times New Roman" w:eastAsiaTheme="majorEastAsia"/>
                <w:spacing w:val="8"/>
                <w:sz w:val="21"/>
                <w:szCs w:val="21"/>
              </w:rPr>
            </w:pPr>
            <w:r>
              <w:rPr>
                <w:rFonts w:ascii="Times New Roman" w:hAnsi="Times New Roman" w:cs="Times New Roman" w:eastAsiaTheme="majorEastAsia"/>
                <w:spacing w:val="8"/>
                <w:sz w:val="21"/>
                <w:szCs w:val="21"/>
              </w:rPr>
              <w:t>甜水堡沟</w:t>
            </w:r>
          </w:p>
        </w:tc>
        <w:tc>
          <w:tcPr>
            <w:tcW w:w="1134" w:type="dxa"/>
            <w:noWrap/>
            <w:tcMar>
              <w:top w:w="15" w:type="dxa"/>
              <w:left w:w="15" w:type="dxa"/>
              <w:bottom w:w="0" w:type="dxa"/>
              <w:right w:w="15" w:type="dxa"/>
            </w:tcMar>
            <w:vAlign w:val="center"/>
          </w:tcPr>
          <w:p>
            <w:pPr>
              <w:pStyle w:val="13"/>
              <w:spacing w:before="0" w:beforeAutospacing="0" w:after="0" w:afterAutospacing="0" w:line="260" w:lineRule="exact"/>
              <w:jc w:val="center"/>
              <w:rPr>
                <w:rFonts w:ascii="Times New Roman" w:hAnsi="Times New Roman" w:cs="Times New Roman" w:eastAsiaTheme="majorEastAsia"/>
                <w:spacing w:val="8"/>
                <w:sz w:val="21"/>
                <w:szCs w:val="21"/>
              </w:rPr>
            </w:pPr>
            <w:r>
              <w:rPr>
                <w:rFonts w:ascii="Times New Roman" w:hAnsi="Times New Roman" w:cs="Times New Roman" w:eastAsiaTheme="majorEastAsia"/>
                <w:spacing w:val="8"/>
                <w:sz w:val="21"/>
                <w:szCs w:val="21"/>
              </w:rPr>
              <w:t>惠安堡镇</w:t>
            </w:r>
          </w:p>
        </w:tc>
        <w:tc>
          <w:tcPr>
            <w:tcW w:w="1016" w:type="dxa"/>
            <w:noWrap/>
            <w:tcMar>
              <w:top w:w="15" w:type="dxa"/>
              <w:left w:w="15" w:type="dxa"/>
              <w:bottom w:w="0" w:type="dxa"/>
              <w:right w:w="15" w:type="dxa"/>
            </w:tcMar>
            <w:vAlign w:val="center"/>
          </w:tcPr>
          <w:p>
            <w:pPr>
              <w:pStyle w:val="13"/>
              <w:spacing w:before="0" w:beforeAutospacing="0" w:after="0" w:afterAutospacing="0" w:line="260" w:lineRule="exact"/>
              <w:jc w:val="center"/>
              <w:rPr>
                <w:rFonts w:ascii="Times New Roman" w:hAnsi="Times New Roman" w:cs="Times New Roman" w:eastAsiaTheme="majorEastAsia"/>
                <w:spacing w:val="8"/>
                <w:sz w:val="21"/>
                <w:szCs w:val="21"/>
              </w:rPr>
            </w:pPr>
            <w:r>
              <w:rPr>
                <w:rFonts w:ascii="Times New Roman" w:hAnsi="Times New Roman" w:cs="Times New Roman" w:eastAsiaTheme="majorEastAsia"/>
                <w:spacing w:val="8"/>
                <w:sz w:val="21"/>
                <w:szCs w:val="21"/>
              </w:rPr>
              <w:t>13.01</w:t>
            </w:r>
          </w:p>
        </w:tc>
        <w:tc>
          <w:tcPr>
            <w:tcW w:w="1931" w:type="dxa"/>
            <w:tcMar>
              <w:top w:w="15" w:type="dxa"/>
              <w:left w:w="15" w:type="dxa"/>
              <w:bottom w:w="0" w:type="dxa"/>
              <w:right w:w="15" w:type="dxa"/>
            </w:tcMar>
            <w:vAlign w:val="center"/>
          </w:tcPr>
          <w:p>
            <w:pPr>
              <w:pStyle w:val="13"/>
              <w:spacing w:before="0" w:beforeAutospacing="0" w:after="0" w:afterAutospacing="0" w:line="260" w:lineRule="exact"/>
              <w:jc w:val="center"/>
              <w:rPr>
                <w:rFonts w:ascii="Times New Roman" w:hAnsi="Times New Roman" w:cs="Times New Roman" w:eastAsiaTheme="majorEastAsia"/>
                <w:spacing w:val="8"/>
                <w:sz w:val="21"/>
                <w:szCs w:val="21"/>
              </w:rPr>
            </w:pPr>
            <w:r>
              <w:rPr>
                <w:rFonts w:ascii="Times New Roman" w:hAnsi="Times New Roman" w:cs="Times New Roman" w:eastAsiaTheme="majorEastAsia"/>
                <w:spacing w:val="8"/>
                <w:sz w:val="21"/>
                <w:szCs w:val="21"/>
              </w:rPr>
              <w:t>甜水堡沟起于北窑子自然村至北河下自然村</w:t>
            </w:r>
          </w:p>
        </w:tc>
        <w:tc>
          <w:tcPr>
            <w:tcW w:w="987" w:type="dxa"/>
            <w:noWrap/>
            <w:tcMar>
              <w:top w:w="15" w:type="dxa"/>
              <w:left w:w="15" w:type="dxa"/>
              <w:bottom w:w="0" w:type="dxa"/>
              <w:right w:w="15" w:type="dxa"/>
            </w:tcMar>
            <w:vAlign w:val="center"/>
          </w:tcPr>
          <w:p>
            <w:pPr>
              <w:spacing w:line="260" w:lineRule="exact"/>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spacing w:line="260" w:lineRule="exact"/>
              <w:jc w:val="left"/>
              <w:rPr>
                <w:rFonts w:ascii="Times New Roman" w:hAnsi="Times New Roman" w:eastAsiaTheme="majorEastAsia"/>
                <w:bCs/>
                <w:szCs w:val="21"/>
              </w:rPr>
            </w:pPr>
            <w:r>
              <w:rPr>
                <w:rFonts w:ascii="Times New Roman" w:hAnsi="Times New Roman" w:eastAsiaTheme="majorEastAsia"/>
                <w:bCs/>
                <w:szCs w:val="21"/>
              </w:rPr>
              <w:t>治理非法采砂与侵占河道、</w:t>
            </w:r>
            <w:r>
              <w:rPr>
                <w:rFonts w:ascii="Times New Roman" w:hAnsi="Times New Roman" w:eastAsiaTheme="majorEastAsia"/>
                <w:kern w:val="0"/>
                <w:szCs w:val="21"/>
                <w:lang w:bidi="ar"/>
              </w:rPr>
              <w:t>加强水环境综合治理、保障防洪安全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46" w:hRule="atLeast"/>
          <w:jc w:val="center"/>
        </w:trPr>
        <w:tc>
          <w:tcPr>
            <w:tcW w:w="998" w:type="dxa"/>
            <w:noWrap/>
            <w:tcMar>
              <w:top w:w="15" w:type="dxa"/>
              <w:left w:w="15" w:type="dxa"/>
              <w:bottom w:w="0" w:type="dxa"/>
              <w:right w:w="15" w:type="dxa"/>
            </w:tcMar>
            <w:vAlign w:val="center"/>
          </w:tcPr>
          <w:p>
            <w:pPr>
              <w:widowControl/>
              <w:adjustRightInd w:val="0"/>
              <w:snapToGrid w:val="0"/>
              <w:jc w:val="center"/>
              <w:rPr>
                <w:rFonts w:ascii="Times New Roman" w:hAnsi="Times New Roman" w:eastAsiaTheme="majorEastAsia"/>
                <w:kern w:val="0"/>
                <w:szCs w:val="21"/>
              </w:rPr>
            </w:pPr>
            <w:r>
              <w:rPr>
                <w:rFonts w:ascii="Times New Roman" w:hAnsi="Times New Roman" w:eastAsiaTheme="majorEastAsia"/>
                <w:bCs/>
                <w:kern w:val="0"/>
                <w:szCs w:val="21"/>
                <w:lang w:bidi="ar"/>
              </w:rPr>
              <w:t>浅井沟（胶李沟）</w:t>
            </w:r>
          </w:p>
        </w:tc>
        <w:tc>
          <w:tcPr>
            <w:tcW w:w="796" w:type="dxa"/>
            <w:noWrap/>
            <w:tcMar>
              <w:top w:w="15" w:type="dxa"/>
              <w:left w:w="15" w:type="dxa"/>
              <w:bottom w:w="0" w:type="dxa"/>
              <w:right w:w="15" w:type="dxa"/>
            </w:tcMar>
            <w:vAlign w:val="center"/>
          </w:tcPr>
          <w:p>
            <w:pPr>
              <w:widowControl/>
              <w:adjustRightInd w:val="0"/>
              <w:snapToGrid w:val="0"/>
              <w:jc w:val="center"/>
              <w:rPr>
                <w:rFonts w:ascii="Times New Roman" w:hAnsi="Times New Roman" w:eastAsiaTheme="majorEastAsia"/>
                <w:kern w:val="0"/>
                <w:szCs w:val="21"/>
              </w:rPr>
            </w:pPr>
            <w:r>
              <w:rPr>
                <w:rFonts w:ascii="Times New Roman" w:hAnsi="Times New Roman" w:eastAsiaTheme="majorEastAsia"/>
                <w:kern w:val="0"/>
                <w:szCs w:val="21"/>
              </w:rPr>
              <w:t>王永鲜</w:t>
            </w:r>
          </w:p>
        </w:tc>
        <w:tc>
          <w:tcPr>
            <w:tcW w:w="1324" w:type="dxa"/>
            <w:noWrap/>
            <w:tcMar>
              <w:top w:w="15" w:type="dxa"/>
              <w:left w:w="15" w:type="dxa"/>
              <w:bottom w:w="0" w:type="dxa"/>
              <w:right w:w="15" w:type="dxa"/>
            </w:tcMar>
            <w:vAlign w:val="center"/>
          </w:tcPr>
          <w:p>
            <w:pPr>
              <w:widowControl/>
              <w:adjustRightInd w:val="0"/>
              <w:snapToGrid w:val="0"/>
              <w:jc w:val="center"/>
              <w:rPr>
                <w:rFonts w:ascii="Times New Roman" w:hAnsi="Times New Roman" w:eastAsiaTheme="majorEastAsia"/>
                <w:kern w:val="0"/>
                <w:szCs w:val="21"/>
              </w:rPr>
            </w:pPr>
            <w:r>
              <w:rPr>
                <w:rFonts w:ascii="Times New Roman" w:hAnsi="Times New Roman" w:eastAsiaTheme="majorEastAsia"/>
                <w:kern w:val="0"/>
                <w:szCs w:val="21"/>
              </w:rPr>
              <w:t>麻黄山乡</w:t>
            </w:r>
          </w:p>
          <w:p>
            <w:pPr>
              <w:widowControl/>
              <w:adjustRightInd w:val="0"/>
              <w:snapToGrid w:val="0"/>
              <w:jc w:val="center"/>
              <w:rPr>
                <w:rFonts w:ascii="Times New Roman" w:hAnsi="Times New Roman" w:eastAsiaTheme="majorEastAsia"/>
                <w:kern w:val="0"/>
                <w:szCs w:val="21"/>
              </w:rPr>
            </w:pPr>
            <w:r>
              <w:rPr>
                <w:rFonts w:ascii="Times New Roman" w:hAnsi="Times New Roman" w:eastAsiaTheme="majorEastAsia"/>
                <w:kern w:val="0"/>
                <w:szCs w:val="21"/>
              </w:rPr>
              <w:t>人民政府</w:t>
            </w:r>
          </w:p>
        </w:tc>
        <w:tc>
          <w:tcPr>
            <w:tcW w:w="1348" w:type="dxa"/>
            <w:noWrap/>
            <w:tcMar>
              <w:top w:w="15" w:type="dxa"/>
              <w:left w:w="15" w:type="dxa"/>
              <w:bottom w:w="0" w:type="dxa"/>
              <w:right w:w="15" w:type="dxa"/>
            </w:tcMar>
            <w:vAlign w:val="center"/>
          </w:tcPr>
          <w:p>
            <w:pPr>
              <w:widowControl/>
              <w:adjustRightInd w:val="0"/>
              <w:snapToGrid w:val="0"/>
              <w:jc w:val="center"/>
              <w:rPr>
                <w:rFonts w:ascii="Times New Roman" w:hAnsi="Times New Roman" w:eastAsiaTheme="majorEastAsia"/>
                <w:kern w:val="0"/>
                <w:szCs w:val="21"/>
              </w:rPr>
            </w:pPr>
            <w:r>
              <w:rPr>
                <w:rFonts w:ascii="Times New Roman" w:hAnsi="Times New Roman" w:eastAsiaTheme="majorEastAsia"/>
                <w:bCs/>
                <w:szCs w:val="21"/>
              </w:rPr>
              <w:t>市生态环境局盐池分局</w:t>
            </w:r>
          </w:p>
        </w:tc>
        <w:tc>
          <w:tcPr>
            <w:tcW w:w="1543" w:type="dxa"/>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kern w:val="0"/>
                <w:szCs w:val="21"/>
                <w:lang w:bidi="ar"/>
              </w:rPr>
              <w:t>浅井沟（胶李沟）</w:t>
            </w:r>
          </w:p>
        </w:tc>
        <w:tc>
          <w:tcPr>
            <w:tcW w:w="1134" w:type="dxa"/>
            <w:noWrap/>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kern w:val="0"/>
                <w:szCs w:val="21"/>
                <w:lang w:bidi="ar"/>
              </w:rPr>
              <w:t>麻黄山乡大水坑镇</w:t>
            </w:r>
          </w:p>
        </w:tc>
        <w:tc>
          <w:tcPr>
            <w:tcW w:w="1016" w:type="dxa"/>
            <w:noWrap/>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kern w:val="0"/>
                <w:szCs w:val="21"/>
                <w:lang w:bidi="ar"/>
              </w:rPr>
              <w:t>34.26</w:t>
            </w:r>
          </w:p>
        </w:tc>
        <w:tc>
          <w:tcPr>
            <w:tcW w:w="1931" w:type="dxa"/>
            <w:tcMar>
              <w:top w:w="15" w:type="dxa"/>
              <w:left w:w="15" w:type="dxa"/>
              <w:bottom w:w="0" w:type="dxa"/>
              <w:right w:w="15" w:type="dxa"/>
            </w:tcMar>
            <w:vAlign w:val="center"/>
          </w:tcPr>
          <w:p>
            <w:pPr>
              <w:widowControl/>
              <w:adjustRightInd w:val="0"/>
              <w:snapToGrid w:val="0"/>
              <w:jc w:val="center"/>
              <w:textAlignment w:val="center"/>
              <w:rPr>
                <w:rFonts w:ascii="Times New Roman" w:hAnsi="Times New Roman" w:eastAsiaTheme="majorEastAsia"/>
                <w:bCs/>
                <w:szCs w:val="21"/>
              </w:rPr>
            </w:pPr>
            <w:r>
              <w:rPr>
                <w:rFonts w:ascii="Times New Roman" w:hAnsi="Times New Roman" w:eastAsiaTheme="majorEastAsia"/>
                <w:bCs/>
                <w:kern w:val="0"/>
                <w:szCs w:val="21"/>
                <w:lang w:bidi="ar"/>
              </w:rPr>
              <w:t>麻黄山乡麻黄山村至麻黄山乡沙腰岘村</w:t>
            </w:r>
          </w:p>
        </w:tc>
        <w:tc>
          <w:tcPr>
            <w:tcW w:w="987" w:type="dxa"/>
            <w:noWrap/>
            <w:tcMar>
              <w:top w:w="15" w:type="dxa"/>
              <w:left w:w="15" w:type="dxa"/>
              <w:bottom w:w="0" w:type="dxa"/>
              <w:right w:w="15" w:type="dxa"/>
            </w:tcMar>
            <w:vAlign w:val="center"/>
          </w:tcPr>
          <w:p>
            <w:pPr>
              <w:adjustRightInd w:val="0"/>
              <w:snapToGrid w:val="0"/>
              <w:jc w:val="center"/>
              <w:rPr>
                <w:rFonts w:ascii="Times New Roman" w:hAnsi="Times New Roman" w:eastAsiaTheme="majorEastAsia"/>
                <w:bCs/>
                <w:szCs w:val="21"/>
              </w:rPr>
            </w:pPr>
            <w:r>
              <w:rPr>
                <w:rFonts w:ascii="Times New Roman" w:hAnsi="Times New Roman" w:eastAsiaTheme="majorEastAsia"/>
                <w:bCs/>
                <w:szCs w:val="21"/>
              </w:rPr>
              <w:t>农田、村庄</w:t>
            </w:r>
          </w:p>
        </w:tc>
        <w:tc>
          <w:tcPr>
            <w:tcW w:w="2468" w:type="dxa"/>
            <w:noWrap/>
            <w:tcMar>
              <w:top w:w="15" w:type="dxa"/>
              <w:left w:w="15" w:type="dxa"/>
              <w:bottom w:w="0" w:type="dxa"/>
              <w:right w:w="15" w:type="dxa"/>
            </w:tcMar>
            <w:vAlign w:val="center"/>
          </w:tcPr>
          <w:p>
            <w:pPr>
              <w:adjustRightInd w:val="0"/>
              <w:snapToGrid w:val="0"/>
              <w:jc w:val="left"/>
              <w:rPr>
                <w:rFonts w:ascii="Times New Roman" w:hAnsi="Times New Roman" w:eastAsiaTheme="majorEastAsia"/>
                <w:bCs/>
                <w:szCs w:val="21"/>
              </w:rPr>
            </w:pPr>
            <w:r>
              <w:rPr>
                <w:rFonts w:ascii="Times New Roman" w:hAnsi="Times New Roman" w:eastAsiaTheme="majorEastAsia"/>
                <w:szCs w:val="21"/>
              </w:rPr>
              <w:t>加强水环境综合治理、保障防洪安全</w:t>
            </w:r>
          </w:p>
        </w:tc>
      </w:tr>
    </w:tbl>
    <w:p>
      <w:pPr>
        <w:adjustRightInd w:val="0"/>
        <w:snapToGrid w:val="0"/>
        <w:spacing w:line="360" w:lineRule="auto"/>
        <w:ind w:firstLine="560" w:firstLineChars="200"/>
        <w:rPr>
          <w:rFonts w:ascii="仿宋_GB2312" w:hAnsi="黑体" w:eastAsia="仿宋_GB2312"/>
          <w:sz w:val="28"/>
          <w:szCs w:val="28"/>
        </w:rPr>
        <w:sectPr>
          <w:pgSz w:w="16838" w:h="11906" w:orient="landscape"/>
          <w:pgMar w:top="1701" w:right="1701" w:bottom="1701" w:left="1701" w:header="851" w:footer="992" w:gutter="0"/>
          <w:cols w:space="425" w:num="1"/>
          <w:docGrid w:type="lines" w:linePitch="312" w:charSpace="0"/>
        </w:sectPr>
      </w:pPr>
    </w:p>
    <w:p>
      <w:pPr>
        <w:pStyle w:val="4"/>
        <w:adjustRightInd w:val="0"/>
        <w:snapToGrid w:val="0"/>
        <w:spacing w:before="120" w:after="120" w:line="360" w:lineRule="auto"/>
        <w:rPr>
          <w:rFonts w:ascii="仿宋_GB2312" w:eastAsia="仿宋_GB2312"/>
          <w:sz w:val="28"/>
          <w:szCs w:val="28"/>
        </w:rPr>
      </w:pPr>
      <w:r>
        <w:rPr>
          <w:rFonts w:hint="eastAsia" w:ascii="黑体" w:hAnsi="黑体" w:eastAsia="黑体"/>
          <w:kern w:val="0"/>
          <w:sz w:val="28"/>
          <w:szCs w:val="28"/>
        </w:rPr>
        <w:t>4.1.3生态环境状况指数</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根据《宁夏回族自治区环境质量报告书（2016～2020年）》，盐池县近五年环境状况指数变化情况具体见表4-5。由表可知，盐池县生态环境质量指数均低于全区和吴忠市平均水平，生态环境状况一般，近五年生态环境状况指数无明显变化。与2015年（EI41.63）相比，2020年生态环境状况略微变好。</w:t>
      </w:r>
    </w:p>
    <w:p>
      <w:pPr>
        <w:spacing w:line="360" w:lineRule="auto"/>
        <w:jc w:val="center"/>
        <w:rPr>
          <w:rStyle w:val="26"/>
          <w:rFonts w:ascii="Times New Roman" w:hAnsi="Times New Roman"/>
          <w:color w:val="auto"/>
          <w:sz w:val="24"/>
          <w:szCs w:val="24"/>
        </w:rPr>
      </w:pPr>
      <w:r>
        <w:rPr>
          <w:rStyle w:val="26"/>
          <w:rFonts w:ascii="Times New Roman" w:hAnsi="Times New Roman"/>
          <w:b/>
          <w:color w:val="auto"/>
          <w:sz w:val="24"/>
          <w:szCs w:val="24"/>
        </w:rPr>
        <w:t>表</w:t>
      </w:r>
      <w:r>
        <w:rPr>
          <w:rStyle w:val="26"/>
          <w:rFonts w:hint="eastAsia" w:ascii="Times New Roman" w:hAnsi="Times New Roman"/>
          <w:b/>
          <w:color w:val="auto"/>
          <w:sz w:val="24"/>
          <w:szCs w:val="24"/>
        </w:rPr>
        <w:t>4-5</w:t>
      </w:r>
      <w:r>
        <w:rPr>
          <w:rStyle w:val="26"/>
          <w:rFonts w:ascii="Times New Roman" w:hAnsi="Times New Roman"/>
          <w:b/>
          <w:color w:val="auto"/>
          <w:sz w:val="24"/>
          <w:szCs w:val="24"/>
        </w:rPr>
        <w:t xml:space="preserve">   </w:t>
      </w:r>
      <w:r>
        <w:rPr>
          <w:rFonts w:ascii="Times New Roman" w:hAnsi="Times New Roman"/>
          <w:b/>
          <w:sz w:val="24"/>
          <w:szCs w:val="24"/>
          <w:lang w:val="zh-CN" w:bidi="en-US"/>
        </w:rPr>
        <w:t>盐池县生态环境状况指数EI值变化</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87"/>
        <w:gridCol w:w="980"/>
        <w:gridCol w:w="1060"/>
        <w:gridCol w:w="909"/>
        <w:gridCol w:w="982"/>
        <w:gridCol w:w="923"/>
        <w:gridCol w:w="1298"/>
        <w:gridCol w:w="13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81" w:type="pct"/>
            <w:shd w:val="clear" w:color="auto" w:fill="auto"/>
            <w:vAlign w:val="center"/>
          </w:tcPr>
          <w:p>
            <w:pPr>
              <w:adjustRightInd w:val="0"/>
              <w:snapToGrid w:val="0"/>
              <w:jc w:val="center"/>
              <w:rPr>
                <w:rFonts w:ascii="Times New Roman" w:hAnsi="Times New Roman"/>
                <w:b/>
                <w:szCs w:val="21"/>
              </w:rPr>
            </w:pPr>
            <w:r>
              <w:rPr>
                <w:rFonts w:hint="eastAsia" w:ascii="Times New Roman" w:hAnsi="Times New Roman"/>
                <w:b/>
                <w:szCs w:val="21"/>
              </w:rPr>
              <w:t>行政区域</w:t>
            </w:r>
          </w:p>
        </w:tc>
        <w:tc>
          <w:tcPr>
            <w:tcW w:w="562" w:type="pct"/>
            <w:shd w:val="clear" w:color="auto" w:fill="auto"/>
            <w:vAlign w:val="center"/>
          </w:tcPr>
          <w:p>
            <w:pPr>
              <w:adjustRightInd w:val="0"/>
              <w:snapToGrid w:val="0"/>
              <w:jc w:val="center"/>
              <w:rPr>
                <w:rFonts w:ascii="Times New Roman" w:hAnsi="Times New Roman"/>
                <w:b/>
                <w:szCs w:val="21"/>
              </w:rPr>
            </w:pPr>
            <w:r>
              <w:rPr>
                <w:rFonts w:hint="eastAsia" w:ascii="Times New Roman" w:hAnsi="Times New Roman"/>
                <w:b/>
                <w:szCs w:val="21"/>
              </w:rPr>
              <w:t>2016年</w:t>
            </w:r>
          </w:p>
        </w:tc>
        <w:tc>
          <w:tcPr>
            <w:tcW w:w="608" w:type="pct"/>
            <w:shd w:val="clear" w:color="auto" w:fill="auto"/>
            <w:vAlign w:val="center"/>
          </w:tcPr>
          <w:p>
            <w:pPr>
              <w:adjustRightInd w:val="0"/>
              <w:snapToGrid w:val="0"/>
              <w:jc w:val="center"/>
              <w:rPr>
                <w:rFonts w:ascii="Times New Roman" w:hAnsi="Times New Roman"/>
                <w:b/>
                <w:szCs w:val="21"/>
              </w:rPr>
            </w:pPr>
            <w:r>
              <w:rPr>
                <w:rFonts w:hint="eastAsia" w:ascii="Times New Roman" w:hAnsi="Times New Roman"/>
                <w:b/>
                <w:szCs w:val="21"/>
              </w:rPr>
              <w:t>2017年</w:t>
            </w:r>
          </w:p>
        </w:tc>
        <w:tc>
          <w:tcPr>
            <w:tcW w:w="521" w:type="pct"/>
            <w:shd w:val="clear" w:color="auto" w:fill="auto"/>
            <w:vAlign w:val="center"/>
          </w:tcPr>
          <w:p>
            <w:pPr>
              <w:adjustRightInd w:val="0"/>
              <w:snapToGrid w:val="0"/>
              <w:jc w:val="center"/>
              <w:rPr>
                <w:rFonts w:ascii="Times New Roman" w:hAnsi="Times New Roman"/>
                <w:b/>
                <w:szCs w:val="21"/>
              </w:rPr>
            </w:pPr>
            <w:r>
              <w:rPr>
                <w:rFonts w:hint="eastAsia" w:ascii="Times New Roman" w:hAnsi="Times New Roman"/>
                <w:b/>
                <w:szCs w:val="21"/>
              </w:rPr>
              <w:t>2018年</w:t>
            </w:r>
          </w:p>
        </w:tc>
        <w:tc>
          <w:tcPr>
            <w:tcW w:w="563" w:type="pct"/>
            <w:shd w:val="clear" w:color="auto" w:fill="auto"/>
            <w:vAlign w:val="center"/>
          </w:tcPr>
          <w:p>
            <w:pPr>
              <w:adjustRightInd w:val="0"/>
              <w:snapToGrid w:val="0"/>
              <w:jc w:val="center"/>
              <w:rPr>
                <w:rFonts w:ascii="Times New Roman" w:hAnsi="Times New Roman"/>
                <w:b/>
                <w:szCs w:val="21"/>
              </w:rPr>
            </w:pPr>
            <w:r>
              <w:rPr>
                <w:rFonts w:hint="eastAsia" w:ascii="Times New Roman" w:hAnsi="Times New Roman"/>
                <w:b/>
                <w:szCs w:val="21"/>
              </w:rPr>
              <w:t>2019年</w:t>
            </w:r>
          </w:p>
        </w:tc>
        <w:tc>
          <w:tcPr>
            <w:tcW w:w="529" w:type="pct"/>
            <w:shd w:val="clear" w:color="auto" w:fill="auto"/>
            <w:vAlign w:val="center"/>
          </w:tcPr>
          <w:p>
            <w:pPr>
              <w:adjustRightInd w:val="0"/>
              <w:snapToGrid w:val="0"/>
              <w:jc w:val="center"/>
              <w:rPr>
                <w:rFonts w:ascii="Times New Roman" w:hAnsi="Times New Roman"/>
                <w:b/>
                <w:szCs w:val="21"/>
              </w:rPr>
            </w:pPr>
            <w:r>
              <w:rPr>
                <w:rFonts w:hint="eastAsia" w:ascii="Times New Roman" w:hAnsi="Times New Roman"/>
                <w:b/>
                <w:szCs w:val="21"/>
              </w:rPr>
              <w:t>2020年</w:t>
            </w:r>
          </w:p>
        </w:tc>
        <w:tc>
          <w:tcPr>
            <w:tcW w:w="744" w:type="pct"/>
            <w:shd w:val="clear" w:color="auto" w:fill="auto"/>
            <w:vAlign w:val="center"/>
          </w:tcPr>
          <w:p>
            <w:pPr>
              <w:adjustRightInd w:val="0"/>
              <w:snapToGrid w:val="0"/>
              <w:jc w:val="center"/>
              <w:rPr>
                <w:rFonts w:ascii="Times New Roman" w:hAnsi="Times New Roman"/>
                <w:b/>
                <w:sz w:val="18"/>
                <w:szCs w:val="18"/>
              </w:rPr>
            </w:pPr>
            <w:r>
              <w:rPr>
                <w:rFonts w:hint="eastAsia" w:ascii="Times New Roman" w:hAnsi="Times New Roman"/>
                <w:b/>
                <w:sz w:val="18"/>
                <w:szCs w:val="18"/>
              </w:rPr>
              <w:t>2016-2020年</w:t>
            </w:r>
          </w:p>
          <w:p>
            <w:pPr>
              <w:adjustRightInd w:val="0"/>
              <w:snapToGrid w:val="0"/>
              <w:jc w:val="center"/>
              <w:rPr>
                <w:rFonts w:ascii="Times New Roman" w:hAnsi="Times New Roman"/>
                <w:b/>
                <w:szCs w:val="21"/>
              </w:rPr>
            </w:pPr>
            <w:r>
              <w:rPr>
                <w:rFonts w:hint="eastAsia" w:ascii="Times New Roman" w:hAnsi="Times New Roman"/>
                <w:b/>
                <w:sz w:val="18"/>
                <w:szCs w:val="18"/>
              </w:rPr>
              <w:t>△EI</w:t>
            </w:r>
          </w:p>
        </w:tc>
        <w:tc>
          <w:tcPr>
            <w:tcW w:w="792" w:type="pct"/>
            <w:vAlign w:val="center"/>
          </w:tcPr>
          <w:p>
            <w:pPr>
              <w:adjustRightInd w:val="0"/>
              <w:snapToGrid w:val="0"/>
              <w:jc w:val="center"/>
              <w:rPr>
                <w:rFonts w:ascii="Times New Roman" w:hAnsi="Times New Roman"/>
                <w:b/>
                <w:szCs w:val="21"/>
              </w:rPr>
            </w:pPr>
            <w:r>
              <w:rPr>
                <w:rFonts w:hint="eastAsia" w:ascii="Times New Roman" w:hAnsi="Times New Roman"/>
                <w:b/>
                <w:szCs w:val="21"/>
              </w:rPr>
              <w:t>2016-2020</w:t>
            </w:r>
          </w:p>
          <w:p>
            <w:pPr>
              <w:adjustRightInd w:val="0"/>
              <w:snapToGrid w:val="0"/>
              <w:jc w:val="center"/>
              <w:rPr>
                <w:rFonts w:ascii="Times New Roman" w:hAnsi="Times New Roman"/>
                <w:b/>
                <w:szCs w:val="21"/>
              </w:rPr>
            </w:pPr>
            <w:r>
              <w:rPr>
                <w:rFonts w:hint="eastAsia" w:ascii="Times New Roman" w:hAnsi="Times New Roman"/>
                <w:b/>
                <w:szCs w:val="21"/>
              </w:rPr>
              <w:t>变化分级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81" w:type="pct"/>
            <w:shd w:val="clear" w:color="auto" w:fill="auto"/>
            <w:vAlign w:val="center"/>
          </w:tcPr>
          <w:p>
            <w:pPr>
              <w:jc w:val="center"/>
              <w:rPr>
                <w:rFonts w:ascii="Times New Roman" w:hAnsi="Times New Roman"/>
                <w:b/>
                <w:szCs w:val="21"/>
              </w:rPr>
            </w:pPr>
            <w:r>
              <w:rPr>
                <w:rFonts w:ascii="Times New Roman" w:hAnsi="Times New Roman"/>
                <w:b/>
                <w:szCs w:val="21"/>
              </w:rPr>
              <w:t>全  区</w:t>
            </w:r>
          </w:p>
        </w:tc>
        <w:tc>
          <w:tcPr>
            <w:tcW w:w="562" w:type="pct"/>
            <w:shd w:val="clear" w:color="auto" w:fill="auto"/>
            <w:vAlign w:val="center"/>
          </w:tcPr>
          <w:p>
            <w:pPr>
              <w:jc w:val="center"/>
              <w:rPr>
                <w:rFonts w:ascii="Times New Roman" w:hAnsi="Times New Roman"/>
                <w:b/>
                <w:szCs w:val="21"/>
              </w:rPr>
            </w:pPr>
            <w:r>
              <w:rPr>
                <w:rFonts w:hint="eastAsia" w:ascii="Times New Roman" w:hAnsi="Times New Roman"/>
                <w:b/>
                <w:szCs w:val="21"/>
              </w:rPr>
              <w:t>46.08</w:t>
            </w:r>
          </w:p>
        </w:tc>
        <w:tc>
          <w:tcPr>
            <w:tcW w:w="608" w:type="pct"/>
            <w:shd w:val="clear" w:color="auto" w:fill="auto"/>
            <w:vAlign w:val="center"/>
          </w:tcPr>
          <w:p>
            <w:pPr>
              <w:jc w:val="center"/>
              <w:rPr>
                <w:rFonts w:ascii="Times New Roman" w:hAnsi="Times New Roman"/>
                <w:b/>
                <w:szCs w:val="21"/>
              </w:rPr>
            </w:pPr>
            <w:r>
              <w:rPr>
                <w:rFonts w:hint="eastAsia" w:ascii="Times New Roman" w:hAnsi="Times New Roman"/>
                <w:b/>
                <w:szCs w:val="21"/>
              </w:rPr>
              <w:t>46.22</w:t>
            </w:r>
          </w:p>
        </w:tc>
        <w:tc>
          <w:tcPr>
            <w:tcW w:w="521" w:type="pct"/>
            <w:shd w:val="clear" w:color="auto" w:fill="auto"/>
            <w:vAlign w:val="center"/>
          </w:tcPr>
          <w:p>
            <w:pPr>
              <w:jc w:val="center"/>
              <w:rPr>
                <w:rFonts w:ascii="Times New Roman" w:hAnsi="Times New Roman"/>
                <w:b/>
                <w:szCs w:val="21"/>
              </w:rPr>
            </w:pPr>
            <w:r>
              <w:rPr>
                <w:rFonts w:hint="eastAsia" w:ascii="Times New Roman" w:hAnsi="Times New Roman"/>
                <w:b/>
                <w:szCs w:val="21"/>
              </w:rPr>
              <w:t>49.11</w:t>
            </w:r>
          </w:p>
        </w:tc>
        <w:tc>
          <w:tcPr>
            <w:tcW w:w="563" w:type="pct"/>
            <w:shd w:val="clear" w:color="auto" w:fill="auto"/>
            <w:vAlign w:val="center"/>
          </w:tcPr>
          <w:p>
            <w:pPr>
              <w:jc w:val="center"/>
              <w:rPr>
                <w:rFonts w:ascii="Times New Roman" w:hAnsi="Times New Roman"/>
                <w:b/>
                <w:szCs w:val="21"/>
              </w:rPr>
            </w:pPr>
            <w:r>
              <w:rPr>
                <w:rFonts w:hint="eastAsia" w:ascii="Times New Roman" w:hAnsi="Times New Roman"/>
                <w:b/>
                <w:szCs w:val="21"/>
              </w:rPr>
              <w:t>48.70</w:t>
            </w:r>
          </w:p>
        </w:tc>
        <w:tc>
          <w:tcPr>
            <w:tcW w:w="529" w:type="pct"/>
            <w:shd w:val="clear" w:color="auto" w:fill="auto"/>
            <w:vAlign w:val="center"/>
          </w:tcPr>
          <w:p>
            <w:pPr>
              <w:jc w:val="center"/>
              <w:rPr>
                <w:rFonts w:ascii="Times New Roman" w:hAnsi="Times New Roman"/>
                <w:b/>
                <w:szCs w:val="21"/>
              </w:rPr>
            </w:pPr>
            <w:r>
              <w:rPr>
                <w:rFonts w:hint="eastAsia" w:ascii="Times New Roman" w:hAnsi="Times New Roman"/>
                <w:b/>
                <w:szCs w:val="21"/>
              </w:rPr>
              <w:t>47.92</w:t>
            </w:r>
          </w:p>
        </w:tc>
        <w:tc>
          <w:tcPr>
            <w:tcW w:w="744" w:type="pct"/>
            <w:shd w:val="clear" w:color="auto" w:fill="auto"/>
            <w:vAlign w:val="center"/>
          </w:tcPr>
          <w:p>
            <w:pPr>
              <w:jc w:val="center"/>
              <w:rPr>
                <w:rFonts w:ascii="Times New Roman" w:hAnsi="Times New Roman"/>
                <w:b/>
                <w:szCs w:val="21"/>
              </w:rPr>
            </w:pPr>
            <w:r>
              <w:rPr>
                <w:rFonts w:hint="eastAsia" w:ascii="Times New Roman" w:hAnsi="Times New Roman"/>
                <w:b/>
                <w:szCs w:val="21"/>
              </w:rPr>
              <w:t>1.84</w:t>
            </w:r>
          </w:p>
        </w:tc>
        <w:tc>
          <w:tcPr>
            <w:tcW w:w="792" w:type="pct"/>
            <w:vAlign w:val="center"/>
          </w:tcPr>
          <w:p>
            <w:pPr>
              <w:jc w:val="center"/>
              <w:rPr>
                <w:rFonts w:ascii="Times New Roman" w:hAnsi="Times New Roman"/>
                <w:b/>
                <w:szCs w:val="21"/>
              </w:rPr>
            </w:pPr>
            <w:r>
              <w:rPr>
                <w:rFonts w:ascii="Times New Roman" w:hAnsi="Times New Roman"/>
                <w:b/>
                <w:szCs w:val="21"/>
              </w:rPr>
              <w:t>略微变好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81" w:type="pct"/>
            <w:shd w:val="clear" w:color="auto" w:fill="auto"/>
            <w:vAlign w:val="center"/>
          </w:tcPr>
          <w:p>
            <w:pPr>
              <w:jc w:val="center"/>
              <w:rPr>
                <w:rFonts w:ascii="Times New Roman" w:hAnsi="Times New Roman"/>
                <w:szCs w:val="21"/>
              </w:rPr>
            </w:pPr>
            <w:r>
              <w:rPr>
                <w:rFonts w:ascii="Times New Roman" w:hAnsi="Times New Roman"/>
                <w:szCs w:val="21"/>
              </w:rPr>
              <w:t>吴忠市</w:t>
            </w:r>
          </w:p>
        </w:tc>
        <w:tc>
          <w:tcPr>
            <w:tcW w:w="562" w:type="pct"/>
            <w:shd w:val="clear" w:color="auto" w:fill="auto"/>
            <w:vAlign w:val="center"/>
          </w:tcPr>
          <w:p>
            <w:pPr>
              <w:jc w:val="center"/>
              <w:rPr>
                <w:rFonts w:ascii="Times New Roman" w:hAnsi="Times New Roman"/>
                <w:szCs w:val="21"/>
              </w:rPr>
            </w:pPr>
            <w:r>
              <w:rPr>
                <w:rFonts w:hint="eastAsia" w:ascii="Times New Roman" w:hAnsi="Times New Roman"/>
                <w:szCs w:val="21"/>
              </w:rPr>
              <w:t>46.28</w:t>
            </w:r>
          </w:p>
        </w:tc>
        <w:tc>
          <w:tcPr>
            <w:tcW w:w="608" w:type="pct"/>
            <w:shd w:val="clear" w:color="auto" w:fill="auto"/>
            <w:vAlign w:val="center"/>
          </w:tcPr>
          <w:p>
            <w:pPr>
              <w:jc w:val="center"/>
              <w:rPr>
                <w:rFonts w:ascii="Times New Roman" w:hAnsi="Times New Roman"/>
                <w:szCs w:val="21"/>
              </w:rPr>
            </w:pPr>
            <w:r>
              <w:rPr>
                <w:rFonts w:hint="eastAsia" w:ascii="Times New Roman" w:hAnsi="Times New Roman"/>
                <w:szCs w:val="21"/>
              </w:rPr>
              <w:t>45.62</w:t>
            </w:r>
          </w:p>
        </w:tc>
        <w:tc>
          <w:tcPr>
            <w:tcW w:w="521" w:type="pct"/>
            <w:shd w:val="clear" w:color="auto" w:fill="auto"/>
            <w:vAlign w:val="center"/>
          </w:tcPr>
          <w:p>
            <w:pPr>
              <w:jc w:val="center"/>
              <w:rPr>
                <w:rFonts w:ascii="Times New Roman" w:hAnsi="Times New Roman"/>
                <w:szCs w:val="21"/>
              </w:rPr>
            </w:pPr>
            <w:r>
              <w:rPr>
                <w:rFonts w:hint="eastAsia" w:ascii="Times New Roman" w:hAnsi="Times New Roman"/>
                <w:szCs w:val="21"/>
              </w:rPr>
              <w:t>48.89</w:t>
            </w:r>
          </w:p>
        </w:tc>
        <w:tc>
          <w:tcPr>
            <w:tcW w:w="563" w:type="pct"/>
            <w:shd w:val="clear" w:color="auto" w:fill="auto"/>
            <w:vAlign w:val="center"/>
          </w:tcPr>
          <w:p>
            <w:pPr>
              <w:jc w:val="center"/>
              <w:rPr>
                <w:rFonts w:ascii="Times New Roman" w:hAnsi="Times New Roman"/>
                <w:szCs w:val="21"/>
              </w:rPr>
            </w:pPr>
            <w:r>
              <w:rPr>
                <w:rFonts w:hint="eastAsia" w:ascii="Times New Roman" w:hAnsi="Times New Roman"/>
                <w:szCs w:val="21"/>
              </w:rPr>
              <w:t>47.99</w:t>
            </w:r>
          </w:p>
        </w:tc>
        <w:tc>
          <w:tcPr>
            <w:tcW w:w="529" w:type="pct"/>
            <w:shd w:val="clear" w:color="auto" w:fill="auto"/>
            <w:vAlign w:val="center"/>
          </w:tcPr>
          <w:p>
            <w:pPr>
              <w:jc w:val="center"/>
              <w:rPr>
                <w:rFonts w:ascii="Times New Roman" w:hAnsi="Times New Roman"/>
                <w:szCs w:val="21"/>
              </w:rPr>
            </w:pPr>
            <w:r>
              <w:rPr>
                <w:rFonts w:hint="eastAsia" w:ascii="Times New Roman" w:hAnsi="Times New Roman"/>
                <w:szCs w:val="21"/>
              </w:rPr>
              <w:t>46.41</w:t>
            </w:r>
          </w:p>
        </w:tc>
        <w:tc>
          <w:tcPr>
            <w:tcW w:w="744" w:type="pct"/>
            <w:shd w:val="clear" w:color="auto" w:fill="auto"/>
            <w:vAlign w:val="center"/>
          </w:tcPr>
          <w:p>
            <w:pPr>
              <w:jc w:val="center"/>
              <w:rPr>
                <w:rFonts w:ascii="Times New Roman" w:hAnsi="Times New Roman"/>
                <w:szCs w:val="21"/>
              </w:rPr>
            </w:pPr>
            <w:r>
              <w:rPr>
                <w:rFonts w:hint="eastAsia" w:ascii="Times New Roman" w:hAnsi="Times New Roman"/>
                <w:szCs w:val="21"/>
              </w:rPr>
              <w:t>0.13</w:t>
            </w:r>
          </w:p>
        </w:tc>
        <w:tc>
          <w:tcPr>
            <w:tcW w:w="792" w:type="pct"/>
            <w:vAlign w:val="center"/>
          </w:tcPr>
          <w:p>
            <w:pPr>
              <w:jc w:val="center"/>
              <w:rPr>
                <w:rFonts w:ascii="Times New Roman" w:hAnsi="Times New Roman"/>
                <w:szCs w:val="21"/>
              </w:rPr>
            </w:pPr>
            <w:r>
              <w:rPr>
                <w:rFonts w:ascii="Times New Roman" w:hAnsi="Times New Roman"/>
                <w:szCs w:val="21"/>
              </w:rPr>
              <w:t>无明显变化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681" w:type="pct"/>
            <w:shd w:val="clear" w:color="auto" w:fill="auto"/>
            <w:vAlign w:val="center"/>
          </w:tcPr>
          <w:p>
            <w:pPr>
              <w:jc w:val="center"/>
              <w:rPr>
                <w:rFonts w:ascii="Times New Roman" w:hAnsi="Times New Roman"/>
                <w:szCs w:val="21"/>
              </w:rPr>
            </w:pPr>
            <w:r>
              <w:rPr>
                <w:rFonts w:ascii="Times New Roman" w:hAnsi="Times New Roman"/>
                <w:szCs w:val="21"/>
              </w:rPr>
              <w:t>利通区</w:t>
            </w:r>
          </w:p>
        </w:tc>
        <w:tc>
          <w:tcPr>
            <w:tcW w:w="562" w:type="pct"/>
            <w:shd w:val="clear" w:color="auto" w:fill="auto"/>
            <w:vAlign w:val="center"/>
          </w:tcPr>
          <w:p>
            <w:pPr>
              <w:jc w:val="center"/>
              <w:rPr>
                <w:rFonts w:ascii="Times New Roman" w:hAnsi="Times New Roman"/>
                <w:szCs w:val="21"/>
              </w:rPr>
            </w:pPr>
            <w:r>
              <w:rPr>
                <w:rFonts w:hint="eastAsia" w:ascii="Times New Roman" w:hAnsi="Times New Roman"/>
                <w:szCs w:val="21"/>
              </w:rPr>
              <w:t>44.44</w:t>
            </w:r>
          </w:p>
        </w:tc>
        <w:tc>
          <w:tcPr>
            <w:tcW w:w="608" w:type="pct"/>
            <w:shd w:val="clear" w:color="auto" w:fill="auto"/>
            <w:vAlign w:val="center"/>
          </w:tcPr>
          <w:p>
            <w:pPr>
              <w:jc w:val="center"/>
              <w:rPr>
                <w:rFonts w:ascii="Times New Roman" w:hAnsi="Times New Roman"/>
                <w:szCs w:val="21"/>
              </w:rPr>
            </w:pPr>
            <w:r>
              <w:rPr>
                <w:rFonts w:hint="eastAsia" w:ascii="Times New Roman" w:hAnsi="Times New Roman"/>
                <w:szCs w:val="21"/>
              </w:rPr>
              <w:t>43.60</w:t>
            </w:r>
          </w:p>
        </w:tc>
        <w:tc>
          <w:tcPr>
            <w:tcW w:w="521" w:type="pct"/>
            <w:shd w:val="clear" w:color="auto" w:fill="auto"/>
            <w:vAlign w:val="center"/>
          </w:tcPr>
          <w:p>
            <w:pPr>
              <w:jc w:val="center"/>
              <w:rPr>
                <w:rFonts w:ascii="Times New Roman" w:hAnsi="Times New Roman"/>
                <w:szCs w:val="21"/>
              </w:rPr>
            </w:pPr>
            <w:r>
              <w:rPr>
                <w:rFonts w:hint="eastAsia" w:ascii="Times New Roman" w:hAnsi="Times New Roman"/>
                <w:szCs w:val="21"/>
              </w:rPr>
              <w:t>47.19</w:t>
            </w:r>
          </w:p>
        </w:tc>
        <w:tc>
          <w:tcPr>
            <w:tcW w:w="563" w:type="pct"/>
            <w:shd w:val="clear" w:color="auto" w:fill="auto"/>
            <w:vAlign w:val="center"/>
          </w:tcPr>
          <w:p>
            <w:pPr>
              <w:jc w:val="center"/>
              <w:rPr>
                <w:rFonts w:ascii="Times New Roman" w:hAnsi="Times New Roman"/>
                <w:szCs w:val="21"/>
              </w:rPr>
            </w:pPr>
            <w:r>
              <w:rPr>
                <w:rFonts w:hint="eastAsia" w:ascii="Times New Roman" w:hAnsi="Times New Roman"/>
                <w:szCs w:val="21"/>
              </w:rPr>
              <w:t>45.97</w:t>
            </w:r>
          </w:p>
        </w:tc>
        <w:tc>
          <w:tcPr>
            <w:tcW w:w="529" w:type="pct"/>
            <w:shd w:val="clear" w:color="auto" w:fill="auto"/>
            <w:vAlign w:val="center"/>
          </w:tcPr>
          <w:p>
            <w:pPr>
              <w:jc w:val="center"/>
              <w:rPr>
                <w:rFonts w:ascii="Times New Roman" w:hAnsi="Times New Roman"/>
                <w:szCs w:val="21"/>
              </w:rPr>
            </w:pPr>
            <w:r>
              <w:rPr>
                <w:rFonts w:hint="eastAsia" w:ascii="Times New Roman" w:hAnsi="Times New Roman"/>
                <w:szCs w:val="21"/>
              </w:rPr>
              <w:t>46.32</w:t>
            </w:r>
          </w:p>
        </w:tc>
        <w:tc>
          <w:tcPr>
            <w:tcW w:w="744" w:type="pct"/>
            <w:shd w:val="clear" w:color="auto" w:fill="auto"/>
            <w:vAlign w:val="center"/>
          </w:tcPr>
          <w:p>
            <w:pPr>
              <w:jc w:val="center"/>
              <w:rPr>
                <w:rFonts w:ascii="Times New Roman" w:hAnsi="Times New Roman"/>
                <w:szCs w:val="21"/>
              </w:rPr>
            </w:pPr>
            <w:r>
              <w:rPr>
                <w:rFonts w:hint="eastAsia" w:ascii="Times New Roman" w:hAnsi="Times New Roman"/>
                <w:szCs w:val="21"/>
              </w:rPr>
              <w:t>1.88</w:t>
            </w:r>
          </w:p>
        </w:tc>
        <w:tc>
          <w:tcPr>
            <w:tcW w:w="792" w:type="pct"/>
            <w:vAlign w:val="center"/>
          </w:tcPr>
          <w:p>
            <w:pPr>
              <w:jc w:val="center"/>
              <w:rPr>
                <w:rFonts w:ascii="Times New Roman" w:hAnsi="Times New Roman"/>
                <w:szCs w:val="21"/>
              </w:rPr>
            </w:pPr>
            <w:r>
              <w:rPr>
                <w:rFonts w:ascii="Times New Roman" w:hAnsi="Times New Roman"/>
                <w:szCs w:val="21"/>
              </w:rPr>
              <w:t>略微变好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681" w:type="pct"/>
            <w:shd w:val="clear" w:color="auto" w:fill="auto"/>
            <w:vAlign w:val="center"/>
          </w:tcPr>
          <w:p>
            <w:pPr>
              <w:jc w:val="center"/>
              <w:rPr>
                <w:rFonts w:ascii="Times New Roman" w:hAnsi="Times New Roman"/>
                <w:szCs w:val="21"/>
              </w:rPr>
            </w:pPr>
            <w:r>
              <w:rPr>
                <w:rFonts w:ascii="Times New Roman" w:hAnsi="Times New Roman"/>
                <w:szCs w:val="21"/>
              </w:rPr>
              <w:t>红寺堡区</w:t>
            </w:r>
          </w:p>
        </w:tc>
        <w:tc>
          <w:tcPr>
            <w:tcW w:w="562" w:type="pct"/>
            <w:shd w:val="clear" w:color="auto" w:fill="auto"/>
            <w:vAlign w:val="center"/>
          </w:tcPr>
          <w:p>
            <w:pPr>
              <w:jc w:val="center"/>
              <w:rPr>
                <w:rFonts w:ascii="Times New Roman" w:hAnsi="Times New Roman"/>
                <w:szCs w:val="21"/>
              </w:rPr>
            </w:pPr>
            <w:r>
              <w:rPr>
                <w:rFonts w:hint="eastAsia" w:ascii="Times New Roman" w:hAnsi="Times New Roman"/>
                <w:szCs w:val="21"/>
              </w:rPr>
              <w:t>44.53</w:t>
            </w:r>
          </w:p>
        </w:tc>
        <w:tc>
          <w:tcPr>
            <w:tcW w:w="608" w:type="pct"/>
            <w:shd w:val="clear" w:color="auto" w:fill="auto"/>
            <w:vAlign w:val="center"/>
          </w:tcPr>
          <w:p>
            <w:pPr>
              <w:jc w:val="center"/>
              <w:rPr>
                <w:rFonts w:ascii="Times New Roman" w:hAnsi="Times New Roman"/>
                <w:szCs w:val="21"/>
              </w:rPr>
            </w:pPr>
            <w:r>
              <w:rPr>
                <w:rFonts w:hint="eastAsia" w:ascii="Times New Roman" w:hAnsi="Times New Roman"/>
                <w:szCs w:val="21"/>
              </w:rPr>
              <w:t>44.66</w:t>
            </w:r>
          </w:p>
        </w:tc>
        <w:tc>
          <w:tcPr>
            <w:tcW w:w="521" w:type="pct"/>
            <w:shd w:val="clear" w:color="auto" w:fill="auto"/>
            <w:vAlign w:val="center"/>
          </w:tcPr>
          <w:p>
            <w:pPr>
              <w:jc w:val="center"/>
              <w:rPr>
                <w:rFonts w:ascii="Times New Roman" w:hAnsi="Times New Roman"/>
                <w:szCs w:val="21"/>
              </w:rPr>
            </w:pPr>
            <w:r>
              <w:rPr>
                <w:rFonts w:hint="eastAsia" w:ascii="Times New Roman" w:hAnsi="Times New Roman"/>
                <w:szCs w:val="21"/>
              </w:rPr>
              <w:t>48.06</w:t>
            </w:r>
          </w:p>
        </w:tc>
        <w:tc>
          <w:tcPr>
            <w:tcW w:w="563" w:type="pct"/>
            <w:shd w:val="clear" w:color="auto" w:fill="auto"/>
            <w:vAlign w:val="center"/>
          </w:tcPr>
          <w:p>
            <w:pPr>
              <w:jc w:val="center"/>
              <w:rPr>
                <w:rFonts w:ascii="Times New Roman" w:hAnsi="Times New Roman"/>
                <w:szCs w:val="21"/>
              </w:rPr>
            </w:pPr>
            <w:r>
              <w:rPr>
                <w:rFonts w:hint="eastAsia" w:ascii="Times New Roman" w:hAnsi="Times New Roman"/>
                <w:szCs w:val="21"/>
              </w:rPr>
              <w:t>47.56</w:t>
            </w:r>
          </w:p>
        </w:tc>
        <w:tc>
          <w:tcPr>
            <w:tcW w:w="529" w:type="pct"/>
            <w:shd w:val="clear" w:color="auto" w:fill="auto"/>
            <w:vAlign w:val="center"/>
          </w:tcPr>
          <w:p>
            <w:pPr>
              <w:jc w:val="center"/>
              <w:rPr>
                <w:rFonts w:ascii="Times New Roman" w:hAnsi="Times New Roman"/>
                <w:szCs w:val="21"/>
              </w:rPr>
            </w:pPr>
            <w:r>
              <w:rPr>
                <w:rFonts w:hint="eastAsia" w:ascii="Times New Roman" w:hAnsi="Times New Roman"/>
                <w:szCs w:val="21"/>
              </w:rPr>
              <w:t>47.02</w:t>
            </w:r>
          </w:p>
        </w:tc>
        <w:tc>
          <w:tcPr>
            <w:tcW w:w="744" w:type="pct"/>
            <w:shd w:val="clear" w:color="auto" w:fill="auto"/>
            <w:vAlign w:val="center"/>
          </w:tcPr>
          <w:p>
            <w:pPr>
              <w:jc w:val="center"/>
              <w:rPr>
                <w:rFonts w:ascii="Times New Roman" w:hAnsi="Times New Roman"/>
                <w:szCs w:val="21"/>
              </w:rPr>
            </w:pPr>
            <w:r>
              <w:rPr>
                <w:rFonts w:hint="eastAsia" w:ascii="Times New Roman" w:hAnsi="Times New Roman"/>
                <w:szCs w:val="21"/>
              </w:rPr>
              <w:t>2.49</w:t>
            </w:r>
          </w:p>
        </w:tc>
        <w:tc>
          <w:tcPr>
            <w:tcW w:w="792" w:type="pct"/>
            <w:vAlign w:val="center"/>
          </w:tcPr>
          <w:p>
            <w:pPr>
              <w:jc w:val="center"/>
              <w:rPr>
                <w:rFonts w:ascii="Times New Roman" w:hAnsi="Times New Roman"/>
                <w:szCs w:val="21"/>
              </w:rPr>
            </w:pPr>
            <w:r>
              <w:rPr>
                <w:rFonts w:ascii="Times New Roman" w:hAnsi="Times New Roman"/>
                <w:szCs w:val="21"/>
              </w:rPr>
              <w:t>略微变好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681" w:type="pct"/>
            <w:shd w:val="clear" w:color="auto" w:fill="auto"/>
            <w:vAlign w:val="center"/>
          </w:tcPr>
          <w:p>
            <w:pPr>
              <w:jc w:val="center"/>
              <w:rPr>
                <w:rFonts w:ascii="Times New Roman" w:hAnsi="Times New Roman"/>
                <w:b/>
                <w:szCs w:val="21"/>
              </w:rPr>
            </w:pPr>
            <w:r>
              <w:rPr>
                <w:rFonts w:ascii="Times New Roman" w:hAnsi="Times New Roman"/>
                <w:b/>
                <w:szCs w:val="21"/>
              </w:rPr>
              <w:t>盐池县</w:t>
            </w:r>
          </w:p>
        </w:tc>
        <w:tc>
          <w:tcPr>
            <w:tcW w:w="562" w:type="pct"/>
            <w:shd w:val="clear" w:color="auto" w:fill="auto"/>
            <w:vAlign w:val="center"/>
          </w:tcPr>
          <w:p>
            <w:pPr>
              <w:jc w:val="center"/>
              <w:rPr>
                <w:rFonts w:ascii="Times New Roman" w:hAnsi="Times New Roman"/>
                <w:b/>
                <w:szCs w:val="21"/>
              </w:rPr>
            </w:pPr>
            <w:r>
              <w:rPr>
                <w:rFonts w:hint="eastAsia" w:ascii="Times New Roman" w:hAnsi="Times New Roman"/>
                <w:b/>
                <w:szCs w:val="21"/>
              </w:rPr>
              <w:t>42.64</w:t>
            </w:r>
          </w:p>
        </w:tc>
        <w:tc>
          <w:tcPr>
            <w:tcW w:w="608" w:type="pct"/>
            <w:shd w:val="clear" w:color="auto" w:fill="auto"/>
            <w:vAlign w:val="center"/>
          </w:tcPr>
          <w:p>
            <w:pPr>
              <w:jc w:val="center"/>
              <w:rPr>
                <w:rFonts w:ascii="Times New Roman" w:hAnsi="Times New Roman"/>
                <w:b/>
                <w:szCs w:val="21"/>
              </w:rPr>
            </w:pPr>
            <w:r>
              <w:rPr>
                <w:rFonts w:hint="eastAsia" w:ascii="Times New Roman" w:hAnsi="Times New Roman"/>
                <w:b/>
                <w:szCs w:val="21"/>
              </w:rPr>
              <w:t>42.35</w:t>
            </w:r>
          </w:p>
        </w:tc>
        <w:tc>
          <w:tcPr>
            <w:tcW w:w="521" w:type="pct"/>
            <w:shd w:val="clear" w:color="auto" w:fill="auto"/>
            <w:vAlign w:val="center"/>
          </w:tcPr>
          <w:p>
            <w:pPr>
              <w:jc w:val="center"/>
              <w:rPr>
                <w:rFonts w:ascii="Times New Roman" w:hAnsi="Times New Roman"/>
                <w:b/>
                <w:szCs w:val="21"/>
              </w:rPr>
            </w:pPr>
            <w:r>
              <w:rPr>
                <w:rFonts w:hint="eastAsia" w:ascii="Times New Roman" w:hAnsi="Times New Roman"/>
                <w:b/>
                <w:szCs w:val="21"/>
              </w:rPr>
              <w:t>45.68</w:t>
            </w:r>
          </w:p>
        </w:tc>
        <w:tc>
          <w:tcPr>
            <w:tcW w:w="563" w:type="pct"/>
            <w:shd w:val="clear" w:color="auto" w:fill="auto"/>
            <w:vAlign w:val="center"/>
          </w:tcPr>
          <w:p>
            <w:pPr>
              <w:jc w:val="center"/>
              <w:rPr>
                <w:rFonts w:ascii="Times New Roman" w:hAnsi="Times New Roman"/>
                <w:b/>
                <w:szCs w:val="21"/>
              </w:rPr>
            </w:pPr>
            <w:r>
              <w:rPr>
                <w:rFonts w:hint="eastAsia" w:ascii="Times New Roman" w:hAnsi="Times New Roman"/>
                <w:b/>
                <w:szCs w:val="21"/>
              </w:rPr>
              <w:t>44.51</w:t>
            </w:r>
          </w:p>
        </w:tc>
        <w:tc>
          <w:tcPr>
            <w:tcW w:w="529" w:type="pct"/>
            <w:shd w:val="clear" w:color="auto" w:fill="auto"/>
            <w:vAlign w:val="center"/>
          </w:tcPr>
          <w:p>
            <w:pPr>
              <w:jc w:val="center"/>
              <w:rPr>
                <w:rFonts w:ascii="Times New Roman" w:hAnsi="Times New Roman"/>
                <w:b/>
                <w:szCs w:val="21"/>
              </w:rPr>
            </w:pPr>
            <w:r>
              <w:rPr>
                <w:rFonts w:hint="eastAsia" w:ascii="Times New Roman" w:hAnsi="Times New Roman"/>
                <w:b/>
                <w:szCs w:val="21"/>
              </w:rPr>
              <w:t>42.84</w:t>
            </w:r>
          </w:p>
        </w:tc>
        <w:tc>
          <w:tcPr>
            <w:tcW w:w="744" w:type="pct"/>
            <w:shd w:val="clear" w:color="auto" w:fill="auto"/>
            <w:vAlign w:val="center"/>
          </w:tcPr>
          <w:p>
            <w:pPr>
              <w:jc w:val="center"/>
              <w:rPr>
                <w:rFonts w:ascii="Times New Roman" w:hAnsi="Times New Roman"/>
                <w:b/>
                <w:szCs w:val="21"/>
              </w:rPr>
            </w:pPr>
            <w:r>
              <w:rPr>
                <w:rFonts w:hint="eastAsia" w:ascii="Times New Roman" w:hAnsi="Times New Roman"/>
                <w:b/>
                <w:szCs w:val="21"/>
              </w:rPr>
              <w:t>0.20</w:t>
            </w:r>
          </w:p>
        </w:tc>
        <w:tc>
          <w:tcPr>
            <w:tcW w:w="792" w:type="pct"/>
            <w:vAlign w:val="center"/>
          </w:tcPr>
          <w:p>
            <w:pPr>
              <w:jc w:val="center"/>
              <w:rPr>
                <w:rFonts w:ascii="Times New Roman" w:hAnsi="Times New Roman"/>
                <w:b/>
                <w:szCs w:val="21"/>
              </w:rPr>
            </w:pPr>
            <w:r>
              <w:rPr>
                <w:rFonts w:ascii="Times New Roman" w:hAnsi="Times New Roman"/>
                <w:b/>
                <w:szCs w:val="21"/>
              </w:rPr>
              <w:t>无明显变化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681" w:type="pct"/>
            <w:shd w:val="clear" w:color="auto" w:fill="auto"/>
            <w:vAlign w:val="center"/>
          </w:tcPr>
          <w:p>
            <w:pPr>
              <w:jc w:val="center"/>
              <w:rPr>
                <w:rFonts w:ascii="Times New Roman" w:hAnsi="Times New Roman"/>
                <w:szCs w:val="21"/>
              </w:rPr>
            </w:pPr>
            <w:r>
              <w:rPr>
                <w:rFonts w:ascii="Times New Roman" w:hAnsi="Times New Roman"/>
                <w:szCs w:val="21"/>
              </w:rPr>
              <w:t>同心县</w:t>
            </w:r>
          </w:p>
        </w:tc>
        <w:tc>
          <w:tcPr>
            <w:tcW w:w="562" w:type="pct"/>
            <w:shd w:val="clear" w:color="auto" w:fill="auto"/>
            <w:vAlign w:val="center"/>
          </w:tcPr>
          <w:p>
            <w:pPr>
              <w:jc w:val="center"/>
              <w:rPr>
                <w:rFonts w:ascii="Times New Roman" w:hAnsi="Times New Roman"/>
                <w:szCs w:val="21"/>
              </w:rPr>
            </w:pPr>
            <w:r>
              <w:rPr>
                <w:rFonts w:hint="eastAsia" w:ascii="Times New Roman" w:hAnsi="Times New Roman"/>
                <w:szCs w:val="21"/>
              </w:rPr>
              <w:t>42.18</w:t>
            </w:r>
          </w:p>
        </w:tc>
        <w:tc>
          <w:tcPr>
            <w:tcW w:w="608" w:type="pct"/>
            <w:shd w:val="clear" w:color="auto" w:fill="auto"/>
            <w:vAlign w:val="center"/>
          </w:tcPr>
          <w:p>
            <w:pPr>
              <w:jc w:val="center"/>
              <w:rPr>
                <w:rFonts w:ascii="Times New Roman" w:hAnsi="Times New Roman"/>
                <w:szCs w:val="21"/>
              </w:rPr>
            </w:pPr>
            <w:r>
              <w:rPr>
                <w:rFonts w:hint="eastAsia" w:ascii="Times New Roman" w:hAnsi="Times New Roman"/>
                <w:szCs w:val="21"/>
              </w:rPr>
              <w:t>43.20</w:t>
            </w:r>
          </w:p>
        </w:tc>
        <w:tc>
          <w:tcPr>
            <w:tcW w:w="521" w:type="pct"/>
            <w:shd w:val="clear" w:color="auto" w:fill="auto"/>
            <w:vAlign w:val="center"/>
          </w:tcPr>
          <w:p>
            <w:pPr>
              <w:jc w:val="center"/>
              <w:rPr>
                <w:rFonts w:ascii="Times New Roman" w:hAnsi="Times New Roman"/>
                <w:szCs w:val="21"/>
              </w:rPr>
            </w:pPr>
            <w:r>
              <w:rPr>
                <w:rFonts w:hint="eastAsia" w:ascii="Times New Roman" w:hAnsi="Times New Roman"/>
                <w:szCs w:val="21"/>
              </w:rPr>
              <w:t>46.25</w:t>
            </w:r>
          </w:p>
        </w:tc>
        <w:tc>
          <w:tcPr>
            <w:tcW w:w="563" w:type="pct"/>
            <w:shd w:val="clear" w:color="auto" w:fill="auto"/>
            <w:vAlign w:val="center"/>
          </w:tcPr>
          <w:p>
            <w:pPr>
              <w:jc w:val="center"/>
              <w:rPr>
                <w:rFonts w:ascii="Times New Roman" w:hAnsi="Times New Roman"/>
                <w:szCs w:val="21"/>
              </w:rPr>
            </w:pPr>
            <w:r>
              <w:rPr>
                <w:rFonts w:hint="eastAsia" w:ascii="Times New Roman" w:hAnsi="Times New Roman"/>
                <w:szCs w:val="21"/>
              </w:rPr>
              <w:t>45.46</w:t>
            </w:r>
          </w:p>
        </w:tc>
        <w:tc>
          <w:tcPr>
            <w:tcW w:w="529" w:type="pct"/>
            <w:shd w:val="clear" w:color="auto" w:fill="auto"/>
            <w:vAlign w:val="center"/>
          </w:tcPr>
          <w:p>
            <w:pPr>
              <w:jc w:val="center"/>
              <w:rPr>
                <w:rFonts w:ascii="Times New Roman" w:hAnsi="Times New Roman"/>
                <w:szCs w:val="21"/>
              </w:rPr>
            </w:pPr>
            <w:r>
              <w:rPr>
                <w:rFonts w:hint="eastAsia" w:ascii="Times New Roman" w:hAnsi="Times New Roman"/>
                <w:szCs w:val="21"/>
              </w:rPr>
              <w:t>44.46</w:t>
            </w:r>
          </w:p>
        </w:tc>
        <w:tc>
          <w:tcPr>
            <w:tcW w:w="744" w:type="pct"/>
            <w:shd w:val="clear" w:color="auto" w:fill="auto"/>
            <w:vAlign w:val="center"/>
          </w:tcPr>
          <w:p>
            <w:pPr>
              <w:jc w:val="center"/>
              <w:rPr>
                <w:rFonts w:ascii="Times New Roman" w:hAnsi="Times New Roman"/>
                <w:szCs w:val="21"/>
              </w:rPr>
            </w:pPr>
            <w:r>
              <w:rPr>
                <w:rFonts w:hint="eastAsia" w:ascii="Times New Roman" w:hAnsi="Times New Roman"/>
                <w:szCs w:val="21"/>
              </w:rPr>
              <w:t>2.28</w:t>
            </w:r>
          </w:p>
        </w:tc>
        <w:tc>
          <w:tcPr>
            <w:tcW w:w="792" w:type="pct"/>
            <w:vAlign w:val="center"/>
          </w:tcPr>
          <w:p>
            <w:pPr>
              <w:jc w:val="center"/>
              <w:rPr>
                <w:rFonts w:ascii="Times New Roman" w:hAnsi="Times New Roman"/>
                <w:szCs w:val="21"/>
              </w:rPr>
            </w:pPr>
            <w:r>
              <w:rPr>
                <w:rFonts w:ascii="Times New Roman" w:hAnsi="Times New Roman"/>
                <w:szCs w:val="21"/>
              </w:rPr>
              <w:t>略微变好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81" w:type="pct"/>
            <w:shd w:val="clear" w:color="auto" w:fill="auto"/>
            <w:vAlign w:val="center"/>
          </w:tcPr>
          <w:p>
            <w:pPr>
              <w:jc w:val="center"/>
              <w:rPr>
                <w:rFonts w:ascii="Times New Roman" w:hAnsi="Times New Roman"/>
                <w:szCs w:val="21"/>
              </w:rPr>
            </w:pPr>
            <w:r>
              <w:rPr>
                <w:rFonts w:ascii="Times New Roman" w:hAnsi="Times New Roman"/>
                <w:szCs w:val="21"/>
              </w:rPr>
              <w:t>青铜峡市</w:t>
            </w:r>
          </w:p>
        </w:tc>
        <w:tc>
          <w:tcPr>
            <w:tcW w:w="562" w:type="pct"/>
            <w:shd w:val="clear" w:color="auto" w:fill="auto"/>
            <w:vAlign w:val="center"/>
          </w:tcPr>
          <w:p>
            <w:pPr>
              <w:jc w:val="center"/>
              <w:rPr>
                <w:rFonts w:ascii="Times New Roman" w:hAnsi="Times New Roman"/>
                <w:szCs w:val="21"/>
              </w:rPr>
            </w:pPr>
            <w:r>
              <w:rPr>
                <w:rFonts w:hint="eastAsia" w:ascii="Times New Roman" w:hAnsi="Times New Roman"/>
                <w:szCs w:val="21"/>
              </w:rPr>
              <w:t>45.58</w:t>
            </w:r>
          </w:p>
        </w:tc>
        <w:tc>
          <w:tcPr>
            <w:tcW w:w="608" w:type="pct"/>
            <w:shd w:val="clear" w:color="auto" w:fill="auto"/>
            <w:vAlign w:val="center"/>
          </w:tcPr>
          <w:p>
            <w:pPr>
              <w:jc w:val="center"/>
              <w:rPr>
                <w:rFonts w:ascii="Times New Roman" w:hAnsi="Times New Roman"/>
                <w:szCs w:val="21"/>
              </w:rPr>
            </w:pPr>
            <w:r>
              <w:rPr>
                <w:rFonts w:hint="eastAsia" w:ascii="Times New Roman" w:hAnsi="Times New Roman"/>
                <w:szCs w:val="21"/>
              </w:rPr>
              <w:t>45.23</w:t>
            </w:r>
          </w:p>
        </w:tc>
        <w:tc>
          <w:tcPr>
            <w:tcW w:w="521" w:type="pct"/>
            <w:shd w:val="clear" w:color="auto" w:fill="auto"/>
            <w:vAlign w:val="center"/>
          </w:tcPr>
          <w:p>
            <w:pPr>
              <w:jc w:val="center"/>
              <w:rPr>
                <w:rFonts w:ascii="Times New Roman" w:hAnsi="Times New Roman"/>
                <w:szCs w:val="21"/>
              </w:rPr>
            </w:pPr>
            <w:r>
              <w:rPr>
                <w:rFonts w:hint="eastAsia" w:ascii="Times New Roman" w:hAnsi="Times New Roman"/>
                <w:szCs w:val="21"/>
              </w:rPr>
              <w:t>48.60</w:t>
            </w:r>
          </w:p>
        </w:tc>
        <w:tc>
          <w:tcPr>
            <w:tcW w:w="563" w:type="pct"/>
            <w:shd w:val="clear" w:color="auto" w:fill="auto"/>
            <w:vAlign w:val="center"/>
          </w:tcPr>
          <w:p>
            <w:pPr>
              <w:jc w:val="center"/>
              <w:rPr>
                <w:rFonts w:ascii="Times New Roman" w:hAnsi="Times New Roman"/>
                <w:szCs w:val="21"/>
              </w:rPr>
            </w:pPr>
            <w:r>
              <w:rPr>
                <w:rFonts w:hint="eastAsia" w:ascii="Times New Roman" w:hAnsi="Times New Roman"/>
                <w:szCs w:val="21"/>
              </w:rPr>
              <w:t>47.97</w:t>
            </w:r>
          </w:p>
        </w:tc>
        <w:tc>
          <w:tcPr>
            <w:tcW w:w="529" w:type="pct"/>
            <w:shd w:val="clear" w:color="auto" w:fill="auto"/>
            <w:vAlign w:val="center"/>
          </w:tcPr>
          <w:p>
            <w:pPr>
              <w:jc w:val="center"/>
              <w:rPr>
                <w:rFonts w:ascii="Times New Roman" w:hAnsi="Times New Roman"/>
                <w:szCs w:val="21"/>
              </w:rPr>
            </w:pPr>
            <w:r>
              <w:rPr>
                <w:rFonts w:hint="eastAsia" w:ascii="Times New Roman" w:hAnsi="Times New Roman"/>
                <w:szCs w:val="21"/>
              </w:rPr>
              <w:t>47.40</w:t>
            </w:r>
          </w:p>
        </w:tc>
        <w:tc>
          <w:tcPr>
            <w:tcW w:w="744" w:type="pct"/>
            <w:shd w:val="clear" w:color="auto" w:fill="auto"/>
            <w:vAlign w:val="center"/>
          </w:tcPr>
          <w:p>
            <w:pPr>
              <w:jc w:val="center"/>
              <w:rPr>
                <w:rFonts w:ascii="Times New Roman" w:hAnsi="Times New Roman"/>
                <w:szCs w:val="21"/>
              </w:rPr>
            </w:pPr>
            <w:r>
              <w:rPr>
                <w:rFonts w:hint="eastAsia" w:ascii="Times New Roman" w:hAnsi="Times New Roman"/>
                <w:szCs w:val="21"/>
              </w:rPr>
              <w:t>1.82</w:t>
            </w:r>
          </w:p>
        </w:tc>
        <w:tc>
          <w:tcPr>
            <w:tcW w:w="792" w:type="pct"/>
            <w:vAlign w:val="center"/>
          </w:tcPr>
          <w:p>
            <w:pPr>
              <w:jc w:val="center"/>
              <w:rPr>
                <w:rFonts w:ascii="Times New Roman" w:hAnsi="Times New Roman"/>
                <w:szCs w:val="21"/>
              </w:rPr>
            </w:pPr>
            <w:r>
              <w:rPr>
                <w:rFonts w:hint="eastAsia" w:ascii="Times New Roman" w:hAnsi="Times New Roman"/>
                <w:szCs w:val="21"/>
              </w:rPr>
              <w:t>略微变好</w:t>
            </w:r>
          </w:p>
        </w:tc>
      </w:tr>
    </w:tbl>
    <w:p>
      <w:pPr>
        <w:adjustRightInd w:val="0"/>
        <w:snapToGrid w:val="0"/>
        <w:spacing w:line="360" w:lineRule="auto"/>
        <w:rPr>
          <w:rFonts w:ascii="Times New Roman" w:hAnsi="Times New Roman"/>
        </w:rPr>
      </w:pPr>
      <w:r>
        <w:rPr>
          <w:rFonts w:ascii="Times New Roman" w:hAnsi="Times New Roman"/>
        </w:rPr>
        <w:t>注：数据引用自《2016-2020年宁夏生态环境质量报告书》。</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4.1.4水土流失仍较严重</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盐池县土地总面积8522.2平方公里，其中水土流失面积7013.8平方公里，占总面积的82%。县域中北部为荒漠化草原风沙区，约占总面积80%，以风力侵蚀为主；南部为黄土丘陵沟壑区，约占20%，以水力侵蚀为主。</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严重的水土流失是制约盐池县农业和农村经济发展的重要因素。盐池县水土保持工作按照县委、</w:t>
      </w:r>
      <w:r>
        <w:rPr>
          <w:rFonts w:hint="eastAsia" w:ascii="仿宋_GB2312" w:hAnsi="微软雅黑" w:eastAsia="仿宋_GB2312"/>
          <w:sz w:val="28"/>
          <w:szCs w:val="28"/>
          <w:lang w:val="en-US" w:eastAsia="zh-CN"/>
        </w:rPr>
        <w:t>县</w:t>
      </w:r>
      <w:r>
        <w:rPr>
          <w:rFonts w:hint="eastAsia" w:ascii="仿宋_GB2312" w:hAnsi="微软雅黑" w:eastAsia="仿宋_GB2312"/>
          <w:sz w:val="28"/>
          <w:szCs w:val="28"/>
        </w:rPr>
        <w:t>政府“南治土、中治水、北治沙”的建设思路，始终坚持“预防为主、全面规划，因地制宜、综合治理、加强管理、注重效益”的建设方针，在上级业务部门的支持下，在全县广大干部职工及群众的共同努力下，通过小流域综合治理、淤地坝坝系等项目建设，水土保持工程取得了一定成效。截</w:t>
      </w:r>
      <w:r>
        <w:rPr>
          <w:rFonts w:hint="eastAsia" w:ascii="仿宋_GB2312" w:hAnsi="微软雅黑" w:eastAsia="仿宋_GB2312"/>
          <w:sz w:val="28"/>
          <w:szCs w:val="28"/>
          <w:lang w:val="en-US" w:eastAsia="zh-CN"/>
        </w:rPr>
        <w:t>至</w:t>
      </w:r>
      <w:r>
        <w:rPr>
          <w:rFonts w:hint="eastAsia" w:ascii="仿宋_GB2312" w:hAnsi="微软雅黑" w:eastAsia="仿宋_GB2312"/>
          <w:sz w:val="28"/>
          <w:szCs w:val="28"/>
        </w:rPr>
        <w:t>2021年底，全县共治理水土流失面积4910平方公里，占水土流失面积的70%。水土保持各项综合治理措施的实施，为防止水土流失、改善生态环境、提高农业综合生产能力和农民生活水平起到了积极推动作用。</w:t>
      </w:r>
    </w:p>
    <w:p>
      <w:pPr>
        <w:pStyle w:val="3"/>
        <w:adjustRightInd w:val="0"/>
        <w:snapToGrid w:val="0"/>
        <w:spacing w:before="120" w:after="120" w:line="360" w:lineRule="auto"/>
        <w:rPr>
          <w:rFonts w:ascii="黑体" w:hAnsi="黑体" w:eastAsia="黑体"/>
          <w:kern w:val="0"/>
          <w:sz w:val="30"/>
          <w:szCs w:val="30"/>
        </w:rPr>
      </w:pPr>
      <w:bookmarkStart w:id="13" w:name="_Toc111980872"/>
      <w:r>
        <w:rPr>
          <w:rFonts w:hint="eastAsia" w:ascii="黑体" w:hAnsi="黑体" w:eastAsia="黑体"/>
          <w:kern w:val="0"/>
          <w:sz w:val="30"/>
          <w:szCs w:val="30"/>
        </w:rPr>
        <w:t>4.2环境质量</w:t>
      </w:r>
      <w:bookmarkEnd w:id="13"/>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4.2.1水环境质量</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（1）饮用水源地</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县域内集中式饮用水源地主要有刘家沟和骆驼井水源地，全部完成了水源地保护区划定，持续巩固饮用水水源地整治成效，水源地水质达标率稳定保持在100%。</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（2）地表水</w:t>
      </w:r>
    </w:p>
    <w:p>
      <w:pPr>
        <w:widowControl/>
        <w:shd w:val="clear" w:color="auto" w:fill="FFFFFF"/>
        <w:adjustRightInd w:val="0"/>
        <w:snapToGrid w:val="0"/>
        <w:spacing w:line="360" w:lineRule="auto"/>
        <w:ind w:firstLine="560" w:firstLineChars="200"/>
        <w:rPr>
          <w:rFonts w:ascii="仿宋_GB2312" w:hAnsi="微软雅黑" w:eastAsia="仿宋_GB2312" w:cs="宋体"/>
          <w:kern w:val="0"/>
          <w:sz w:val="28"/>
          <w:szCs w:val="28"/>
        </w:rPr>
      </w:pPr>
      <w:r>
        <w:rPr>
          <w:rFonts w:hint="eastAsia" w:ascii="仿宋_GB2312" w:hAnsi="仿宋" w:eastAsia="仿宋_GB2312" w:cs="宋体"/>
          <w:kern w:val="0"/>
          <w:sz w:val="28"/>
          <w:szCs w:val="28"/>
        </w:rPr>
        <w:t>盐池县全境地表水矿化度多年平均变化在</w:t>
      </w:r>
      <w:r>
        <w:rPr>
          <w:rFonts w:hint="eastAsia" w:ascii="仿宋_GB2312" w:hAnsi="微软雅黑" w:eastAsia="仿宋_GB2312" w:cs="宋体"/>
          <w:kern w:val="0"/>
          <w:sz w:val="28"/>
          <w:szCs w:val="28"/>
        </w:rPr>
        <w:t>2</w:t>
      </w:r>
      <w:r>
        <w:rPr>
          <w:rFonts w:hint="eastAsia" w:ascii="仿宋_GB2312" w:eastAsia="仿宋_GB2312"/>
          <w:sz w:val="28"/>
          <w:szCs w:val="28"/>
        </w:rPr>
        <w:t xml:space="preserve"> g/L</w:t>
      </w:r>
      <w:r>
        <w:rPr>
          <w:rFonts w:hint="eastAsia" w:ascii="仿宋_GB2312" w:hAnsi="仿宋" w:eastAsia="仿宋_GB2312" w:cs="宋体"/>
          <w:kern w:val="0"/>
          <w:sz w:val="28"/>
          <w:szCs w:val="28"/>
        </w:rPr>
        <w:t>以上。其中，流域面积为</w:t>
      </w:r>
      <w:r>
        <w:rPr>
          <w:rFonts w:hint="eastAsia" w:ascii="仿宋_GB2312" w:hAnsi="微软雅黑" w:eastAsia="仿宋_GB2312" w:cs="宋体"/>
          <w:kern w:val="0"/>
          <w:sz w:val="28"/>
          <w:szCs w:val="28"/>
        </w:rPr>
        <w:t>1167</w:t>
      </w:r>
      <w:r>
        <w:rPr>
          <w:rFonts w:hint="eastAsia" w:ascii="仿宋_GB2312" w:hAnsi="仿宋" w:eastAsia="仿宋_GB2312" w:cs="宋体"/>
          <w:kern w:val="0"/>
          <w:sz w:val="28"/>
          <w:szCs w:val="28"/>
        </w:rPr>
        <w:t>平方公里的苦水河水矿化度大于</w:t>
      </w:r>
      <w:r>
        <w:rPr>
          <w:rFonts w:hint="eastAsia" w:ascii="仿宋_GB2312" w:hAnsi="微软雅黑" w:eastAsia="仿宋_GB2312" w:cs="宋体"/>
          <w:kern w:val="0"/>
          <w:sz w:val="28"/>
          <w:szCs w:val="28"/>
        </w:rPr>
        <w:t>5.0</w:t>
      </w:r>
      <w:r>
        <w:rPr>
          <w:rFonts w:hint="eastAsia" w:ascii="仿宋_GB2312" w:eastAsia="仿宋_GB2312"/>
          <w:sz w:val="28"/>
          <w:szCs w:val="28"/>
        </w:rPr>
        <w:t xml:space="preserve"> g/L</w:t>
      </w:r>
      <w:r>
        <w:rPr>
          <w:rFonts w:hint="eastAsia" w:ascii="仿宋_GB2312" w:hAnsi="仿宋" w:eastAsia="仿宋_GB2312" w:cs="宋体"/>
          <w:kern w:val="0"/>
          <w:sz w:val="28"/>
          <w:szCs w:val="28"/>
        </w:rPr>
        <w:t>；面积为</w:t>
      </w:r>
      <w:r>
        <w:rPr>
          <w:rFonts w:hint="eastAsia" w:ascii="仿宋_GB2312" w:hAnsi="微软雅黑" w:eastAsia="仿宋_GB2312" w:cs="宋体"/>
          <w:kern w:val="0"/>
          <w:sz w:val="28"/>
          <w:szCs w:val="28"/>
        </w:rPr>
        <w:t>70</w:t>
      </w:r>
      <w:r>
        <w:rPr>
          <w:rFonts w:hint="eastAsia" w:ascii="仿宋_GB2312" w:hAnsi="仿宋" w:eastAsia="仿宋_GB2312" w:cs="宋体"/>
          <w:kern w:val="0"/>
          <w:sz w:val="28"/>
          <w:szCs w:val="28"/>
        </w:rPr>
        <w:t>平方公里的黄河右岸诸沟地表水矿化度全部为</w:t>
      </w:r>
      <w:r>
        <w:rPr>
          <w:rFonts w:hint="eastAsia" w:ascii="仿宋_GB2312" w:hAnsi="微软雅黑" w:eastAsia="仿宋_GB2312" w:cs="宋体"/>
          <w:kern w:val="0"/>
          <w:sz w:val="28"/>
          <w:szCs w:val="28"/>
        </w:rPr>
        <w:t>2～5</w:t>
      </w:r>
      <w:r>
        <w:rPr>
          <w:rFonts w:hint="eastAsia" w:ascii="仿宋_GB2312" w:eastAsia="仿宋_GB2312"/>
          <w:sz w:val="28"/>
          <w:szCs w:val="28"/>
        </w:rPr>
        <w:t xml:space="preserve"> g/L</w:t>
      </w:r>
      <w:r>
        <w:rPr>
          <w:rFonts w:hint="eastAsia" w:ascii="仿宋_GB2312" w:hAnsi="仿宋" w:eastAsia="仿宋_GB2312" w:cs="宋体"/>
          <w:kern w:val="0"/>
          <w:sz w:val="28"/>
          <w:szCs w:val="28"/>
        </w:rPr>
        <w:t>；盐池内流区水矿化度</w:t>
      </w:r>
      <w:r>
        <w:rPr>
          <w:rFonts w:hint="eastAsia" w:ascii="仿宋_GB2312" w:hAnsi="微软雅黑" w:eastAsia="仿宋_GB2312" w:cs="宋体"/>
          <w:kern w:val="0"/>
          <w:sz w:val="28"/>
          <w:szCs w:val="28"/>
        </w:rPr>
        <w:t>2～5</w:t>
      </w:r>
      <w:r>
        <w:rPr>
          <w:rFonts w:hint="eastAsia" w:ascii="仿宋_GB2312" w:eastAsia="仿宋_GB2312"/>
          <w:sz w:val="28"/>
          <w:szCs w:val="28"/>
        </w:rPr>
        <w:t xml:space="preserve"> g/L</w:t>
      </w:r>
      <w:r>
        <w:rPr>
          <w:rFonts w:hint="eastAsia" w:ascii="仿宋_GB2312" w:hAnsi="仿宋" w:eastAsia="仿宋_GB2312" w:cs="宋体"/>
          <w:kern w:val="0"/>
          <w:sz w:val="28"/>
          <w:szCs w:val="28"/>
        </w:rPr>
        <w:t>，面积为</w:t>
      </w:r>
      <w:r>
        <w:rPr>
          <w:rFonts w:hint="eastAsia" w:ascii="仿宋_GB2312" w:hAnsi="微软雅黑" w:eastAsia="仿宋_GB2312" w:cs="宋体"/>
          <w:kern w:val="0"/>
          <w:sz w:val="28"/>
          <w:szCs w:val="28"/>
        </w:rPr>
        <w:t>3638</w:t>
      </w:r>
      <w:r>
        <w:rPr>
          <w:rFonts w:hint="eastAsia" w:ascii="仿宋_GB2312" w:hAnsi="仿宋" w:eastAsia="仿宋_GB2312" w:cs="宋体"/>
          <w:kern w:val="0"/>
          <w:sz w:val="28"/>
          <w:szCs w:val="28"/>
        </w:rPr>
        <w:t>平方公里；</w:t>
      </w:r>
      <w:r>
        <w:rPr>
          <w:rFonts w:hint="eastAsia" w:ascii="仿宋_GB2312" w:hAnsi="微软雅黑" w:eastAsia="仿宋_GB2312" w:cs="宋体"/>
          <w:kern w:val="0"/>
          <w:sz w:val="28"/>
          <w:szCs w:val="28"/>
        </w:rPr>
        <w:t>5</w:t>
      </w:r>
      <w:r>
        <w:rPr>
          <w:rFonts w:hint="eastAsia" w:ascii="仿宋_GB2312" w:eastAsia="仿宋_GB2312"/>
          <w:sz w:val="28"/>
          <w:szCs w:val="28"/>
        </w:rPr>
        <w:t xml:space="preserve"> g/L</w:t>
      </w:r>
      <w:r>
        <w:rPr>
          <w:rFonts w:hint="eastAsia" w:ascii="仿宋_GB2312" w:hAnsi="仿宋" w:eastAsia="仿宋_GB2312" w:cs="宋体"/>
          <w:kern w:val="0"/>
          <w:sz w:val="28"/>
          <w:szCs w:val="28"/>
        </w:rPr>
        <w:t>以上的区域面积</w:t>
      </w:r>
      <w:r>
        <w:rPr>
          <w:rFonts w:hint="eastAsia" w:ascii="仿宋_GB2312" w:hAnsi="微软雅黑" w:eastAsia="仿宋_GB2312" w:cs="宋体"/>
          <w:kern w:val="0"/>
          <w:sz w:val="28"/>
          <w:szCs w:val="28"/>
        </w:rPr>
        <w:t>970</w:t>
      </w:r>
      <w:r>
        <w:rPr>
          <w:rFonts w:hint="eastAsia" w:ascii="仿宋_GB2312" w:hAnsi="仿宋" w:eastAsia="仿宋_GB2312" w:cs="宋体"/>
          <w:kern w:val="0"/>
          <w:sz w:val="28"/>
          <w:szCs w:val="28"/>
        </w:rPr>
        <w:t>平方公里，泾河水矿化度全部大于</w:t>
      </w:r>
      <w:r>
        <w:rPr>
          <w:rFonts w:hint="eastAsia" w:ascii="仿宋_GB2312" w:hAnsi="微软雅黑" w:eastAsia="仿宋_GB2312" w:cs="宋体"/>
          <w:kern w:val="0"/>
          <w:sz w:val="28"/>
          <w:szCs w:val="28"/>
        </w:rPr>
        <w:t>5</w:t>
      </w:r>
      <w:r>
        <w:rPr>
          <w:rFonts w:hint="eastAsia" w:ascii="仿宋_GB2312" w:eastAsia="仿宋_GB2312"/>
          <w:sz w:val="28"/>
          <w:szCs w:val="28"/>
        </w:rPr>
        <w:t xml:space="preserve"> g/L</w:t>
      </w:r>
      <w:r>
        <w:rPr>
          <w:rFonts w:hint="eastAsia" w:ascii="仿宋_GB2312" w:hAnsi="仿宋" w:eastAsia="仿宋_GB2312" w:cs="宋体"/>
          <w:kern w:val="0"/>
          <w:sz w:val="28"/>
          <w:szCs w:val="28"/>
        </w:rPr>
        <w:t>，面积</w:t>
      </w:r>
      <w:r>
        <w:rPr>
          <w:rFonts w:hint="eastAsia" w:ascii="仿宋_GB2312" w:hAnsi="微软雅黑" w:eastAsia="仿宋_GB2312" w:cs="宋体"/>
          <w:kern w:val="0"/>
          <w:sz w:val="28"/>
          <w:szCs w:val="28"/>
        </w:rPr>
        <w:t>775</w:t>
      </w:r>
      <w:r>
        <w:rPr>
          <w:rFonts w:hint="eastAsia" w:ascii="仿宋_GB2312" w:hAnsi="仿宋" w:eastAsia="仿宋_GB2312" w:cs="宋体"/>
          <w:kern w:val="0"/>
          <w:sz w:val="28"/>
          <w:szCs w:val="28"/>
        </w:rPr>
        <w:t>平方公里。</w:t>
      </w:r>
      <w:r>
        <w:rPr>
          <w:rFonts w:hint="eastAsia" w:ascii="仿宋_GB2312" w:eastAsia="仿宋_GB2312"/>
          <w:sz w:val="28"/>
          <w:szCs w:val="28"/>
        </w:rPr>
        <w:t xml:space="preserve">水量贫乏、空间分布不均。地表水径流深是自治区平均数 18.3mm 的 22.4%，是全国平均数 281.9mm 的 1.5%，而且地表径流空间上分布不均，由东南向西北递减。年际、年内变差大，时间分布不均。盐池内流区年径流变差系数为 0.6，其它地区为 0.7，反映出水资源年际变差较大；年内 70%以上径流集中在 6～9 月的汛期，径流与降水紧密相关，大部分以暴雨洪水的形式出现，水土流失较严重，开发难度大。水质差，地表水矿化度多年平均在 2g/L 以上，是自治区矿化度较高的地区之一。 </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（3）地下水</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盐池县地下水属苦水、碱水，矿化度高，含氟量大。根据《宁夏地下水矿化度分布图》，在骆驼井、高沙窝北部矿化度小于2</w:t>
      </w:r>
      <w:r>
        <w:rPr>
          <w:rFonts w:hint="eastAsia" w:ascii="仿宋_GB2312" w:eastAsia="仿宋_GB2312"/>
          <w:sz w:val="28"/>
          <w:szCs w:val="28"/>
        </w:rPr>
        <w:t xml:space="preserve"> g/L</w:t>
      </w:r>
      <w:r>
        <w:rPr>
          <w:rFonts w:hint="eastAsia" w:ascii="仿宋_GB2312" w:hAnsi="微软雅黑" w:eastAsia="仿宋_GB2312"/>
          <w:sz w:val="28"/>
          <w:szCs w:val="28"/>
        </w:rPr>
        <w:t>，大部分地区矿化度2～5</w:t>
      </w:r>
      <w:r>
        <w:rPr>
          <w:rFonts w:hint="eastAsia" w:ascii="仿宋_GB2312" w:eastAsia="仿宋_GB2312"/>
          <w:sz w:val="28"/>
          <w:szCs w:val="28"/>
        </w:rPr>
        <w:t xml:space="preserve"> g/L</w:t>
      </w:r>
      <w:r>
        <w:rPr>
          <w:rFonts w:hint="eastAsia" w:ascii="仿宋_GB2312" w:hAnsi="微软雅黑" w:eastAsia="仿宋_GB2312"/>
          <w:sz w:val="28"/>
          <w:szCs w:val="28"/>
        </w:rPr>
        <w:t>，在王乐井、惠安堡一带矿化度大于5</w:t>
      </w:r>
      <w:r>
        <w:rPr>
          <w:rFonts w:hint="eastAsia" w:ascii="仿宋_GB2312" w:eastAsia="仿宋_GB2312"/>
          <w:sz w:val="28"/>
          <w:szCs w:val="28"/>
        </w:rPr>
        <w:t xml:space="preserve"> g/L</w:t>
      </w:r>
      <w:r>
        <w:rPr>
          <w:rFonts w:hint="eastAsia" w:ascii="仿宋_GB2312" w:hAnsi="微软雅黑" w:eastAsia="仿宋_GB2312"/>
          <w:sz w:val="28"/>
          <w:szCs w:val="28"/>
        </w:rPr>
        <w:t>。根据盐池县卫生防疫站960份水源水样含氟分析，含氟量最高达12.4</w:t>
      </w:r>
      <w:r>
        <w:rPr>
          <w:rFonts w:hint="eastAsia" w:ascii="仿宋_GB2312" w:eastAsia="仿宋_GB2312"/>
          <w:sz w:val="28"/>
          <w:szCs w:val="28"/>
        </w:rPr>
        <w:t xml:space="preserve"> mg/L</w:t>
      </w:r>
      <w:r>
        <w:rPr>
          <w:rFonts w:hint="eastAsia" w:ascii="仿宋_GB2312" w:hAnsi="微软雅黑" w:eastAsia="仿宋_GB2312"/>
          <w:sz w:val="28"/>
          <w:szCs w:val="28"/>
        </w:rPr>
        <w:t>，平均4.5</w:t>
      </w:r>
      <w:r>
        <w:rPr>
          <w:rFonts w:hint="eastAsia" w:ascii="仿宋_GB2312" w:eastAsia="仿宋_GB2312"/>
          <w:sz w:val="28"/>
          <w:szCs w:val="28"/>
        </w:rPr>
        <w:t xml:space="preserve"> mg/L</w:t>
      </w:r>
      <w:r>
        <w:rPr>
          <w:rFonts w:hint="eastAsia" w:ascii="仿宋_GB2312" w:hAnsi="微软雅黑" w:eastAsia="仿宋_GB2312"/>
          <w:sz w:val="28"/>
          <w:szCs w:val="28"/>
        </w:rPr>
        <w:t>，氟病区人口占全县70.6%。根据《生活饮用水卫生标准》（GB5749-2022），地下水不能满足人畜饮用水要求；其中小部分可满足《农田灌溉水质标准》（GB5084-2021）的要求。但由于矿化度小于2</w:t>
      </w:r>
      <w:r>
        <w:rPr>
          <w:rFonts w:hint="eastAsia" w:ascii="仿宋_GB2312" w:eastAsia="仿宋_GB2312"/>
          <w:sz w:val="28"/>
          <w:szCs w:val="28"/>
        </w:rPr>
        <w:t xml:space="preserve"> g/L</w:t>
      </w:r>
      <w:r>
        <w:rPr>
          <w:rFonts w:hint="eastAsia" w:ascii="仿宋_GB2312" w:hAnsi="微软雅黑" w:eastAsia="仿宋_GB2312"/>
          <w:sz w:val="28"/>
          <w:szCs w:val="28"/>
        </w:rPr>
        <w:t>的地下水零星分布，过量开采地下水可能导致附近高矿化度地下水侧向补给，引起水质恶化，因此不建议过量开采低矿化度地下水，尽量维持“咸－淡”地下水的平衡。</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4.2.2环境空气</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 xml:space="preserve"> “十三五”末期，全县环境空气优良天数比例保持在90%以上，共完成 45 个大气污染防治重点任务，达到区市下达任务要求，较“十三五”基准年（87%）改善4.6%，主要空气污染物浓度指标达到环境空气质量二级标准。</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通过产业结构调整、清洁能源替代、秋冬季大气污染防治和区域联防联控等一系列措施，大气环境质量明显改善</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4.2.3土壤环境</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土壤环境质量总体安全。生活垃圾分类减量和资源化利用处置工作有序推进，城乡环境更加宜居。</w:t>
      </w:r>
    </w:p>
    <w:p>
      <w:pPr>
        <w:pStyle w:val="3"/>
        <w:adjustRightInd w:val="0"/>
        <w:snapToGrid w:val="0"/>
        <w:spacing w:before="120" w:after="120" w:line="360" w:lineRule="auto"/>
        <w:rPr>
          <w:rFonts w:ascii="黑体" w:hAnsi="黑体" w:eastAsia="黑体"/>
          <w:kern w:val="0"/>
          <w:sz w:val="30"/>
          <w:szCs w:val="30"/>
        </w:rPr>
      </w:pPr>
      <w:bookmarkStart w:id="14" w:name="_Toc111980873"/>
      <w:r>
        <w:rPr>
          <w:rFonts w:hint="eastAsia" w:ascii="黑体" w:hAnsi="黑体" w:eastAsia="黑体"/>
          <w:kern w:val="0"/>
          <w:sz w:val="30"/>
          <w:szCs w:val="30"/>
        </w:rPr>
        <w:t>4.3污染物排放</w:t>
      </w:r>
      <w:bookmarkEnd w:id="14"/>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4.3.1水污染物</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根据统计年鉴，盐池县2016-2021年水污染物排放情况见表4-6。</w:t>
      </w: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 xml:space="preserve">4-6  </w:t>
      </w:r>
      <w:r>
        <w:rPr>
          <w:rFonts w:ascii="Times New Roman" w:hAnsi="Times New Roman"/>
          <w:b/>
          <w:sz w:val="24"/>
          <w:szCs w:val="24"/>
        </w:rPr>
        <w:t>盐池县水污染物排放情况</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88"/>
        <w:gridCol w:w="1006"/>
        <w:gridCol w:w="1132"/>
        <w:gridCol w:w="1006"/>
        <w:gridCol w:w="1134"/>
        <w:gridCol w:w="977"/>
        <w:gridCol w:w="9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7"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类型</w:t>
            </w:r>
          </w:p>
        </w:tc>
        <w:tc>
          <w:tcPr>
            <w:tcW w:w="577"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2016年</w:t>
            </w:r>
          </w:p>
        </w:tc>
        <w:tc>
          <w:tcPr>
            <w:tcW w:w="649"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2017年</w:t>
            </w:r>
          </w:p>
        </w:tc>
        <w:tc>
          <w:tcPr>
            <w:tcW w:w="577"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2018年</w:t>
            </w:r>
          </w:p>
        </w:tc>
        <w:tc>
          <w:tcPr>
            <w:tcW w:w="650"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2019年</w:t>
            </w:r>
          </w:p>
        </w:tc>
        <w:tc>
          <w:tcPr>
            <w:tcW w:w="560"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2020年</w:t>
            </w:r>
          </w:p>
        </w:tc>
        <w:tc>
          <w:tcPr>
            <w:tcW w:w="560"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2021年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废水排放总量（万吨）</w:t>
            </w:r>
          </w:p>
        </w:tc>
        <w:tc>
          <w:tcPr>
            <w:tcW w:w="57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476.</w:t>
            </w:r>
            <w:r>
              <w:rPr>
                <w:rFonts w:hint="eastAsia" w:ascii="Times New Roman" w:hAnsi="Times New Roman" w:cs="Times New Roman"/>
                <w:kern w:val="0"/>
                <w:szCs w:val="21"/>
              </w:rPr>
              <w:t>44</w:t>
            </w:r>
          </w:p>
        </w:tc>
        <w:tc>
          <w:tcPr>
            <w:tcW w:w="64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446.</w:t>
            </w:r>
            <w:r>
              <w:rPr>
                <w:rFonts w:hint="eastAsia" w:ascii="Times New Roman" w:hAnsi="Times New Roman" w:cs="Times New Roman"/>
                <w:kern w:val="0"/>
                <w:szCs w:val="21"/>
              </w:rPr>
              <w:t>20</w:t>
            </w:r>
          </w:p>
        </w:tc>
        <w:tc>
          <w:tcPr>
            <w:tcW w:w="57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889.</w:t>
            </w:r>
            <w:r>
              <w:rPr>
                <w:rFonts w:hint="eastAsia" w:ascii="Times New Roman" w:hAnsi="Times New Roman" w:cs="Times New Roman"/>
                <w:kern w:val="0"/>
                <w:szCs w:val="21"/>
              </w:rPr>
              <w:t>11</w:t>
            </w:r>
          </w:p>
        </w:tc>
        <w:tc>
          <w:tcPr>
            <w:tcW w:w="65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821.45</w:t>
            </w:r>
          </w:p>
        </w:tc>
        <w:tc>
          <w:tcPr>
            <w:tcW w:w="56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759.36</w:t>
            </w:r>
          </w:p>
        </w:tc>
        <w:tc>
          <w:tcPr>
            <w:tcW w:w="56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723.65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化学需氧量排放总量（吨）</w:t>
            </w:r>
          </w:p>
        </w:tc>
        <w:tc>
          <w:tcPr>
            <w:tcW w:w="57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1821.14</w:t>
            </w:r>
          </w:p>
        </w:tc>
        <w:tc>
          <w:tcPr>
            <w:tcW w:w="64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817.43</w:t>
            </w:r>
          </w:p>
        </w:tc>
        <w:tc>
          <w:tcPr>
            <w:tcW w:w="57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816.71</w:t>
            </w:r>
          </w:p>
        </w:tc>
        <w:tc>
          <w:tcPr>
            <w:tcW w:w="65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635.79</w:t>
            </w:r>
          </w:p>
        </w:tc>
        <w:tc>
          <w:tcPr>
            <w:tcW w:w="56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556.25</w:t>
            </w:r>
          </w:p>
        </w:tc>
        <w:tc>
          <w:tcPr>
            <w:tcW w:w="56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515.41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氨氮排放总量（吨）</w:t>
            </w:r>
          </w:p>
        </w:tc>
        <w:tc>
          <w:tcPr>
            <w:tcW w:w="57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221.12</w:t>
            </w:r>
          </w:p>
        </w:tc>
        <w:tc>
          <w:tcPr>
            <w:tcW w:w="64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117.1</w:t>
            </w:r>
          </w:p>
        </w:tc>
        <w:tc>
          <w:tcPr>
            <w:tcW w:w="57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106.61</w:t>
            </w:r>
          </w:p>
        </w:tc>
        <w:tc>
          <w:tcPr>
            <w:tcW w:w="65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145.28</w:t>
            </w:r>
          </w:p>
        </w:tc>
        <w:tc>
          <w:tcPr>
            <w:tcW w:w="56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73.21</w:t>
            </w:r>
          </w:p>
        </w:tc>
        <w:tc>
          <w:tcPr>
            <w:tcW w:w="56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66.57</w:t>
            </w:r>
          </w:p>
        </w:tc>
      </w:tr>
    </w:tbl>
    <w:p>
      <w:pPr>
        <w:adjustRightInd w:val="0"/>
        <w:snapToGrid w:val="0"/>
        <w:spacing w:line="360" w:lineRule="auto"/>
        <w:ind w:firstLine="560" w:firstLineChars="200"/>
        <w:rPr>
          <w:rFonts w:ascii="仿宋_GB2312" w:hAnsi="黑体" w:eastAsia="仿宋_GB2312"/>
          <w:sz w:val="28"/>
          <w:szCs w:val="28"/>
        </w:rPr>
      </w:pPr>
    </w:p>
    <w:p>
      <w:pPr>
        <w:adjustRightInd w:val="0"/>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由表可知，2016-2021年盐池县废水排放量累计为3514.42万吨、氨氮排放量592.01吨、化学需氧量排放量5153.73吨。</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根据统计数据，不同污染源污染物排放情况见表4-7和图4-2、图4-3。</w:t>
      </w: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 xml:space="preserve">4-7  </w:t>
      </w:r>
      <w:r>
        <w:rPr>
          <w:rFonts w:ascii="Times New Roman" w:hAnsi="Times New Roman"/>
          <w:b/>
          <w:sz w:val="24"/>
          <w:szCs w:val="24"/>
        </w:rPr>
        <w:t>盐池县不同污染源水污染物排放情况</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6"/>
        <w:gridCol w:w="855"/>
        <w:gridCol w:w="992"/>
        <w:gridCol w:w="710"/>
        <w:gridCol w:w="849"/>
        <w:gridCol w:w="851"/>
        <w:gridCol w:w="849"/>
        <w:gridCol w:w="992"/>
        <w:gridCol w:w="992"/>
        <w:gridCol w:w="8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68" w:type="pct"/>
            <w:vMerge w:val="restar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年份</w:t>
            </w:r>
          </w:p>
        </w:tc>
        <w:tc>
          <w:tcPr>
            <w:tcW w:w="1466" w:type="pct"/>
            <w:gridSpan w:val="3"/>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工业源</w:t>
            </w:r>
          </w:p>
        </w:tc>
        <w:tc>
          <w:tcPr>
            <w:tcW w:w="1462" w:type="pct"/>
            <w:gridSpan w:val="3"/>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城镇生活源</w:t>
            </w:r>
          </w:p>
        </w:tc>
        <w:tc>
          <w:tcPr>
            <w:tcW w:w="1604" w:type="pct"/>
            <w:gridSpan w:val="3"/>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农业源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68" w:type="pct"/>
            <w:vMerge w:val="continue"/>
            <w:vAlign w:val="center"/>
          </w:tcPr>
          <w:p>
            <w:pPr>
              <w:adjustRightInd w:val="0"/>
              <w:snapToGrid w:val="0"/>
              <w:jc w:val="center"/>
              <w:rPr>
                <w:rFonts w:ascii="Times New Roman" w:hAnsi="Times New Roman" w:cs="Times New Roman"/>
                <w:b/>
                <w:kern w:val="0"/>
                <w:sz w:val="20"/>
                <w:szCs w:val="20"/>
              </w:rPr>
            </w:pPr>
          </w:p>
        </w:tc>
        <w:tc>
          <w:tcPr>
            <w:tcW w:w="490"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废水量</w:t>
            </w:r>
          </w:p>
        </w:tc>
        <w:tc>
          <w:tcPr>
            <w:tcW w:w="569"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化学需氧量</w:t>
            </w:r>
          </w:p>
        </w:tc>
        <w:tc>
          <w:tcPr>
            <w:tcW w:w="407"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氨氮</w:t>
            </w:r>
          </w:p>
        </w:tc>
        <w:tc>
          <w:tcPr>
            <w:tcW w:w="487"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废水量</w:t>
            </w:r>
          </w:p>
        </w:tc>
        <w:tc>
          <w:tcPr>
            <w:tcW w:w="488"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化学需氧量</w:t>
            </w:r>
          </w:p>
        </w:tc>
        <w:tc>
          <w:tcPr>
            <w:tcW w:w="487"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氨氮</w:t>
            </w:r>
          </w:p>
        </w:tc>
        <w:tc>
          <w:tcPr>
            <w:tcW w:w="569"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废水量</w:t>
            </w:r>
          </w:p>
        </w:tc>
        <w:tc>
          <w:tcPr>
            <w:tcW w:w="569"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化学需氧量</w:t>
            </w:r>
          </w:p>
        </w:tc>
        <w:tc>
          <w:tcPr>
            <w:tcW w:w="467"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adjustRightInd w:val="0"/>
              <w:snapToGrid w:val="0"/>
              <w:jc w:val="center"/>
              <w:rPr>
                <w:rFonts w:ascii="Times New Roman" w:hAnsi="Times New Roman" w:cs="Times New Roman"/>
                <w:b/>
                <w:kern w:val="0"/>
                <w:sz w:val="20"/>
                <w:szCs w:val="20"/>
              </w:rPr>
            </w:pPr>
          </w:p>
        </w:tc>
        <w:tc>
          <w:tcPr>
            <w:tcW w:w="490"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万吨/年</w:t>
            </w:r>
          </w:p>
        </w:tc>
        <w:tc>
          <w:tcPr>
            <w:tcW w:w="569"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吨/年</w:t>
            </w:r>
          </w:p>
        </w:tc>
        <w:tc>
          <w:tcPr>
            <w:tcW w:w="407"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吨/年</w:t>
            </w:r>
          </w:p>
        </w:tc>
        <w:tc>
          <w:tcPr>
            <w:tcW w:w="487"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万吨/年</w:t>
            </w:r>
          </w:p>
        </w:tc>
        <w:tc>
          <w:tcPr>
            <w:tcW w:w="488"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吨/年</w:t>
            </w:r>
          </w:p>
        </w:tc>
        <w:tc>
          <w:tcPr>
            <w:tcW w:w="487"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吨/年</w:t>
            </w:r>
          </w:p>
        </w:tc>
        <w:tc>
          <w:tcPr>
            <w:tcW w:w="569"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万吨/年</w:t>
            </w:r>
          </w:p>
        </w:tc>
        <w:tc>
          <w:tcPr>
            <w:tcW w:w="569"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吨/年</w:t>
            </w:r>
          </w:p>
        </w:tc>
        <w:tc>
          <w:tcPr>
            <w:tcW w:w="467" w:type="pct"/>
            <w:vAlign w:val="center"/>
          </w:tcPr>
          <w:p>
            <w:pPr>
              <w:adjustRightInd w:val="0"/>
              <w:snapToGrid w:val="0"/>
              <w:jc w:val="center"/>
              <w:rPr>
                <w:rFonts w:ascii="Times New Roman" w:hAnsi="Times New Roman" w:cs="Times New Roman"/>
                <w:b/>
                <w:kern w:val="0"/>
                <w:sz w:val="20"/>
                <w:szCs w:val="20"/>
              </w:rPr>
            </w:pPr>
            <w:r>
              <w:rPr>
                <w:rFonts w:ascii="Times New Roman" w:hAnsi="Times New Roman" w:cs="Times New Roman"/>
                <w:b/>
                <w:kern w:val="0"/>
                <w:sz w:val="20"/>
                <w:szCs w:val="20"/>
              </w:rPr>
              <w:t>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2016</w:t>
            </w:r>
          </w:p>
        </w:tc>
        <w:tc>
          <w:tcPr>
            <w:tcW w:w="490"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81.07</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50.37</w:t>
            </w:r>
          </w:p>
        </w:tc>
        <w:tc>
          <w:tcPr>
            <w:tcW w:w="40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1.38</w:t>
            </w:r>
          </w:p>
        </w:tc>
        <w:tc>
          <w:tcPr>
            <w:tcW w:w="48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395.37</w:t>
            </w:r>
          </w:p>
        </w:tc>
        <w:tc>
          <w:tcPr>
            <w:tcW w:w="48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1663.6</w:t>
            </w:r>
          </w:p>
        </w:tc>
        <w:tc>
          <w:tcPr>
            <w:tcW w:w="48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199.63</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77.77</w:t>
            </w:r>
          </w:p>
        </w:tc>
        <w:tc>
          <w:tcPr>
            <w:tcW w:w="46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18.15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2017</w:t>
            </w:r>
          </w:p>
        </w:tc>
        <w:tc>
          <w:tcPr>
            <w:tcW w:w="490"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55.47</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48.73</w:t>
            </w:r>
          </w:p>
        </w:tc>
        <w:tc>
          <w:tcPr>
            <w:tcW w:w="40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1.07</w:t>
            </w:r>
          </w:p>
        </w:tc>
        <w:tc>
          <w:tcPr>
            <w:tcW w:w="48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390.73</w:t>
            </w:r>
          </w:p>
        </w:tc>
        <w:tc>
          <w:tcPr>
            <w:tcW w:w="48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675.39</w:t>
            </w:r>
          </w:p>
        </w:tc>
        <w:tc>
          <w:tcPr>
            <w:tcW w:w="48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98.47</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68.02</w:t>
            </w:r>
          </w:p>
        </w:tc>
        <w:tc>
          <w:tcPr>
            <w:tcW w:w="46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15.88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2018</w:t>
            </w:r>
          </w:p>
        </w:tc>
        <w:tc>
          <w:tcPr>
            <w:tcW w:w="490"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522.72</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89.54</w:t>
            </w:r>
          </w:p>
        </w:tc>
        <w:tc>
          <w:tcPr>
            <w:tcW w:w="40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3.82</w:t>
            </w:r>
          </w:p>
        </w:tc>
        <w:tc>
          <w:tcPr>
            <w:tcW w:w="48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366.39</w:t>
            </w:r>
          </w:p>
        </w:tc>
        <w:tc>
          <w:tcPr>
            <w:tcW w:w="48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675.39</w:t>
            </w:r>
          </w:p>
        </w:tc>
        <w:tc>
          <w:tcPr>
            <w:tcW w:w="48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98.47</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26.74</w:t>
            </w:r>
          </w:p>
        </w:tc>
        <w:tc>
          <w:tcPr>
            <w:tcW w:w="46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2019</w:t>
            </w:r>
          </w:p>
        </w:tc>
        <w:tc>
          <w:tcPr>
            <w:tcW w:w="490"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498.54</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80.66</w:t>
            </w:r>
          </w:p>
        </w:tc>
        <w:tc>
          <w:tcPr>
            <w:tcW w:w="40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2.47</w:t>
            </w:r>
          </w:p>
        </w:tc>
        <w:tc>
          <w:tcPr>
            <w:tcW w:w="48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322.91</w:t>
            </w:r>
          </w:p>
        </w:tc>
        <w:tc>
          <w:tcPr>
            <w:tcW w:w="48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512.73</w:t>
            </w:r>
          </w:p>
        </w:tc>
        <w:tc>
          <w:tcPr>
            <w:tcW w:w="48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139.39</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15.83</w:t>
            </w:r>
          </w:p>
        </w:tc>
        <w:tc>
          <w:tcPr>
            <w:tcW w:w="46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2020</w:t>
            </w:r>
          </w:p>
        </w:tc>
        <w:tc>
          <w:tcPr>
            <w:tcW w:w="490"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Cs w:val="21"/>
              </w:rPr>
              <w:t>457.16</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55.19</w:t>
            </w:r>
          </w:p>
        </w:tc>
        <w:tc>
          <w:tcPr>
            <w:tcW w:w="407"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0.69</w:t>
            </w:r>
          </w:p>
        </w:tc>
        <w:tc>
          <w:tcPr>
            <w:tcW w:w="487"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302.20</w:t>
            </w:r>
          </w:p>
        </w:tc>
        <w:tc>
          <w:tcPr>
            <w:tcW w:w="488"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488.04</w:t>
            </w:r>
          </w:p>
        </w:tc>
        <w:tc>
          <w:tcPr>
            <w:tcW w:w="487"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70.94</w:t>
            </w:r>
          </w:p>
        </w:tc>
        <w:tc>
          <w:tcPr>
            <w:tcW w:w="569" w:type="pct"/>
            <w:vAlign w:val="center"/>
          </w:tcPr>
          <w:p>
            <w:pPr>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w:t>
            </w:r>
          </w:p>
        </w:tc>
        <w:tc>
          <w:tcPr>
            <w:tcW w:w="569"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13.02</w:t>
            </w:r>
          </w:p>
        </w:tc>
        <w:tc>
          <w:tcPr>
            <w:tcW w:w="467"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2021</w:t>
            </w:r>
          </w:p>
        </w:tc>
        <w:tc>
          <w:tcPr>
            <w:tcW w:w="490"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422.33</w:t>
            </w:r>
          </w:p>
        </w:tc>
        <w:tc>
          <w:tcPr>
            <w:tcW w:w="569"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50.98</w:t>
            </w:r>
          </w:p>
        </w:tc>
        <w:tc>
          <w:tcPr>
            <w:tcW w:w="407"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0.64</w:t>
            </w:r>
          </w:p>
        </w:tc>
        <w:tc>
          <w:tcPr>
            <w:tcW w:w="487"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301.32</w:t>
            </w:r>
          </w:p>
        </w:tc>
        <w:tc>
          <w:tcPr>
            <w:tcW w:w="488"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450.38</w:t>
            </w:r>
          </w:p>
        </w:tc>
        <w:tc>
          <w:tcPr>
            <w:tcW w:w="487"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66.57</w:t>
            </w:r>
          </w:p>
        </w:tc>
        <w:tc>
          <w:tcPr>
            <w:tcW w:w="569"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w:t>
            </w:r>
          </w:p>
        </w:tc>
        <w:tc>
          <w:tcPr>
            <w:tcW w:w="569"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14.05</w:t>
            </w:r>
          </w:p>
        </w:tc>
        <w:tc>
          <w:tcPr>
            <w:tcW w:w="467" w:type="pct"/>
            <w:vAlign w:val="center"/>
          </w:tcPr>
          <w:p>
            <w:pPr>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1.62</w:t>
            </w:r>
          </w:p>
        </w:tc>
      </w:tr>
    </w:tbl>
    <w:p>
      <w:pPr>
        <w:adjustRightInd w:val="0"/>
        <w:snapToGrid w:val="0"/>
        <w:spacing w:before="156" w:beforeLines="50" w:line="360" w:lineRule="auto"/>
        <w:ind w:firstLine="560" w:firstLineChars="200"/>
        <w:rPr>
          <w:rFonts w:ascii="仿宋_GB2312" w:eastAsia="仿宋_GB2312"/>
          <w:sz w:val="28"/>
          <w:szCs w:val="28"/>
        </w:rPr>
      </w:pPr>
    </w:p>
    <w:p>
      <w:pPr>
        <w:widowControl/>
        <w:adjustRightInd w:val="0"/>
        <w:snapToGrid w:val="0"/>
        <w:spacing w:after="156" w:afterLines="50" w:line="360" w:lineRule="auto"/>
        <w:jc w:val="center"/>
        <w:rPr>
          <w:rFonts w:ascii="Times New Roman" w:hAnsi="Times New Roman"/>
          <w:b/>
          <w:kern w:val="0"/>
          <w:sz w:val="24"/>
          <w:szCs w:val="24"/>
        </w:rPr>
      </w:pPr>
      <w:r>
        <w:drawing>
          <wp:inline distT="0" distB="0" distL="0" distR="0">
            <wp:extent cx="4572000" cy="2743200"/>
            <wp:effectExtent l="0" t="0" r="19050" b="1905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adjustRightInd w:val="0"/>
        <w:snapToGrid w:val="0"/>
        <w:spacing w:after="156" w:afterLines="50" w:line="360" w:lineRule="auto"/>
        <w:jc w:val="center"/>
        <w:rPr>
          <w:rFonts w:ascii="Times New Roman" w:hAnsi="Times New Roman"/>
          <w:b/>
          <w:kern w:val="0"/>
          <w:sz w:val="24"/>
          <w:szCs w:val="24"/>
        </w:rPr>
      </w:pPr>
      <w:r>
        <w:rPr>
          <w:rFonts w:ascii="Times New Roman" w:hAnsi="Times New Roman"/>
          <w:b/>
          <w:kern w:val="0"/>
          <w:sz w:val="24"/>
          <w:szCs w:val="24"/>
        </w:rPr>
        <w:t>图</w:t>
      </w:r>
      <w:r>
        <w:rPr>
          <w:rFonts w:hint="eastAsia" w:ascii="Times New Roman" w:hAnsi="Times New Roman"/>
          <w:b/>
          <w:kern w:val="0"/>
          <w:sz w:val="24"/>
          <w:szCs w:val="24"/>
        </w:rPr>
        <w:t xml:space="preserve">4-2 </w:t>
      </w:r>
      <w:r>
        <w:rPr>
          <w:rFonts w:ascii="Times New Roman" w:hAnsi="Times New Roman"/>
          <w:b/>
          <w:kern w:val="0"/>
          <w:sz w:val="24"/>
          <w:szCs w:val="24"/>
        </w:rPr>
        <w:t>盐池县</w:t>
      </w:r>
      <w:r>
        <w:rPr>
          <w:rFonts w:hint="eastAsia" w:ascii="Times New Roman" w:hAnsi="Times New Roman"/>
          <w:b/>
          <w:kern w:val="0"/>
          <w:sz w:val="24"/>
          <w:szCs w:val="24"/>
        </w:rPr>
        <w:t>不同</w:t>
      </w:r>
      <w:r>
        <w:rPr>
          <w:rFonts w:ascii="Times New Roman" w:hAnsi="Times New Roman"/>
          <w:b/>
          <w:kern w:val="0"/>
          <w:sz w:val="24"/>
          <w:szCs w:val="24"/>
        </w:rPr>
        <w:t>源废水排放量变化情况</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废水中主要污染物化学需氧量和氨氮排放情况变化趋势分别见图6-2和图6-3。</w:t>
      </w:r>
    </w:p>
    <w:p>
      <w:pPr>
        <w:widowControl/>
        <w:adjustRightInd w:val="0"/>
        <w:snapToGrid w:val="0"/>
        <w:spacing w:after="156" w:afterLines="50" w:line="360" w:lineRule="auto"/>
        <w:jc w:val="center"/>
        <w:rPr>
          <w:rFonts w:ascii="Times New Roman" w:hAnsi="Times New Roman"/>
          <w:b/>
          <w:kern w:val="0"/>
          <w:sz w:val="24"/>
          <w:szCs w:val="24"/>
        </w:rPr>
      </w:pPr>
      <w:r>
        <w:drawing>
          <wp:inline distT="0" distB="0" distL="0" distR="0">
            <wp:extent cx="5400040" cy="3136265"/>
            <wp:effectExtent l="0" t="0" r="10160" b="2603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adjustRightInd w:val="0"/>
        <w:snapToGrid w:val="0"/>
        <w:spacing w:after="156" w:afterLines="50" w:line="360" w:lineRule="auto"/>
        <w:jc w:val="center"/>
        <w:rPr>
          <w:rFonts w:ascii="Times New Roman" w:hAnsi="Times New Roman"/>
          <w:b/>
          <w:kern w:val="0"/>
          <w:sz w:val="24"/>
          <w:szCs w:val="24"/>
        </w:rPr>
      </w:pPr>
      <w:r>
        <w:rPr>
          <w:rFonts w:ascii="Times New Roman" w:hAnsi="Times New Roman"/>
          <w:b/>
          <w:kern w:val="0"/>
          <w:sz w:val="24"/>
          <w:szCs w:val="24"/>
        </w:rPr>
        <w:t>图</w:t>
      </w:r>
      <w:r>
        <w:rPr>
          <w:rFonts w:hint="eastAsia" w:ascii="Times New Roman" w:hAnsi="Times New Roman"/>
          <w:b/>
          <w:kern w:val="0"/>
          <w:sz w:val="24"/>
          <w:szCs w:val="24"/>
        </w:rPr>
        <w:t xml:space="preserve">4-3 </w:t>
      </w:r>
      <w:r>
        <w:rPr>
          <w:rFonts w:ascii="Times New Roman" w:hAnsi="Times New Roman"/>
          <w:b/>
          <w:kern w:val="0"/>
          <w:sz w:val="24"/>
          <w:szCs w:val="24"/>
        </w:rPr>
        <w:t xml:space="preserve"> 盐池县2016-2020年废水中化学需氧量排放量变化趋势</w:t>
      </w:r>
    </w:p>
    <w:p>
      <w:pPr>
        <w:widowControl/>
        <w:adjustRightInd w:val="0"/>
        <w:snapToGrid w:val="0"/>
        <w:spacing w:after="156" w:afterLines="50" w:line="360" w:lineRule="auto"/>
        <w:jc w:val="center"/>
        <w:rPr>
          <w:rFonts w:ascii="Times New Roman" w:hAnsi="Times New Roman"/>
          <w:b/>
          <w:kern w:val="0"/>
          <w:sz w:val="24"/>
          <w:szCs w:val="24"/>
        </w:rPr>
      </w:pPr>
      <w:r>
        <w:drawing>
          <wp:inline distT="0" distB="0" distL="0" distR="0">
            <wp:extent cx="5400040" cy="3108960"/>
            <wp:effectExtent l="0" t="0" r="10160" b="1524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adjustRightInd w:val="0"/>
        <w:snapToGrid w:val="0"/>
        <w:spacing w:after="156" w:afterLines="50" w:line="360" w:lineRule="auto"/>
        <w:jc w:val="center"/>
        <w:rPr>
          <w:rFonts w:ascii="Times New Roman" w:hAnsi="Times New Roman"/>
          <w:b/>
          <w:kern w:val="0"/>
          <w:sz w:val="24"/>
          <w:szCs w:val="24"/>
        </w:rPr>
      </w:pPr>
      <w:r>
        <w:rPr>
          <w:rFonts w:ascii="Times New Roman" w:hAnsi="Times New Roman"/>
          <w:b/>
          <w:kern w:val="0"/>
          <w:sz w:val="24"/>
          <w:szCs w:val="24"/>
        </w:rPr>
        <w:t>图</w:t>
      </w:r>
      <w:r>
        <w:rPr>
          <w:rFonts w:hint="eastAsia" w:ascii="Times New Roman" w:hAnsi="Times New Roman"/>
          <w:b/>
          <w:kern w:val="0"/>
          <w:sz w:val="24"/>
          <w:szCs w:val="24"/>
        </w:rPr>
        <w:t xml:space="preserve">4-4  </w:t>
      </w:r>
      <w:r>
        <w:rPr>
          <w:rFonts w:ascii="Times New Roman" w:hAnsi="Times New Roman"/>
          <w:b/>
          <w:kern w:val="0"/>
          <w:sz w:val="24"/>
          <w:szCs w:val="24"/>
        </w:rPr>
        <w:t xml:space="preserve"> 盐池县2016-2020年废水中氨氮排放量变化趋势</w:t>
      </w:r>
    </w:p>
    <w:p>
      <w:pPr>
        <w:adjustRightInd w:val="0"/>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由图表可知，化学需氧量排放主要来自生活源，其次为工业源，占比分别达到了82.4%和9.9%。</w:t>
      </w:r>
    </w:p>
    <w:p>
      <w:pPr>
        <w:adjustRightInd w:val="0"/>
        <w:snapToGrid w:val="0"/>
        <w:spacing w:before="156" w:beforeLines="50" w:line="360" w:lineRule="auto"/>
        <w:rPr>
          <w:rFonts w:ascii="仿宋_GB2312" w:eastAsia="仿宋_GB2312"/>
          <w:sz w:val="28"/>
          <w:szCs w:val="28"/>
        </w:rPr>
      </w:pPr>
      <w:r>
        <w:drawing>
          <wp:inline distT="0" distB="0" distL="0" distR="0">
            <wp:extent cx="5400040" cy="3311525"/>
            <wp:effectExtent l="0" t="0" r="10160" b="222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adjustRightInd w:val="0"/>
        <w:snapToGrid w:val="0"/>
        <w:spacing w:before="156" w:beforeLines="50" w:line="360" w:lineRule="auto"/>
        <w:jc w:val="center"/>
        <w:rPr>
          <w:rFonts w:ascii="仿宋_GB2312" w:eastAsia="仿宋_GB2312"/>
          <w:sz w:val="28"/>
          <w:szCs w:val="28"/>
        </w:rPr>
      </w:pPr>
      <w:r>
        <w:rPr>
          <w:rFonts w:hint="eastAsia" w:ascii="仿宋_GB2312" w:eastAsia="仿宋_GB2312"/>
          <w:sz w:val="28"/>
          <w:szCs w:val="28"/>
        </w:rPr>
        <w:t>图4-5    不同源化学需氧量排放情况占比</w:t>
      </w:r>
    </w:p>
    <w:p>
      <w:pPr>
        <w:adjustRightInd w:val="0"/>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由图4-3可知，氨氮排放量主要来自生活源和农业源，占比分别达到了84.1%和13.5%。</w:t>
      </w:r>
    </w:p>
    <w:p>
      <w:pPr>
        <w:adjustRightInd w:val="0"/>
        <w:snapToGrid w:val="0"/>
        <w:spacing w:before="156" w:beforeLines="50" w:line="360" w:lineRule="auto"/>
        <w:rPr>
          <w:rFonts w:ascii="仿宋_GB2312" w:eastAsia="仿宋_GB2312"/>
          <w:sz w:val="28"/>
          <w:szCs w:val="28"/>
        </w:rPr>
      </w:pPr>
      <w:r>
        <w:drawing>
          <wp:inline distT="0" distB="0" distL="0" distR="0">
            <wp:extent cx="5400040" cy="3731260"/>
            <wp:effectExtent l="0" t="0" r="10160" b="2159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adjustRightInd w:val="0"/>
        <w:snapToGrid w:val="0"/>
        <w:spacing w:before="156" w:beforeLines="50" w:line="360" w:lineRule="auto"/>
        <w:jc w:val="center"/>
        <w:rPr>
          <w:rFonts w:ascii="仿宋_GB2312" w:eastAsia="仿宋_GB2312"/>
          <w:sz w:val="28"/>
          <w:szCs w:val="28"/>
        </w:rPr>
      </w:pPr>
      <w:r>
        <w:rPr>
          <w:rFonts w:hint="eastAsia" w:ascii="仿宋_GB2312" w:eastAsia="仿宋_GB2312"/>
          <w:sz w:val="28"/>
          <w:szCs w:val="28"/>
        </w:rPr>
        <w:t>图4-6   不同源氨氮排放情况占比</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（2）工业源中化学需氧量和氨氮排放情况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工业源中化学需氧量排放主要来自化学原料和化学制品制造业、农副食品加工业、食品制造业，分别占到了总排放量的33.1%、30.2%和22.5%（见图4-7）。</w:t>
      </w:r>
    </w:p>
    <w:p>
      <w:pPr>
        <w:adjustRightInd w:val="0"/>
        <w:snapToGrid w:val="0"/>
        <w:spacing w:before="156" w:beforeLines="50" w:line="360" w:lineRule="auto"/>
        <w:jc w:val="center"/>
        <w:rPr>
          <w:rFonts w:ascii="仿宋_GB2312" w:eastAsia="仿宋_GB2312"/>
          <w:sz w:val="28"/>
          <w:szCs w:val="28"/>
        </w:rPr>
      </w:pPr>
      <w:r>
        <w:drawing>
          <wp:inline distT="0" distB="0" distL="0" distR="0">
            <wp:extent cx="5400040" cy="3100705"/>
            <wp:effectExtent l="0" t="0" r="10160" b="2349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adjustRightInd w:val="0"/>
        <w:snapToGrid w:val="0"/>
        <w:spacing w:before="156" w:beforeLines="50" w:line="360" w:lineRule="auto"/>
        <w:jc w:val="center"/>
        <w:rPr>
          <w:rFonts w:ascii="仿宋_GB2312" w:eastAsia="仿宋_GB2312"/>
          <w:sz w:val="28"/>
          <w:szCs w:val="28"/>
        </w:rPr>
      </w:pPr>
      <w:r>
        <w:rPr>
          <w:rFonts w:hint="eastAsia" w:ascii="仿宋_GB2312" w:eastAsia="仿宋_GB2312"/>
          <w:sz w:val="28"/>
          <w:szCs w:val="28"/>
        </w:rPr>
        <w:t>图4-7  不同行业化学需氧量排放情况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工业源中氨氮排放主要来自食品制造业、农副食品加工业、化学原料和化学制品制造业，分别占到了总排放量的75.0%、9.9%和7.6%（见图4-8）。</w:t>
      </w:r>
    </w:p>
    <w:p>
      <w:pPr>
        <w:adjustRightInd w:val="0"/>
        <w:snapToGrid w:val="0"/>
        <w:spacing w:before="156" w:beforeLines="50" w:line="360" w:lineRule="auto"/>
        <w:jc w:val="center"/>
        <w:rPr>
          <w:rFonts w:ascii="仿宋_GB2312" w:eastAsia="仿宋_GB2312"/>
          <w:sz w:val="28"/>
          <w:szCs w:val="28"/>
        </w:rPr>
      </w:pPr>
    </w:p>
    <w:p>
      <w:pPr>
        <w:adjustRightInd w:val="0"/>
        <w:snapToGrid w:val="0"/>
        <w:spacing w:before="156" w:beforeLines="50" w:line="360" w:lineRule="auto"/>
        <w:jc w:val="center"/>
        <w:rPr>
          <w:rFonts w:ascii="仿宋_GB2312" w:eastAsia="仿宋_GB2312"/>
          <w:sz w:val="28"/>
          <w:szCs w:val="28"/>
        </w:rPr>
      </w:pPr>
      <w:r>
        <w:drawing>
          <wp:inline distT="0" distB="0" distL="0" distR="0">
            <wp:extent cx="5400040" cy="3983990"/>
            <wp:effectExtent l="0" t="0" r="10160" b="1651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adjustRightInd w:val="0"/>
        <w:snapToGrid w:val="0"/>
        <w:spacing w:before="156" w:beforeLines="50" w:line="360" w:lineRule="auto"/>
        <w:jc w:val="center"/>
        <w:rPr>
          <w:rFonts w:ascii="仿宋_GB2312" w:eastAsia="仿宋_GB2312"/>
          <w:sz w:val="28"/>
          <w:szCs w:val="28"/>
        </w:rPr>
      </w:pPr>
      <w:r>
        <w:rPr>
          <w:rFonts w:hint="eastAsia" w:ascii="仿宋_GB2312" w:eastAsia="仿宋_GB2312"/>
          <w:sz w:val="28"/>
          <w:szCs w:val="28"/>
        </w:rPr>
        <w:t>图4-8 不同行业氨氮排放情况</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4.3.2大气污染物排放</w:t>
      </w:r>
    </w:p>
    <w:p>
      <w:pPr>
        <w:adjustRightInd w:val="0"/>
        <w:snapToGrid w:val="0"/>
        <w:spacing w:line="360" w:lineRule="auto"/>
        <w:ind w:firstLine="560" w:firstLineChars="200"/>
        <w:rPr>
          <w:rFonts w:ascii="仿宋_GB2312" w:eastAsia="仿宋_GB2312"/>
          <w:sz w:val="28"/>
          <w:szCs w:val="28"/>
        </w:rPr>
      </w:pPr>
      <w:r>
        <w:rPr>
          <w:rFonts w:ascii="仿宋_GB2312" w:eastAsia="仿宋_GB2312"/>
          <w:sz w:val="28"/>
          <w:szCs w:val="28"/>
        </w:rPr>
        <w:t>根据环境统计数据，</w:t>
      </w:r>
      <w:r>
        <w:rPr>
          <w:rFonts w:hint="eastAsia" w:ascii="仿宋_GB2312" w:eastAsia="仿宋_GB2312"/>
          <w:sz w:val="28"/>
          <w:szCs w:val="28"/>
        </w:rPr>
        <w:t>2016年-2021年盐池县大气污染物排放情况见表4-8。</w:t>
      </w: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 xml:space="preserve">4-8  </w:t>
      </w:r>
      <w:r>
        <w:rPr>
          <w:rFonts w:ascii="Times New Roman" w:hAnsi="Times New Roman"/>
          <w:b/>
          <w:sz w:val="24"/>
          <w:szCs w:val="24"/>
        </w:rPr>
        <w:t>盐池县</w:t>
      </w:r>
      <w:r>
        <w:rPr>
          <w:rFonts w:hint="eastAsia" w:ascii="Times New Roman" w:hAnsi="Times New Roman"/>
          <w:b/>
          <w:sz w:val="24"/>
          <w:szCs w:val="24"/>
        </w:rPr>
        <w:t>大气</w:t>
      </w:r>
      <w:r>
        <w:rPr>
          <w:rFonts w:ascii="Times New Roman" w:hAnsi="Times New Roman"/>
          <w:b/>
          <w:sz w:val="24"/>
          <w:szCs w:val="24"/>
        </w:rPr>
        <w:t>污染物排放情况</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8"/>
        <w:gridCol w:w="1118"/>
        <w:gridCol w:w="1216"/>
        <w:gridCol w:w="1214"/>
        <w:gridCol w:w="1160"/>
        <w:gridCol w:w="1242"/>
        <w:gridCol w:w="1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类型</w:t>
            </w:r>
          </w:p>
        </w:tc>
        <w:tc>
          <w:tcPr>
            <w:tcW w:w="641"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2016年</w:t>
            </w:r>
          </w:p>
        </w:tc>
        <w:tc>
          <w:tcPr>
            <w:tcW w:w="697"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2017年</w:t>
            </w:r>
          </w:p>
        </w:tc>
        <w:tc>
          <w:tcPr>
            <w:tcW w:w="69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2018年</w:t>
            </w:r>
          </w:p>
        </w:tc>
        <w:tc>
          <w:tcPr>
            <w:tcW w:w="665"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2019年</w:t>
            </w:r>
          </w:p>
        </w:tc>
        <w:tc>
          <w:tcPr>
            <w:tcW w:w="712"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2020年</w:t>
            </w:r>
          </w:p>
        </w:tc>
        <w:tc>
          <w:tcPr>
            <w:tcW w:w="712"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2021年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二氧化硫排放量（吨）</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2384.15</w:t>
            </w:r>
          </w:p>
        </w:tc>
        <w:tc>
          <w:tcPr>
            <w:tcW w:w="69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2139.48</w:t>
            </w:r>
          </w:p>
        </w:tc>
        <w:tc>
          <w:tcPr>
            <w:tcW w:w="69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2138.35</w:t>
            </w:r>
          </w:p>
        </w:tc>
        <w:tc>
          <w:tcPr>
            <w:tcW w:w="665"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2113.97</w:t>
            </w:r>
          </w:p>
        </w:tc>
        <w:tc>
          <w:tcPr>
            <w:tcW w:w="71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1806.53</w:t>
            </w:r>
          </w:p>
        </w:tc>
        <w:tc>
          <w:tcPr>
            <w:tcW w:w="71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1765.88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氮氧化物排放量（吨）</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682.05</w:t>
            </w:r>
          </w:p>
        </w:tc>
        <w:tc>
          <w:tcPr>
            <w:tcW w:w="69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1045.32</w:t>
            </w:r>
          </w:p>
        </w:tc>
        <w:tc>
          <w:tcPr>
            <w:tcW w:w="69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1114.36</w:t>
            </w:r>
          </w:p>
        </w:tc>
        <w:tc>
          <w:tcPr>
            <w:tcW w:w="665"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1717.14</w:t>
            </w:r>
          </w:p>
        </w:tc>
        <w:tc>
          <w:tcPr>
            <w:tcW w:w="71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1366.01</w:t>
            </w:r>
          </w:p>
        </w:tc>
        <w:tc>
          <w:tcPr>
            <w:tcW w:w="71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1206.61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烟粉尘排放量（吨）</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1311.76</w:t>
            </w:r>
          </w:p>
        </w:tc>
        <w:tc>
          <w:tcPr>
            <w:tcW w:w="69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1677.03</w:t>
            </w:r>
          </w:p>
        </w:tc>
        <w:tc>
          <w:tcPr>
            <w:tcW w:w="69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1836.38</w:t>
            </w:r>
          </w:p>
        </w:tc>
        <w:tc>
          <w:tcPr>
            <w:tcW w:w="665"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1989.13</w:t>
            </w:r>
          </w:p>
        </w:tc>
        <w:tc>
          <w:tcPr>
            <w:tcW w:w="71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1878.20</w:t>
            </w:r>
          </w:p>
        </w:tc>
        <w:tc>
          <w:tcPr>
            <w:tcW w:w="71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1843.48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挥发性有机物排放量（吨）</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331.91</w:t>
            </w:r>
          </w:p>
        </w:tc>
        <w:tc>
          <w:tcPr>
            <w:tcW w:w="69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456.55</w:t>
            </w:r>
          </w:p>
        </w:tc>
        <w:tc>
          <w:tcPr>
            <w:tcW w:w="69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533.76</w:t>
            </w:r>
          </w:p>
        </w:tc>
        <w:tc>
          <w:tcPr>
            <w:tcW w:w="665"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613.09</w:t>
            </w:r>
          </w:p>
        </w:tc>
        <w:tc>
          <w:tcPr>
            <w:tcW w:w="71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505.54</w:t>
            </w:r>
          </w:p>
        </w:tc>
        <w:tc>
          <w:tcPr>
            <w:tcW w:w="71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512.88</w:t>
            </w:r>
          </w:p>
        </w:tc>
      </w:tr>
    </w:tbl>
    <w:p>
      <w:pPr>
        <w:adjustRightInd w:val="0"/>
        <w:snapToGrid w:val="0"/>
        <w:spacing w:line="360" w:lineRule="auto"/>
        <w:jc w:val="center"/>
        <w:rPr>
          <w:rFonts w:ascii="Times New Roman" w:hAnsi="Times New Roman"/>
          <w:b/>
          <w:sz w:val="24"/>
          <w:szCs w:val="24"/>
        </w:r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不同污染源大气污染物排放情况见表4-9。</w:t>
      </w: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4-9</w:t>
      </w:r>
      <w:r>
        <w:rPr>
          <w:rFonts w:ascii="Times New Roman" w:hAnsi="Times New Roman"/>
          <w:b/>
          <w:sz w:val="24"/>
          <w:szCs w:val="24"/>
        </w:rPr>
        <w:t xml:space="preserve"> </w:t>
      </w:r>
      <w:r>
        <w:rPr>
          <w:rFonts w:hint="eastAsia" w:ascii="Times New Roman" w:hAnsi="Times New Roman"/>
          <w:b/>
          <w:sz w:val="24"/>
          <w:szCs w:val="24"/>
        </w:rPr>
        <w:t xml:space="preserve">  </w:t>
      </w:r>
      <w:r>
        <w:rPr>
          <w:rFonts w:ascii="Times New Roman" w:hAnsi="Times New Roman"/>
          <w:b/>
          <w:sz w:val="24"/>
          <w:szCs w:val="24"/>
        </w:rPr>
        <w:t>盐池县</w:t>
      </w:r>
      <w:r>
        <w:rPr>
          <w:rFonts w:hint="eastAsia" w:ascii="Times New Roman" w:hAnsi="Times New Roman"/>
          <w:b/>
          <w:sz w:val="24"/>
          <w:szCs w:val="24"/>
        </w:rPr>
        <w:t>不同</w:t>
      </w:r>
      <w:r>
        <w:rPr>
          <w:rFonts w:ascii="Times New Roman" w:hAnsi="Times New Roman"/>
          <w:b/>
          <w:sz w:val="24"/>
          <w:szCs w:val="24"/>
        </w:rPr>
        <w:t>污染源大气污染物排放情况</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1144"/>
        <w:gridCol w:w="1153"/>
        <w:gridCol w:w="1118"/>
        <w:gridCol w:w="942"/>
        <w:gridCol w:w="925"/>
        <w:gridCol w:w="937"/>
        <w:gridCol w:w="865"/>
        <w:gridCol w:w="7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 w:type="pct"/>
            <w:vMerge w:val="restar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年份</w:t>
            </w:r>
          </w:p>
        </w:tc>
        <w:tc>
          <w:tcPr>
            <w:tcW w:w="2498" w:type="pct"/>
            <w:gridSpan w:val="4"/>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工业源</w:t>
            </w:r>
          </w:p>
        </w:tc>
        <w:tc>
          <w:tcPr>
            <w:tcW w:w="2002" w:type="pct"/>
            <w:gridSpan w:val="4"/>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城镇生活源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 w:type="pct"/>
            <w:vMerge w:val="continue"/>
            <w:vAlign w:val="center"/>
          </w:tcPr>
          <w:p>
            <w:pPr>
              <w:adjustRightInd w:val="0"/>
              <w:snapToGrid w:val="0"/>
              <w:jc w:val="center"/>
              <w:rPr>
                <w:rFonts w:ascii="Times New Roman" w:hAnsi="Times New Roman" w:cs="Times New Roman"/>
                <w:b/>
                <w:kern w:val="0"/>
                <w:szCs w:val="21"/>
              </w:rPr>
            </w:pPr>
          </w:p>
        </w:tc>
        <w:tc>
          <w:tcPr>
            <w:tcW w:w="65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二氧化硫</w:t>
            </w:r>
          </w:p>
        </w:tc>
        <w:tc>
          <w:tcPr>
            <w:tcW w:w="661"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氮氧化物</w:t>
            </w:r>
          </w:p>
        </w:tc>
        <w:tc>
          <w:tcPr>
            <w:tcW w:w="641"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烟（粉）尘</w:t>
            </w:r>
          </w:p>
        </w:tc>
        <w:tc>
          <w:tcPr>
            <w:tcW w:w="540"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VOCs</w:t>
            </w:r>
          </w:p>
        </w:tc>
        <w:tc>
          <w:tcPr>
            <w:tcW w:w="530"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二氧</w:t>
            </w:r>
          </w:p>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化硫</w:t>
            </w:r>
          </w:p>
        </w:tc>
        <w:tc>
          <w:tcPr>
            <w:tcW w:w="537"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氮氧化物</w:t>
            </w:r>
          </w:p>
        </w:tc>
        <w:tc>
          <w:tcPr>
            <w:tcW w:w="49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烟（粉）尘</w:t>
            </w:r>
          </w:p>
        </w:tc>
        <w:tc>
          <w:tcPr>
            <w:tcW w:w="439"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VOCs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 w:type="pct"/>
            <w:vMerge w:val="continue"/>
            <w:vAlign w:val="center"/>
          </w:tcPr>
          <w:p>
            <w:pPr>
              <w:adjustRightInd w:val="0"/>
              <w:snapToGrid w:val="0"/>
              <w:jc w:val="center"/>
              <w:rPr>
                <w:rFonts w:ascii="Times New Roman" w:hAnsi="Times New Roman" w:cs="Times New Roman"/>
                <w:b/>
                <w:kern w:val="0"/>
                <w:szCs w:val="21"/>
              </w:rPr>
            </w:pPr>
          </w:p>
        </w:tc>
        <w:tc>
          <w:tcPr>
            <w:tcW w:w="65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吨/年</w:t>
            </w:r>
          </w:p>
        </w:tc>
        <w:tc>
          <w:tcPr>
            <w:tcW w:w="661"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吨/年</w:t>
            </w:r>
          </w:p>
        </w:tc>
        <w:tc>
          <w:tcPr>
            <w:tcW w:w="641"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吨/年</w:t>
            </w:r>
          </w:p>
        </w:tc>
        <w:tc>
          <w:tcPr>
            <w:tcW w:w="540"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吨/年</w:t>
            </w:r>
          </w:p>
        </w:tc>
        <w:tc>
          <w:tcPr>
            <w:tcW w:w="530"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吨/年</w:t>
            </w:r>
          </w:p>
        </w:tc>
        <w:tc>
          <w:tcPr>
            <w:tcW w:w="537"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吨/年</w:t>
            </w:r>
          </w:p>
        </w:tc>
        <w:tc>
          <w:tcPr>
            <w:tcW w:w="49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吨/年</w:t>
            </w:r>
          </w:p>
        </w:tc>
        <w:tc>
          <w:tcPr>
            <w:tcW w:w="439"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2016</w:t>
            </w:r>
          </w:p>
        </w:tc>
        <w:tc>
          <w:tcPr>
            <w:tcW w:w="65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1396.32</w:t>
            </w:r>
          </w:p>
        </w:tc>
        <w:tc>
          <w:tcPr>
            <w:tcW w:w="6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466.33</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440.14</w:t>
            </w:r>
          </w:p>
        </w:tc>
        <w:tc>
          <w:tcPr>
            <w:tcW w:w="54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331.91</w:t>
            </w:r>
          </w:p>
        </w:tc>
        <w:tc>
          <w:tcPr>
            <w:tcW w:w="53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987.83</w:t>
            </w:r>
          </w:p>
        </w:tc>
        <w:tc>
          <w:tcPr>
            <w:tcW w:w="53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215.72</w:t>
            </w:r>
          </w:p>
        </w:tc>
        <w:tc>
          <w:tcPr>
            <w:tcW w:w="49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871.62</w:t>
            </w:r>
          </w:p>
        </w:tc>
        <w:tc>
          <w:tcPr>
            <w:tcW w:w="439"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2017</w:t>
            </w:r>
          </w:p>
        </w:tc>
        <w:tc>
          <w:tcPr>
            <w:tcW w:w="65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1151.73</w:t>
            </w:r>
          </w:p>
        </w:tc>
        <w:tc>
          <w:tcPr>
            <w:tcW w:w="6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829.61</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805.49</w:t>
            </w:r>
          </w:p>
        </w:tc>
        <w:tc>
          <w:tcPr>
            <w:tcW w:w="54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396.05</w:t>
            </w:r>
          </w:p>
        </w:tc>
        <w:tc>
          <w:tcPr>
            <w:tcW w:w="53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987.75</w:t>
            </w:r>
          </w:p>
        </w:tc>
        <w:tc>
          <w:tcPr>
            <w:tcW w:w="53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215.71</w:t>
            </w:r>
          </w:p>
        </w:tc>
        <w:tc>
          <w:tcPr>
            <w:tcW w:w="49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871.54</w:t>
            </w:r>
          </w:p>
        </w:tc>
        <w:tc>
          <w:tcPr>
            <w:tcW w:w="43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2018</w:t>
            </w:r>
          </w:p>
        </w:tc>
        <w:tc>
          <w:tcPr>
            <w:tcW w:w="65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1150.6</w:t>
            </w:r>
          </w:p>
        </w:tc>
        <w:tc>
          <w:tcPr>
            <w:tcW w:w="6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898.65</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964.84</w:t>
            </w:r>
          </w:p>
        </w:tc>
        <w:tc>
          <w:tcPr>
            <w:tcW w:w="54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473.26</w:t>
            </w:r>
          </w:p>
        </w:tc>
        <w:tc>
          <w:tcPr>
            <w:tcW w:w="53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987.75</w:t>
            </w:r>
          </w:p>
        </w:tc>
        <w:tc>
          <w:tcPr>
            <w:tcW w:w="53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215.71</w:t>
            </w:r>
          </w:p>
        </w:tc>
        <w:tc>
          <w:tcPr>
            <w:tcW w:w="49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871.54</w:t>
            </w:r>
          </w:p>
        </w:tc>
        <w:tc>
          <w:tcPr>
            <w:tcW w:w="43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9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2019</w:t>
            </w:r>
          </w:p>
        </w:tc>
        <w:tc>
          <w:tcPr>
            <w:tcW w:w="65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948.97</w:t>
            </w:r>
          </w:p>
        </w:tc>
        <w:tc>
          <w:tcPr>
            <w:tcW w:w="6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1547.14</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978.13</w:t>
            </w:r>
          </w:p>
        </w:tc>
        <w:tc>
          <w:tcPr>
            <w:tcW w:w="54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564.39</w:t>
            </w:r>
          </w:p>
        </w:tc>
        <w:tc>
          <w:tcPr>
            <w:tcW w:w="53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1165</w:t>
            </w:r>
            <w:r>
              <w:rPr>
                <w:rFonts w:hint="eastAsia" w:ascii="Times New Roman" w:hAnsi="Times New Roman" w:cs="Times New Roman"/>
                <w:kern w:val="0"/>
                <w:szCs w:val="21"/>
              </w:rPr>
              <w:t>.00</w:t>
            </w:r>
          </w:p>
        </w:tc>
        <w:tc>
          <w:tcPr>
            <w:tcW w:w="53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170</w:t>
            </w:r>
            <w:r>
              <w:rPr>
                <w:rFonts w:hint="eastAsia" w:ascii="Times New Roman" w:hAnsi="Times New Roman" w:cs="Times New Roman"/>
                <w:kern w:val="0"/>
                <w:szCs w:val="21"/>
              </w:rPr>
              <w:t>.00</w:t>
            </w:r>
          </w:p>
        </w:tc>
        <w:tc>
          <w:tcPr>
            <w:tcW w:w="49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1011</w:t>
            </w:r>
            <w:r>
              <w:rPr>
                <w:rFonts w:hint="eastAsia" w:ascii="Times New Roman" w:hAnsi="Times New Roman" w:cs="Times New Roman"/>
                <w:kern w:val="0"/>
                <w:szCs w:val="21"/>
              </w:rPr>
              <w:t>.0</w:t>
            </w:r>
          </w:p>
        </w:tc>
        <w:tc>
          <w:tcPr>
            <w:tcW w:w="43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2020</w:t>
            </w:r>
          </w:p>
        </w:tc>
        <w:tc>
          <w:tcPr>
            <w:tcW w:w="65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805.19</w:t>
            </w:r>
          </w:p>
        </w:tc>
        <w:tc>
          <w:tcPr>
            <w:tcW w:w="6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1153.85</w:t>
            </w:r>
          </w:p>
        </w:tc>
        <w:tc>
          <w:tcPr>
            <w:tcW w:w="64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1009.44</w:t>
            </w:r>
          </w:p>
        </w:tc>
        <w:tc>
          <w:tcPr>
            <w:tcW w:w="54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449.64</w:t>
            </w:r>
          </w:p>
        </w:tc>
        <w:tc>
          <w:tcPr>
            <w:tcW w:w="53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1001.34</w:t>
            </w:r>
          </w:p>
        </w:tc>
        <w:tc>
          <w:tcPr>
            <w:tcW w:w="537"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212</w:t>
            </w:r>
            <w:r>
              <w:rPr>
                <w:rFonts w:ascii="Times New Roman" w:hAnsi="Times New Roman" w:cs="Times New Roman"/>
                <w:kern w:val="0"/>
                <w:szCs w:val="21"/>
              </w:rPr>
              <w:t>.</w:t>
            </w:r>
            <w:r>
              <w:rPr>
                <w:rFonts w:hint="eastAsia" w:ascii="Times New Roman" w:hAnsi="Times New Roman" w:cs="Times New Roman"/>
                <w:kern w:val="0"/>
                <w:szCs w:val="21"/>
              </w:rPr>
              <w:t>16</w:t>
            </w:r>
          </w:p>
        </w:tc>
        <w:tc>
          <w:tcPr>
            <w:tcW w:w="49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868.76</w:t>
            </w:r>
          </w:p>
        </w:tc>
        <w:tc>
          <w:tcPr>
            <w:tcW w:w="439"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9"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2021</w:t>
            </w:r>
          </w:p>
        </w:tc>
        <w:tc>
          <w:tcPr>
            <w:tcW w:w="65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800.01</w:t>
            </w:r>
          </w:p>
        </w:tc>
        <w:tc>
          <w:tcPr>
            <w:tcW w:w="661"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1002.36</w:t>
            </w:r>
          </w:p>
        </w:tc>
        <w:tc>
          <w:tcPr>
            <w:tcW w:w="641"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993.02</w:t>
            </w:r>
          </w:p>
        </w:tc>
        <w:tc>
          <w:tcPr>
            <w:tcW w:w="54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454.68</w:t>
            </w:r>
          </w:p>
        </w:tc>
        <w:tc>
          <w:tcPr>
            <w:tcW w:w="53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965.87</w:t>
            </w:r>
          </w:p>
        </w:tc>
        <w:tc>
          <w:tcPr>
            <w:tcW w:w="537"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204.25</w:t>
            </w:r>
          </w:p>
        </w:tc>
        <w:tc>
          <w:tcPr>
            <w:tcW w:w="49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850.46</w:t>
            </w:r>
          </w:p>
        </w:tc>
        <w:tc>
          <w:tcPr>
            <w:tcW w:w="439"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58.2</w:t>
            </w:r>
          </w:p>
        </w:tc>
      </w:tr>
    </w:tbl>
    <w:p>
      <w:pPr>
        <w:adjustRightInd w:val="0"/>
        <w:snapToGrid w:val="0"/>
        <w:spacing w:line="360" w:lineRule="auto"/>
        <w:ind w:firstLine="560" w:firstLineChars="200"/>
        <w:rPr>
          <w:rFonts w:ascii="仿宋_GB2312" w:eastAsia="仿宋_GB2312"/>
          <w:sz w:val="28"/>
          <w:szCs w:val="28"/>
        </w:rPr>
      </w:pP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大气污染物排放情况变化趋势见图4-9。二氧化硫总体呈下降趋势；而氮氧化物、烟粉尘、挥发性有机物从2016年到2018年呈缓慢升高的趋势，从2019年开始各类污染物减排量均为下降趋势。</w:t>
      </w:r>
    </w:p>
    <w:p>
      <w:pPr>
        <w:widowControl/>
        <w:adjustRightInd w:val="0"/>
        <w:snapToGrid w:val="0"/>
        <w:spacing w:line="360" w:lineRule="auto"/>
        <w:jc w:val="center"/>
        <w:rPr>
          <w:rFonts w:ascii="仿宋_GB2312" w:hAnsi="宋体" w:eastAsia="仿宋_GB2312" w:cs="宋体"/>
          <w:kern w:val="0"/>
          <w:sz w:val="28"/>
          <w:szCs w:val="28"/>
        </w:rPr>
      </w:pPr>
      <w:r>
        <w:drawing>
          <wp:inline distT="0" distB="0" distL="0" distR="0">
            <wp:extent cx="5400040" cy="3271520"/>
            <wp:effectExtent l="0" t="0" r="10160" b="2413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widowControl/>
        <w:adjustRightInd w:val="0"/>
        <w:snapToGrid w:val="0"/>
        <w:spacing w:after="156" w:afterLines="50" w:line="360" w:lineRule="auto"/>
        <w:jc w:val="center"/>
        <w:rPr>
          <w:rFonts w:ascii="Times New Roman" w:hAnsi="Times New Roman"/>
          <w:b/>
          <w:kern w:val="0"/>
          <w:sz w:val="24"/>
          <w:szCs w:val="24"/>
        </w:rPr>
      </w:pPr>
      <w:r>
        <w:rPr>
          <w:rFonts w:ascii="Times New Roman" w:hAnsi="Times New Roman"/>
          <w:b/>
          <w:kern w:val="0"/>
          <w:sz w:val="24"/>
          <w:szCs w:val="24"/>
        </w:rPr>
        <w:t>图</w:t>
      </w:r>
      <w:r>
        <w:rPr>
          <w:rFonts w:hint="eastAsia" w:ascii="Times New Roman" w:hAnsi="Times New Roman"/>
          <w:b/>
          <w:kern w:val="0"/>
          <w:sz w:val="24"/>
          <w:szCs w:val="24"/>
        </w:rPr>
        <w:t xml:space="preserve">4-9  </w:t>
      </w:r>
      <w:r>
        <w:rPr>
          <w:rFonts w:ascii="Times New Roman" w:hAnsi="Times New Roman"/>
          <w:b/>
          <w:kern w:val="0"/>
          <w:sz w:val="24"/>
          <w:szCs w:val="24"/>
        </w:rPr>
        <w:t>盐池</w:t>
      </w:r>
      <w:r>
        <w:rPr>
          <w:rFonts w:hint="eastAsia" w:ascii="Times New Roman" w:hAnsi="Times New Roman"/>
          <w:b/>
          <w:kern w:val="0"/>
          <w:sz w:val="24"/>
          <w:szCs w:val="24"/>
        </w:rPr>
        <w:t>大气</w:t>
      </w:r>
      <w:r>
        <w:rPr>
          <w:rFonts w:ascii="Times New Roman" w:hAnsi="Times New Roman"/>
          <w:b/>
          <w:kern w:val="0"/>
          <w:sz w:val="24"/>
          <w:szCs w:val="24"/>
        </w:rPr>
        <w:t>中各类污染物排放量变化趋势</w:t>
      </w:r>
    </w:p>
    <w:p>
      <w:pPr>
        <w:adjustRightInd w:val="0"/>
        <w:snapToGrid w:val="0"/>
        <w:spacing w:line="360" w:lineRule="auto"/>
        <w:ind w:firstLine="560" w:firstLineChars="200"/>
        <w:rPr>
          <w:rFonts w:ascii="仿宋_GB2312" w:eastAsia="仿宋_GB2312"/>
          <w:sz w:val="28"/>
          <w:szCs w:val="28"/>
        </w:r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（1）工业源中不同行业二氧化硫排放情况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工业源中不同行业二氧化硫排情况见图4-10，由图可知，产生量较大的行业为石油、煤炭及其他燃料加工业、石油天然气加工业。</w:t>
      </w:r>
    </w:p>
    <w:p>
      <w:pPr>
        <w:adjustRightInd w:val="0"/>
        <w:snapToGrid w:val="0"/>
        <w:spacing w:before="156" w:beforeLines="50" w:line="360" w:lineRule="auto"/>
        <w:jc w:val="center"/>
        <w:rPr>
          <w:rFonts w:ascii="仿宋_GB2312" w:eastAsia="仿宋_GB2312"/>
          <w:sz w:val="28"/>
          <w:szCs w:val="28"/>
        </w:rPr>
      </w:pPr>
      <w:r>
        <w:drawing>
          <wp:inline distT="0" distB="0" distL="0" distR="0">
            <wp:extent cx="5400040" cy="3327400"/>
            <wp:effectExtent l="0" t="0" r="10160" b="2540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hint="eastAsia" w:ascii="仿宋_GB2312" w:eastAsia="仿宋_GB2312"/>
          <w:sz w:val="28"/>
          <w:szCs w:val="28"/>
        </w:rPr>
        <w:t>图4-10  不同行业二氧化硫排放情况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（2）工业源中不同行业氮氧化物排放情况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由图可知，氮氧化物排放主要</w:t>
      </w:r>
      <w:r>
        <w:rPr>
          <w:rFonts w:hint="eastAsia" w:ascii="仿宋_GB2312" w:eastAsia="仿宋_GB2312"/>
          <w:sz w:val="28"/>
          <w:szCs w:val="28"/>
          <w:lang w:val="en-US" w:eastAsia="zh-CN"/>
        </w:rPr>
        <w:t>来自</w:t>
      </w:r>
      <w:r>
        <w:rPr>
          <w:rFonts w:hint="eastAsia" w:ascii="仿宋_GB2312" w:eastAsia="仿宋_GB2312"/>
          <w:sz w:val="28"/>
          <w:szCs w:val="28"/>
        </w:rPr>
        <w:t>非金属矿物品制造业、石油煤炭及其他燃料加工业、集中供热设施等，占比达到了65.1%。</w:t>
      </w:r>
    </w:p>
    <w:p>
      <w:pPr>
        <w:adjustRightInd w:val="0"/>
        <w:snapToGrid w:val="0"/>
        <w:spacing w:before="156" w:beforeLines="50" w:after="156" w:afterLines="50" w:line="360" w:lineRule="auto"/>
        <w:jc w:val="center"/>
        <w:rPr>
          <w:rFonts w:ascii="仿宋_GB2312" w:eastAsia="仿宋_GB2312"/>
          <w:sz w:val="28"/>
          <w:szCs w:val="28"/>
        </w:rPr>
      </w:pPr>
      <w:r>
        <w:drawing>
          <wp:inline distT="0" distB="0" distL="0" distR="0">
            <wp:extent cx="5400040" cy="3091815"/>
            <wp:effectExtent l="0" t="0" r="10160" b="1333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adjustRightInd w:val="0"/>
        <w:snapToGrid w:val="0"/>
        <w:spacing w:before="156" w:beforeLines="50" w:after="156" w:afterLines="50" w:line="360" w:lineRule="auto"/>
        <w:jc w:val="center"/>
        <w:rPr>
          <w:rFonts w:ascii="仿宋_GB2312" w:eastAsia="仿宋_GB2312"/>
          <w:sz w:val="28"/>
          <w:szCs w:val="28"/>
        </w:rPr>
      </w:pPr>
      <w:r>
        <w:rPr>
          <w:rFonts w:hint="eastAsia" w:ascii="仿宋_GB2312" w:eastAsia="仿宋_GB2312"/>
          <w:sz w:val="28"/>
          <w:szCs w:val="28"/>
        </w:rPr>
        <w:t>图4-11  不同行业氮氧化物排放情况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（3）工业源中不同行业颗粒物排放情况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由图可知，煤炭开采和洗选行业是颗粒物排放量最大企业，占比达到40%。</w:t>
      </w:r>
    </w:p>
    <w:p>
      <w:pPr>
        <w:adjustRightInd w:val="0"/>
        <w:snapToGrid w:val="0"/>
        <w:spacing w:line="360" w:lineRule="auto"/>
        <w:rPr>
          <w:rFonts w:ascii="仿宋_GB2312" w:eastAsia="仿宋_GB2312"/>
          <w:sz w:val="28"/>
          <w:szCs w:val="28"/>
        </w:rPr>
      </w:pPr>
      <w:r>
        <w:drawing>
          <wp:inline distT="0" distB="0" distL="0" distR="0">
            <wp:extent cx="5400040" cy="3850640"/>
            <wp:effectExtent l="0" t="0" r="10160" b="1651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adjustRightInd w:val="0"/>
        <w:snapToGrid w:val="0"/>
        <w:spacing w:line="360" w:lineRule="auto"/>
        <w:jc w:val="center"/>
        <w:rPr>
          <w:rFonts w:ascii="仿宋_GB2312" w:eastAsia="仿宋_GB2312"/>
          <w:sz w:val="28"/>
          <w:szCs w:val="28"/>
        </w:rPr>
      </w:pPr>
      <w:r>
        <w:rPr>
          <w:rFonts w:hint="eastAsia" w:ascii="仿宋_GB2312" w:eastAsia="仿宋_GB2312"/>
          <w:sz w:val="28"/>
          <w:szCs w:val="28"/>
        </w:rPr>
        <w:t>图4-12  不同行业颗粒物排放情况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（4）工业源中不同行业挥发性有机物排放情况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根据调查，化工产业是盐池工业园区的支柱产业，主要是以小炼油和天然气液化为主的产业体系，因此化工产业是挥发性有机物控制的重点。不同行业挥发</w:t>
      </w:r>
      <w:r>
        <w:rPr>
          <w:rFonts w:hint="eastAsia" w:ascii="仿宋_GB2312" w:eastAsia="仿宋_GB2312"/>
          <w:sz w:val="28"/>
          <w:szCs w:val="28"/>
          <w:lang w:val="en-US" w:eastAsia="zh-CN"/>
        </w:rPr>
        <w:t>性</w:t>
      </w:r>
      <w:r>
        <w:rPr>
          <w:rFonts w:hint="eastAsia" w:ascii="仿宋_GB2312" w:eastAsia="仿宋_GB2312"/>
          <w:sz w:val="28"/>
          <w:szCs w:val="28"/>
        </w:rPr>
        <w:t>有机物排放情况见图4-13。</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由图可知，挥发性有机物主要来自化学原料和化学制品制造业、石油天然气开采、石油天然气加工、交通运输等行业，占比达到了71.3%。</w:t>
      </w:r>
    </w:p>
    <w:p>
      <w:pPr>
        <w:adjustRightInd w:val="0"/>
        <w:snapToGrid w:val="0"/>
        <w:spacing w:line="360" w:lineRule="auto"/>
        <w:jc w:val="center"/>
        <w:rPr>
          <w:rFonts w:ascii="仿宋_GB2312" w:eastAsia="仿宋_GB2312"/>
          <w:sz w:val="28"/>
          <w:szCs w:val="28"/>
        </w:rPr>
      </w:pPr>
      <w:r>
        <w:drawing>
          <wp:inline distT="0" distB="0" distL="0" distR="0">
            <wp:extent cx="5400040" cy="3576320"/>
            <wp:effectExtent l="0" t="0" r="10160" b="2413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adjustRightInd w:val="0"/>
        <w:snapToGrid w:val="0"/>
        <w:spacing w:line="360" w:lineRule="auto"/>
        <w:jc w:val="center"/>
        <w:rPr>
          <w:rFonts w:ascii="仿宋_GB2312" w:eastAsia="仿宋_GB2312"/>
          <w:sz w:val="28"/>
          <w:szCs w:val="28"/>
        </w:rPr>
      </w:pPr>
      <w:r>
        <w:rPr>
          <w:rFonts w:hint="eastAsia" w:ascii="仿宋_GB2312" w:eastAsia="仿宋_GB2312"/>
          <w:sz w:val="28"/>
          <w:szCs w:val="28"/>
        </w:rPr>
        <w:t>图4-13 不同行业挥发性有机物排放情况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⑶固体废物产生与利用处置</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①一般工业固体废物产生与利用处置量情况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盐池县2016年至2021年一般工业固废产生与利用处置情况见表4-10。</w:t>
      </w: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4-10</w:t>
      </w:r>
      <w:r>
        <w:rPr>
          <w:rFonts w:ascii="Times New Roman" w:hAnsi="Times New Roman"/>
          <w:b/>
          <w:sz w:val="24"/>
          <w:szCs w:val="24"/>
        </w:rPr>
        <w:t xml:space="preserve"> </w:t>
      </w:r>
      <w:r>
        <w:rPr>
          <w:rFonts w:hint="eastAsia" w:ascii="Times New Roman" w:hAnsi="Times New Roman"/>
          <w:b/>
          <w:sz w:val="24"/>
          <w:szCs w:val="24"/>
        </w:rPr>
        <w:t xml:space="preserve">  </w:t>
      </w:r>
      <w:r>
        <w:rPr>
          <w:rFonts w:ascii="Times New Roman" w:hAnsi="Times New Roman"/>
          <w:b/>
          <w:sz w:val="24"/>
          <w:szCs w:val="24"/>
        </w:rPr>
        <w:t>盐池县一般工业固废产生与利用处置情况</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9"/>
        <w:gridCol w:w="978"/>
        <w:gridCol w:w="1102"/>
        <w:gridCol w:w="1223"/>
        <w:gridCol w:w="1224"/>
        <w:gridCol w:w="1193"/>
        <w:gridCol w:w="11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7"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类型</w:t>
            </w:r>
          </w:p>
        </w:tc>
        <w:tc>
          <w:tcPr>
            <w:tcW w:w="561"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2016年</w:t>
            </w:r>
          </w:p>
        </w:tc>
        <w:tc>
          <w:tcPr>
            <w:tcW w:w="632"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2017年</w:t>
            </w:r>
          </w:p>
        </w:tc>
        <w:tc>
          <w:tcPr>
            <w:tcW w:w="701"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2018年</w:t>
            </w:r>
          </w:p>
        </w:tc>
        <w:tc>
          <w:tcPr>
            <w:tcW w:w="702"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2019年</w:t>
            </w:r>
          </w:p>
        </w:tc>
        <w:tc>
          <w:tcPr>
            <w:tcW w:w="684"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2020年</w:t>
            </w:r>
          </w:p>
        </w:tc>
        <w:tc>
          <w:tcPr>
            <w:tcW w:w="683" w:type="pct"/>
            <w:vAlign w:val="center"/>
          </w:tcPr>
          <w:p>
            <w:pPr>
              <w:adjustRightInd w:val="0"/>
              <w:snapToGrid w:val="0"/>
              <w:jc w:val="center"/>
              <w:rPr>
                <w:rFonts w:ascii="Times New Roman" w:hAnsi="Times New Roman" w:cs="Times New Roman"/>
                <w:b/>
                <w:szCs w:val="21"/>
              </w:rPr>
            </w:pPr>
            <w:r>
              <w:rPr>
                <w:rFonts w:hint="eastAsia" w:ascii="Times New Roman" w:hAnsi="Times New Roman" w:cs="Times New Roman"/>
                <w:b/>
                <w:szCs w:val="21"/>
              </w:rPr>
              <w:t>2021年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产生量（万吨）</w:t>
            </w:r>
          </w:p>
        </w:tc>
        <w:tc>
          <w:tcPr>
            <w:tcW w:w="5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53.133</w:t>
            </w:r>
          </w:p>
        </w:tc>
        <w:tc>
          <w:tcPr>
            <w:tcW w:w="63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53.511</w:t>
            </w:r>
          </w:p>
        </w:tc>
        <w:tc>
          <w:tcPr>
            <w:tcW w:w="70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59.109</w:t>
            </w:r>
          </w:p>
        </w:tc>
        <w:tc>
          <w:tcPr>
            <w:tcW w:w="70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119.607</w:t>
            </w:r>
          </w:p>
        </w:tc>
        <w:tc>
          <w:tcPr>
            <w:tcW w:w="684"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157.448</w:t>
            </w:r>
          </w:p>
        </w:tc>
        <w:tc>
          <w:tcPr>
            <w:tcW w:w="683"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67.381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综合利用量（万吨）</w:t>
            </w:r>
          </w:p>
        </w:tc>
        <w:tc>
          <w:tcPr>
            <w:tcW w:w="5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28.862</w:t>
            </w:r>
          </w:p>
        </w:tc>
        <w:tc>
          <w:tcPr>
            <w:tcW w:w="63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19.986</w:t>
            </w:r>
          </w:p>
        </w:tc>
        <w:tc>
          <w:tcPr>
            <w:tcW w:w="70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19.027</w:t>
            </w:r>
          </w:p>
        </w:tc>
        <w:tc>
          <w:tcPr>
            <w:tcW w:w="70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92.3</w:t>
            </w:r>
          </w:p>
        </w:tc>
        <w:tc>
          <w:tcPr>
            <w:tcW w:w="684"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156.650</w:t>
            </w:r>
          </w:p>
        </w:tc>
        <w:tc>
          <w:tcPr>
            <w:tcW w:w="683"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21.691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综合利用率（%）</w:t>
            </w:r>
          </w:p>
        </w:tc>
        <w:tc>
          <w:tcPr>
            <w:tcW w:w="5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54</w:t>
            </w:r>
          </w:p>
        </w:tc>
        <w:tc>
          <w:tcPr>
            <w:tcW w:w="63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w:t>
            </w:r>
            <w:r>
              <w:rPr>
                <w:rFonts w:hint="eastAsia" w:ascii="Times New Roman" w:hAnsi="Times New Roman" w:cs="Times New Roman"/>
                <w:kern w:val="0"/>
                <w:szCs w:val="21"/>
              </w:rPr>
              <w:t>8</w:t>
            </w:r>
          </w:p>
        </w:tc>
        <w:tc>
          <w:tcPr>
            <w:tcW w:w="701"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32</w:t>
            </w:r>
          </w:p>
        </w:tc>
        <w:tc>
          <w:tcPr>
            <w:tcW w:w="702"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77</w:t>
            </w:r>
          </w:p>
        </w:tc>
        <w:tc>
          <w:tcPr>
            <w:tcW w:w="684"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99</w:t>
            </w:r>
          </w:p>
        </w:tc>
        <w:tc>
          <w:tcPr>
            <w:tcW w:w="683"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处置量（吨）</w:t>
            </w:r>
          </w:p>
        </w:tc>
        <w:tc>
          <w:tcPr>
            <w:tcW w:w="5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0.194</w:t>
            </w:r>
          </w:p>
        </w:tc>
        <w:tc>
          <w:tcPr>
            <w:tcW w:w="63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33.54</w:t>
            </w:r>
          </w:p>
        </w:tc>
        <w:tc>
          <w:tcPr>
            <w:tcW w:w="70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40.025</w:t>
            </w:r>
          </w:p>
        </w:tc>
        <w:tc>
          <w:tcPr>
            <w:tcW w:w="70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26.317</w:t>
            </w:r>
          </w:p>
        </w:tc>
        <w:tc>
          <w:tcPr>
            <w:tcW w:w="684"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0.695</w:t>
            </w:r>
          </w:p>
        </w:tc>
        <w:tc>
          <w:tcPr>
            <w:tcW w:w="683"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45.625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贮存量（万吨）</w:t>
            </w:r>
          </w:p>
        </w:tc>
        <w:tc>
          <w:tcPr>
            <w:tcW w:w="56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24.078</w:t>
            </w:r>
          </w:p>
        </w:tc>
        <w:tc>
          <w:tcPr>
            <w:tcW w:w="63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0.069</w:t>
            </w:r>
          </w:p>
        </w:tc>
        <w:tc>
          <w:tcPr>
            <w:tcW w:w="701"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0.265</w:t>
            </w:r>
          </w:p>
        </w:tc>
        <w:tc>
          <w:tcPr>
            <w:tcW w:w="702"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1.213</w:t>
            </w:r>
          </w:p>
        </w:tc>
        <w:tc>
          <w:tcPr>
            <w:tcW w:w="684"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0.549</w:t>
            </w:r>
          </w:p>
        </w:tc>
        <w:tc>
          <w:tcPr>
            <w:tcW w:w="683"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0.302</w:t>
            </w:r>
          </w:p>
        </w:tc>
      </w:tr>
    </w:tbl>
    <w:p>
      <w:pPr>
        <w:adjustRightInd w:val="0"/>
        <w:snapToGrid w:val="0"/>
        <w:spacing w:before="156" w:beforeLines="50" w:line="360" w:lineRule="auto"/>
        <w:ind w:firstLine="560" w:firstLineChars="200"/>
        <w:rPr>
          <w:rFonts w:ascii="仿宋_GB2312" w:eastAsia="仿宋_GB2312"/>
          <w:sz w:val="28"/>
          <w:szCs w:val="28"/>
        </w:rPr>
      </w:pPr>
      <w:r>
        <w:rPr>
          <w:rFonts w:hint="eastAsia" w:ascii="仿宋_GB2312" w:eastAsia="仿宋_GB2312"/>
          <w:sz w:val="28"/>
          <w:szCs w:val="28"/>
        </w:rPr>
        <w:t>②危险废物产生与利用处置情况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2020年，盐池县危险废物产生总量为2.713万吨，产生种类主要为废矿物油、水泥窑协同处置物等，产废行业主要包括石油开采炼制、三废处置等。</w:t>
      </w:r>
      <w:r>
        <w:rPr>
          <w:rFonts w:ascii="仿宋_GB2312" w:eastAsia="仿宋_GB2312"/>
          <w:sz w:val="28"/>
          <w:szCs w:val="28"/>
        </w:rPr>
        <w:t>全县危险废物综合利用量</w:t>
      </w:r>
      <w:r>
        <w:rPr>
          <w:rFonts w:hint="eastAsia" w:ascii="仿宋_GB2312" w:eastAsia="仿宋_GB2312"/>
          <w:sz w:val="28"/>
          <w:szCs w:val="28"/>
        </w:rPr>
        <w:t>2.682</w:t>
      </w:r>
      <w:r>
        <w:rPr>
          <w:rFonts w:ascii="仿宋_GB2312" w:eastAsia="仿宋_GB2312"/>
          <w:sz w:val="28"/>
          <w:szCs w:val="28"/>
        </w:rPr>
        <w:t>万吨，综合利用率</w:t>
      </w:r>
      <w:r>
        <w:rPr>
          <w:rFonts w:hint="eastAsia" w:ascii="仿宋_GB2312" w:eastAsia="仿宋_GB2312"/>
          <w:sz w:val="28"/>
          <w:szCs w:val="28"/>
        </w:rPr>
        <w:t>98.8%</w:t>
      </w:r>
      <w:r>
        <w:rPr>
          <w:rFonts w:ascii="仿宋_GB2312" w:eastAsia="仿宋_GB2312"/>
          <w:sz w:val="28"/>
          <w:szCs w:val="28"/>
        </w:rPr>
        <w:t>，截至</w:t>
      </w:r>
      <w:r>
        <w:rPr>
          <w:rFonts w:hint="eastAsia" w:ascii="仿宋_GB2312" w:eastAsia="仿宋_GB2312"/>
          <w:sz w:val="28"/>
          <w:szCs w:val="28"/>
        </w:rPr>
        <w:t>2020年全县共有危险废物利用处置企业4家，核准处置能力32.8万吨/年。其中，危险废物综合利用持证企业3家，综合利用能力为5.62万吨/年；具备焚烧、固化/稳定化能力处置企业0家，处置能力为0万吨/年（具体见表4-11）。</w:t>
      </w:r>
    </w:p>
    <w:p>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4-11</w:t>
      </w:r>
      <w:r>
        <w:rPr>
          <w:rFonts w:ascii="Times New Roman" w:hAnsi="Times New Roman"/>
          <w:b/>
          <w:sz w:val="24"/>
          <w:szCs w:val="24"/>
        </w:rPr>
        <w:t xml:space="preserve"> </w:t>
      </w:r>
      <w:r>
        <w:rPr>
          <w:rFonts w:hint="eastAsia" w:ascii="Times New Roman" w:hAnsi="Times New Roman"/>
          <w:b/>
          <w:sz w:val="24"/>
          <w:szCs w:val="24"/>
        </w:rPr>
        <w:t xml:space="preserve">  </w:t>
      </w:r>
      <w:r>
        <w:rPr>
          <w:rFonts w:ascii="Times New Roman" w:hAnsi="Times New Roman"/>
          <w:b/>
          <w:sz w:val="24"/>
          <w:szCs w:val="24"/>
        </w:rPr>
        <w:t>盐池县</w:t>
      </w:r>
      <w:r>
        <w:rPr>
          <w:rFonts w:hint="eastAsia" w:ascii="Times New Roman" w:hAnsi="Times New Roman"/>
          <w:b/>
          <w:sz w:val="24"/>
          <w:szCs w:val="24"/>
        </w:rPr>
        <w:t>工业</w:t>
      </w:r>
      <w:r>
        <w:rPr>
          <w:rFonts w:ascii="Times New Roman" w:hAnsi="Times New Roman"/>
          <w:b/>
          <w:sz w:val="24"/>
          <w:szCs w:val="24"/>
        </w:rPr>
        <w:t>危险废物产生与利用处置情况</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31"/>
        <w:gridCol w:w="1127"/>
        <w:gridCol w:w="1179"/>
        <w:gridCol w:w="1151"/>
        <w:gridCol w:w="1114"/>
        <w:gridCol w:w="1109"/>
        <w:gridCol w:w="11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类型</w:t>
            </w:r>
          </w:p>
        </w:tc>
        <w:tc>
          <w:tcPr>
            <w:tcW w:w="64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2016年</w:t>
            </w:r>
          </w:p>
        </w:tc>
        <w:tc>
          <w:tcPr>
            <w:tcW w:w="67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2017年</w:t>
            </w:r>
          </w:p>
        </w:tc>
        <w:tc>
          <w:tcPr>
            <w:tcW w:w="660"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2018年</w:t>
            </w:r>
          </w:p>
        </w:tc>
        <w:tc>
          <w:tcPr>
            <w:tcW w:w="639"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2019年</w:t>
            </w:r>
          </w:p>
        </w:tc>
        <w:tc>
          <w:tcPr>
            <w:tcW w:w="636" w:type="pc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2020年</w:t>
            </w:r>
          </w:p>
        </w:tc>
        <w:tc>
          <w:tcPr>
            <w:tcW w:w="636" w:type="pct"/>
            <w:vAlign w:val="center"/>
          </w:tcPr>
          <w:p>
            <w:pPr>
              <w:adjustRightInd w:val="0"/>
              <w:snapToGrid w:val="0"/>
              <w:jc w:val="center"/>
              <w:rPr>
                <w:rFonts w:ascii="Times New Roman" w:hAnsi="Times New Roman" w:cs="Times New Roman"/>
                <w:b/>
                <w:kern w:val="0"/>
                <w:szCs w:val="21"/>
              </w:rPr>
            </w:pPr>
            <w:r>
              <w:rPr>
                <w:rFonts w:hint="eastAsia" w:ascii="Times New Roman" w:hAnsi="Times New Roman" w:cs="Times New Roman"/>
                <w:b/>
                <w:kern w:val="0"/>
                <w:szCs w:val="21"/>
              </w:rPr>
              <w:t>2021年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产生量（万吨）</w:t>
            </w:r>
          </w:p>
        </w:tc>
        <w:tc>
          <w:tcPr>
            <w:tcW w:w="64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0.679</w:t>
            </w:r>
          </w:p>
        </w:tc>
        <w:tc>
          <w:tcPr>
            <w:tcW w:w="67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1.137</w:t>
            </w:r>
          </w:p>
        </w:tc>
        <w:tc>
          <w:tcPr>
            <w:tcW w:w="66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3.408</w:t>
            </w:r>
          </w:p>
        </w:tc>
        <w:tc>
          <w:tcPr>
            <w:tcW w:w="639"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3.408</w:t>
            </w:r>
          </w:p>
        </w:tc>
        <w:tc>
          <w:tcPr>
            <w:tcW w:w="63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2.713</w:t>
            </w:r>
          </w:p>
        </w:tc>
        <w:tc>
          <w:tcPr>
            <w:tcW w:w="63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2.984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综合利用量（万吨）</w:t>
            </w:r>
          </w:p>
        </w:tc>
        <w:tc>
          <w:tcPr>
            <w:tcW w:w="64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 xml:space="preserve"> </w:t>
            </w:r>
            <w:r>
              <w:rPr>
                <w:rFonts w:hint="eastAsia" w:ascii="Times New Roman" w:hAnsi="Times New Roman" w:cs="Times New Roman"/>
                <w:kern w:val="0"/>
                <w:szCs w:val="21"/>
              </w:rPr>
              <w:t>0.058</w:t>
            </w:r>
            <w:r>
              <w:rPr>
                <w:rFonts w:ascii="Times New Roman" w:hAnsi="Times New Roman" w:cs="Times New Roman"/>
                <w:kern w:val="0"/>
                <w:szCs w:val="21"/>
              </w:rPr>
              <w:t xml:space="preserve">                                                                                                                                                                  </w:t>
            </w:r>
          </w:p>
        </w:tc>
        <w:tc>
          <w:tcPr>
            <w:tcW w:w="67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0.039</w:t>
            </w:r>
          </w:p>
        </w:tc>
        <w:tc>
          <w:tcPr>
            <w:tcW w:w="66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0.13</w:t>
            </w:r>
          </w:p>
        </w:tc>
        <w:tc>
          <w:tcPr>
            <w:tcW w:w="639"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0.134</w:t>
            </w:r>
          </w:p>
        </w:tc>
        <w:tc>
          <w:tcPr>
            <w:tcW w:w="63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0.130</w:t>
            </w:r>
          </w:p>
        </w:tc>
        <w:tc>
          <w:tcPr>
            <w:tcW w:w="63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0.165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处置量（万吨）</w:t>
            </w:r>
          </w:p>
        </w:tc>
        <w:tc>
          <w:tcPr>
            <w:tcW w:w="64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0.6</w:t>
            </w:r>
            <w:r>
              <w:rPr>
                <w:rFonts w:hint="eastAsia" w:ascii="Times New Roman" w:hAnsi="Times New Roman" w:cs="Times New Roman"/>
                <w:kern w:val="0"/>
                <w:szCs w:val="21"/>
              </w:rPr>
              <w:t>00</w:t>
            </w:r>
          </w:p>
        </w:tc>
        <w:tc>
          <w:tcPr>
            <w:tcW w:w="67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w:t>
            </w:r>
            <w:r>
              <w:rPr>
                <w:rFonts w:ascii="Times New Roman" w:hAnsi="Times New Roman" w:cs="Times New Roman"/>
                <w:kern w:val="0"/>
                <w:szCs w:val="21"/>
              </w:rPr>
              <w:t>.049</w:t>
            </w:r>
          </w:p>
        </w:tc>
        <w:tc>
          <w:tcPr>
            <w:tcW w:w="660"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2.709</w:t>
            </w:r>
          </w:p>
        </w:tc>
        <w:tc>
          <w:tcPr>
            <w:tcW w:w="639"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3.364</w:t>
            </w:r>
          </w:p>
        </w:tc>
        <w:tc>
          <w:tcPr>
            <w:tcW w:w="63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2.598</w:t>
            </w:r>
          </w:p>
        </w:tc>
        <w:tc>
          <w:tcPr>
            <w:tcW w:w="63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2.718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综合利用率（%）</w:t>
            </w:r>
          </w:p>
        </w:tc>
        <w:tc>
          <w:tcPr>
            <w:tcW w:w="64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88.3</w:t>
            </w:r>
          </w:p>
        </w:tc>
        <w:tc>
          <w:tcPr>
            <w:tcW w:w="67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w:t>
            </w:r>
            <w:r>
              <w:rPr>
                <w:rFonts w:hint="eastAsia" w:ascii="Times New Roman" w:hAnsi="Times New Roman" w:cs="Times New Roman"/>
                <w:kern w:val="0"/>
                <w:szCs w:val="21"/>
              </w:rPr>
              <w:t>3</w:t>
            </w:r>
          </w:p>
        </w:tc>
        <w:tc>
          <w:tcPr>
            <w:tcW w:w="66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3.8</w:t>
            </w:r>
          </w:p>
        </w:tc>
        <w:tc>
          <w:tcPr>
            <w:tcW w:w="639"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3.9</w:t>
            </w:r>
          </w:p>
        </w:tc>
        <w:tc>
          <w:tcPr>
            <w:tcW w:w="63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4.8</w:t>
            </w:r>
          </w:p>
        </w:tc>
        <w:tc>
          <w:tcPr>
            <w:tcW w:w="63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贮存量（万吨）</w:t>
            </w:r>
          </w:p>
        </w:tc>
        <w:tc>
          <w:tcPr>
            <w:tcW w:w="64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0.021</w:t>
            </w:r>
          </w:p>
        </w:tc>
        <w:tc>
          <w:tcPr>
            <w:tcW w:w="67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0.127</w:t>
            </w:r>
          </w:p>
        </w:tc>
        <w:tc>
          <w:tcPr>
            <w:tcW w:w="660"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0.569</w:t>
            </w:r>
          </w:p>
        </w:tc>
        <w:tc>
          <w:tcPr>
            <w:tcW w:w="639"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0.569</w:t>
            </w:r>
          </w:p>
        </w:tc>
        <w:tc>
          <w:tcPr>
            <w:tcW w:w="636" w:type="pct"/>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0.076</w:t>
            </w:r>
          </w:p>
        </w:tc>
        <w:tc>
          <w:tcPr>
            <w:tcW w:w="636" w:type="pct"/>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0.101</w:t>
            </w:r>
          </w:p>
        </w:tc>
      </w:tr>
    </w:tbl>
    <w:p>
      <w:pPr>
        <w:adjustRightInd w:val="0"/>
        <w:snapToGrid w:val="0"/>
        <w:spacing w:line="360" w:lineRule="auto"/>
        <w:ind w:firstLine="560" w:firstLineChars="200"/>
        <w:rPr>
          <w:rFonts w:ascii="仿宋_GB2312" w:eastAsia="仿宋_GB2312"/>
          <w:sz w:val="28"/>
          <w:szCs w:val="28"/>
        </w:r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③医疗废物产生与利用处置情况</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盐池县共有19家医疗废物产生机构，医疗废物集中处置率达100%，全部交由特许医疗废物处置单位进行安全处理。</w:t>
      </w:r>
    </w:p>
    <w:p>
      <w:pPr>
        <w:pStyle w:val="3"/>
        <w:adjustRightInd w:val="0"/>
        <w:snapToGrid w:val="0"/>
        <w:spacing w:before="120" w:after="120" w:line="360" w:lineRule="auto"/>
        <w:rPr>
          <w:rFonts w:ascii="黑体" w:hAnsi="黑体" w:eastAsia="黑体"/>
          <w:kern w:val="0"/>
          <w:sz w:val="30"/>
          <w:szCs w:val="30"/>
        </w:rPr>
      </w:pPr>
      <w:bookmarkStart w:id="15" w:name="_Toc111980874"/>
      <w:r>
        <w:rPr>
          <w:rFonts w:hint="eastAsia" w:ascii="黑体" w:hAnsi="黑体" w:eastAsia="黑体"/>
          <w:kern w:val="0"/>
          <w:sz w:val="30"/>
          <w:szCs w:val="30"/>
        </w:rPr>
        <w:t>4.4基础设施建设</w:t>
      </w:r>
      <w:bookmarkEnd w:id="15"/>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⑴生活垃圾处理设施</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盐池县目前运行生活垃圾处理设施1座，具体见表4-12。根据表中数据可知，现有生活垃圾填埋场已经满负荷运行。</w:t>
      </w:r>
    </w:p>
    <w:p>
      <w:pPr>
        <w:adjustRightInd w:val="0"/>
        <w:snapToGrid w:val="0"/>
        <w:spacing w:line="360" w:lineRule="auto"/>
        <w:jc w:val="center"/>
        <w:rPr>
          <w:rFonts w:ascii="Times New Roman" w:hAnsi="Times New Roman"/>
          <w:b/>
        </w:rPr>
      </w:pPr>
      <w:r>
        <w:rPr>
          <w:rFonts w:hint="eastAsia" w:ascii="Times New Roman" w:hAnsi="Times New Roman"/>
          <w:b/>
        </w:rPr>
        <w:t xml:space="preserve">表4-12 </w:t>
      </w:r>
      <w:r>
        <w:rPr>
          <w:rFonts w:ascii="Times New Roman" w:hAnsi="Times New Roman"/>
          <w:b/>
        </w:rPr>
        <w:t xml:space="preserve"> </w:t>
      </w:r>
      <w:r>
        <w:rPr>
          <w:rFonts w:hint="eastAsia" w:ascii="Times New Roman" w:hAnsi="Times New Roman"/>
          <w:b/>
        </w:rPr>
        <w:t>盐池县生活垃圾处理设施统计结果</w:t>
      </w:r>
    </w:p>
    <w:tbl>
      <w:tblPr>
        <w:tblStyle w:val="14"/>
        <w:tblW w:w="85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0"/>
        <w:gridCol w:w="1525"/>
        <w:gridCol w:w="1134"/>
        <w:gridCol w:w="992"/>
        <w:gridCol w:w="1134"/>
        <w:gridCol w:w="1701"/>
        <w:gridCol w:w="13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dxa"/>
            <w:vMerge w:val="restart"/>
            <w:tcBorders>
              <w:top w:val="single" w:color="auto" w:sz="12" w:space="0"/>
            </w:tcBorders>
            <w:vAlign w:val="center"/>
          </w:tcPr>
          <w:p>
            <w:pPr>
              <w:adjustRightInd w:val="0"/>
              <w:snapToGrid w:val="0"/>
              <w:jc w:val="center"/>
              <w:rPr>
                <w:rFonts w:ascii="Times New Roman" w:hAnsi="Times New Roman"/>
                <w:b/>
                <w:bCs/>
                <w:sz w:val="18"/>
                <w:szCs w:val="18"/>
              </w:rPr>
            </w:pPr>
            <w:r>
              <w:rPr>
                <w:rFonts w:hint="eastAsia" w:ascii="Times New Roman" w:hAnsi="Times New Roman"/>
                <w:b/>
                <w:bCs/>
                <w:sz w:val="18"/>
                <w:szCs w:val="18"/>
              </w:rPr>
              <w:t>序号</w:t>
            </w:r>
          </w:p>
        </w:tc>
        <w:tc>
          <w:tcPr>
            <w:tcW w:w="1525" w:type="dxa"/>
            <w:vMerge w:val="restart"/>
            <w:tcBorders>
              <w:top w:val="single" w:color="auto" w:sz="12" w:space="0"/>
            </w:tcBorders>
            <w:vAlign w:val="center"/>
          </w:tcPr>
          <w:p>
            <w:pPr>
              <w:adjustRightInd w:val="0"/>
              <w:snapToGrid w:val="0"/>
              <w:jc w:val="center"/>
              <w:rPr>
                <w:rFonts w:ascii="Times New Roman" w:hAnsi="Times New Roman"/>
                <w:b/>
                <w:bCs/>
                <w:sz w:val="18"/>
                <w:szCs w:val="18"/>
              </w:rPr>
            </w:pPr>
            <w:r>
              <w:rPr>
                <w:rFonts w:hint="eastAsia" w:ascii="Times New Roman" w:hAnsi="Times New Roman"/>
                <w:b/>
                <w:bCs/>
                <w:sz w:val="18"/>
                <w:szCs w:val="18"/>
              </w:rPr>
              <w:t>生活垃圾处理场名称</w:t>
            </w:r>
          </w:p>
        </w:tc>
        <w:tc>
          <w:tcPr>
            <w:tcW w:w="1134" w:type="dxa"/>
            <w:vMerge w:val="restart"/>
            <w:tcBorders>
              <w:top w:val="single" w:color="auto" w:sz="12" w:space="0"/>
            </w:tcBorders>
            <w:vAlign w:val="center"/>
          </w:tcPr>
          <w:p>
            <w:pPr>
              <w:adjustRightInd w:val="0"/>
              <w:snapToGrid w:val="0"/>
              <w:jc w:val="center"/>
              <w:rPr>
                <w:rFonts w:ascii="Times New Roman" w:hAnsi="Times New Roman"/>
                <w:b/>
                <w:bCs/>
                <w:sz w:val="18"/>
                <w:szCs w:val="18"/>
              </w:rPr>
            </w:pPr>
            <w:r>
              <w:rPr>
                <w:rFonts w:hint="eastAsia" w:ascii="Times New Roman" w:hAnsi="Times New Roman"/>
                <w:b/>
                <w:bCs/>
                <w:sz w:val="18"/>
                <w:szCs w:val="18"/>
              </w:rPr>
              <w:t>处理方式</w:t>
            </w:r>
          </w:p>
        </w:tc>
        <w:tc>
          <w:tcPr>
            <w:tcW w:w="992" w:type="dxa"/>
            <w:vMerge w:val="restart"/>
            <w:tcBorders>
              <w:top w:val="single" w:color="auto" w:sz="12" w:space="0"/>
            </w:tcBorders>
            <w:vAlign w:val="center"/>
          </w:tcPr>
          <w:p>
            <w:pPr>
              <w:adjustRightInd w:val="0"/>
              <w:snapToGrid w:val="0"/>
              <w:jc w:val="center"/>
              <w:rPr>
                <w:rFonts w:ascii="Times New Roman" w:hAnsi="Times New Roman"/>
                <w:b/>
                <w:bCs/>
                <w:sz w:val="18"/>
                <w:szCs w:val="18"/>
              </w:rPr>
            </w:pPr>
            <w:r>
              <w:rPr>
                <w:rFonts w:hint="eastAsia" w:ascii="Times New Roman" w:hAnsi="Times New Roman"/>
                <w:b/>
                <w:bCs/>
                <w:sz w:val="18"/>
                <w:szCs w:val="18"/>
              </w:rPr>
              <w:t>投运</w:t>
            </w:r>
          </w:p>
          <w:p>
            <w:pPr>
              <w:adjustRightInd w:val="0"/>
              <w:snapToGrid w:val="0"/>
              <w:jc w:val="center"/>
              <w:rPr>
                <w:rFonts w:ascii="Times New Roman" w:hAnsi="Times New Roman"/>
                <w:b/>
                <w:bCs/>
                <w:sz w:val="18"/>
                <w:szCs w:val="18"/>
              </w:rPr>
            </w:pPr>
            <w:r>
              <w:rPr>
                <w:rFonts w:hint="eastAsia" w:ascii="Times New Roman" w:hAnsi="Times New Roman"/>
                <w:b/>
                <w:bCs/>
                <w:sz w:val="18"/>
                <w:szCs w:val="18"/>
              </w:rPr>
              <w:t>时间</w:t>
            </w:r>
          </w:p>
        </w:tc>
        <w:tc>
          <w:tcPr>
            <w:tcW w:w="4144" w:type="dxa"/>
            <w:gridSpan w:val="3"/>
            <w:tcBorders>
              <w:top w:val="single" w:color="auto" w:sz="12" w:space="0"/>
            </w:tcBorders>
            <w:vAlign w:val="center"/>
          </w:tcPr>
          <w:p>
            <w:pPr>
              <w:adjustRightInd w:val="0"/>
              <w:snapToGrid w:val="0"/>
              <w:jc w:val="center"/>
              <w:rPr>
                <w:rFonts w:ascii="Times New Roman" w:hAnsi="Times New Roman"/>
                <w:b/>
                <w:bCs/>
                <w:sz w:val="18"/>
                <w:szCs w:val="18"/>
              </w:rPr>
            </w:pPr>
            <w:r>
              <w:rPr>
                <w:rFonts w:hint="eastAsia" w:ascii="Times New Roman" w:hAnsi="Times New Roman"/>
                <w:b/>
                <w:bCs/>
                <w:sz w:val="18"/>
                <w:szCs w:val="18"/>
              </w:rPr>
              <w:t>处理能力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dxa"/>
            <w:vMerge w:val="continue"/>
            <w:vAlign w:val="center"/>
          </w:tcPr>
          <w:p>
            <w:pPr>
              <w:adjustRightInd w:val="0"/>
              <w:snapToGrid w:val="0"/>
              <w:jc w:val="center"/>
              <w:rPr>
                <w:rFonts w:ascii="Times New Roman" w:hAnsi="Times New Roman"/>
                <w:b/>
                <w:bCs/>
                <w:sz w:val="18"/>
                <w:szCs w:val="18"/>
              </w:rPr>
            </w:pPr>
          </w:p>
        </w:tc>
        <w:tc>
          <w:tcPr>
            <w:tcW w:w="1525" w:type="dxa"/>
            <w:vMerge w:val="continue"/>
            <w:vAlign w:val="center"/>
          </w:tcPr>
          <w:p>
            <w:pPr>
              <w:adjustRightInd w:val="0"/>
              <w:snapToGrid w:val="0"/>
              <w:jc w:val="center"/>
              <w:rPr>
                <w:rFonts w:ascii="Times New Roman" w:hAnsi="Times New Roman"/>
                <w:b/>
                <w:bCs/>
                <w:sz w:val="18"/>
                <w:szCs w:val="18"/>
              </w:rPr>
            </w:pPr>
          </w:p>
        </w:tc>
        <w:tc>
          <w:tcPr>
            <w:tcW w:w="1134" w:type="dxa"/>
            <w:vMerge w:val="continue"/>
            <w:vAlign w:val="center"/>
          </w:tcPr>
          <w:p>
            <w:pPr>
              <w:adjustRightInd w:val="0"/>
              <w:snapToGrid w:val="0"/>
              <w:jc w:val="center"/>
              <w:rPr>
                <w:rFonts w:ascii="Times New Roman" w:hAnsi="Times New Roman"/>
                <w:b/>
                <w:bCs/>
                <w:sz w:val="18"/>
                <w:szCs w:val="18"/>
              </w:rPr>
            </w:pPr>
          </w:p>
        </w:tc>
        <w:tc>
          <w:tcPr>
            <w:tcW w:w="992" w:type="dxa"/>
            <w:vMerge w:val="continue"/>
            <w:vAlign w:val="center"/>
          </w:tcPr>
          <w:p>
            <w:pPr>
              <w:adjustRightInd w:val="0"/>
              <w:snapToGrid w:val="0"/>
              <w:jc w:val="center"/>
              <w:rPr>
                <w:rFonts w:ascii="Times New Roman" w:hAnsi="Times New Roman"/>
                <w:b/>
                <w:bCs/>
                <w:sz w:val="18"/>
                <w:szCs w:val="18"/>
              </w:rPr>
            </w:pPr>
          </w:p>
        </w:tc>
        <w:tc>
          <w:tcPr>
            <w:tcW w:w="1134" w:type="dxa"/>
            <w:vAlign w:val="center"/>
          </w:tcPr>
          <w:p>
            <w:pPr>
              <w:adjustRightInd w:val="0"/>
              <w:snapToGrid w:val="0"/>
              <w:jc w:val="center"/>
              <w:rPr>
                <w:rFonts w:ascii="Times New Roman" w:hAnsi="Times New Roman"/>
                <w:b/>
                <w:bCs/>
                <w:sz w:val="18"/>
                <w:szCs w:val="18"/>
              </w:rPr>
            </w:pPr>
            <w:r>
              <w:rPr>
                <w:rFonts w:hint="eastAsia" w:ascii="Times New Roman" w:hAnsi="Times New Roman"/>
                <w:b/>
                <w:bCs/>
                <w:sz w:val="18"/>
                <w:szCs w:val="18"/>
              </w:rPr>
              <w:t>设计规模（吨</w:t>
            </w:r>
            <w:r>
              <w:rPr>
                <w:rFonts w:ascii="Times New Roman" w:hAnsi="Times New Roman"/>
                <w:b/>
                <w:bCs/>
                <w:sz w:val="18"/>
                <w:szCs w:val="18"/>
              </w:rPr>
              <w:t>/d</w:t>
            </w:r>
            <w:r>
              <w:rPr>
                <w:rFonts w:hint="eastAsia" w:ascii="Times New Roman" w:hAnsi="Times New Roman"/>
                <w:b/>
                <w:bCs/>
                <w:sz w:val="18"/>
                <w:szCs w:val="18"/>
              </w:rPr>
              <w:t>）</w:t>
            </w:r>
          </w:p>
        </w:tc>
        <w:tc>
          <w:tcPr>
            <w:tcW w:w="1701" w:type="dxa"/>
            <w:vAlign w:val="center"/>
          </w:tcPr>
          <w:p>
            <w:pPr>
              <w:adjustRightInd w:val="0"/>
              <w:snapToGrid w:val="0"/>
              <w:jc w:val="center"/>
              <w:rPr>
                <w:rFonts w:ascii="Times New Roman" w:hAnsi="Times New Roman"/>
                <w:b/>
                <w:bCs/>
                <w:sz w:val="18"/>
                <w:szCs w:val="18"/>
              </w:rPr>
            </w:pPr>
            <w:r>
              <w:rPr>
                <w:rFonts w:hint="eastAsia" w:ascii="Times New Roman" w:hAnsi="Times New Roman"/>
                <w:b/>
                <w:bCs/>
                <w:sz w:val="18"/>
                <w:szCs w:val="18"/>
              </w:rPr>
              <w:t>实际规模（吨</w:t>
            </w:r>
            <w:r>
              <w:rPr>
                <w:rFonts w:ascii="Times New Roman" w:hAnsi="Times New Roman"/>
                <w:b/>
                <w:bCs/>
                <w:sz w:val="18"/>
                <w:szCs w:val="18"/>
              </w:rPr>
              <w:t>/d</w:t>
            </w:r>
            <w:r>
              <w:rPr>
                <w:rFonts w:hint="eastAsia" w:ascii="Times New Roman" w:hAnsi="Times New Roman"/>
                <w:b/>
                <w:bCs/>
                <w:sz w:val="18"/>
                <w:szCs w:val="18"/>
              </w:rPr>
              <w:t>）</w:t>
            </w:r>
          </w:p>
        </w:tc>
        <w:tc>
          <w:tcPr>
            <w:tcW w:w="1309" w:type="dxa"/>
            <w:vAlign w:val="center"/>
          </w:tcPr>
          <w:p>
            <w:pPr>
              <w:adjustRightInd w:val="0"/>
              <w:snapToGrid w:val="0"/>
              <w:jc w:val="center"/>
              <w:rPr>
                <w:rFonts w:ascii="Times New Roman" w:hAnsi="Times New Roman"/>
                <w:b/>
                <w:bCs/>
                <w:sz w:val="18"/>
                <w:szCs w:val="18"/>
              </w:rPr>
            </w:pPr>
            <w:r>
              <w:rPr>
                <w:rFonts w:hint="eastAsia" w:ascii="Times New Roman" w:hAnsi="Times New Roman"/>
                <w:b/>
                <w:bCs/>
                <w:sz w:val="18"/>
                <w:szCs w:val="18"/>
              </w:rPr>
              <w:t>运行状况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dxa"/>
            <w:vAlign w:val="center"/>
          </w:tcPr>
          <w:p>
            <w:pPr>
              <w:jc w:val="center"/>
              <w:rPr>
                <w:rFonts w:ascii="Times New Roman" w:hAnsi="Times New Roman"/>
                <w:bCs/>
                <w:szCs w:val="21"/>
              </w:rPr>
            </w:pPr>
            <w:r>
              <w:rPr>
                <w:rFonts w:ascii="Times New Roman" w:hAnsi="Times New Roman"/>
                <w:bCs/>
                <w:szCs w:val="21"/>
              </w:rPr>
              <w:t>1</w:t>
            </w:r>
          </w:p>
        </w:tc>
        <w:tc>
          <w:tcPr>
            <w:tcW w:w="1525" w:type="dxa"/>
            <w:vAlign w:val="center"/>
          </w:tcPr>
          <w:p>
            <w:pPr>
              <w:jc w:val="center"/>
              <w:rPr>
                <w:rFonts w:ascii="Times New Roman" w:hAnsi="Times New Roman"/>
                <w:szCs w:val="21"/>
              </w:rPr>
            </w:pPr>
            <w:r>
              <w:rPr>
                <w:rFonts w:ascii="Times New Roman" w:hAnsi="Times New Roman"/>
                <w:szCs w:val="21"/>
              </w:rPr>
              <w:t>盐池县生活垃圾卫生填埋场</w:t>
            </w:r>
          </w:p>
        </w:tc>
        <w:tc>
          <w:tcPr>
            <w:tcW w:w="1134" w:type="dxa"/>
            <w:vAlign w:val="center"/>
          </w:tcPr>
          <w:p>
            <w:pPr>
              <w:jc w:val="center"/>
              <w:rPr>
                <w:rFonts w:ascii="Times New Roman" w:hAnsi="Times New Roman"/>
                <w:bCs/>
                <w:szCs w:val="21"/>
              </w:rPr>
            </w:pPr>
            <w:r>
              <w:rPr>
                <w:rFonts w:ascii="Times New Roman" w:hAnsi="Times New Roman"/>
                <w:kern w:val="0"/>
                <w:szCs w:val="21"/>
              </w:rPr>
              <w:t>卫生填埋</w:t>
            </w:r>
          </w:p>
        </w:tc>
        <w:tc>
          <w:tcPr>
            <w:tcW w:w="992" w:type="dxa"/>
            <w:vAlign w:val="center"/>
          </w:tcPr>
          <w:p>
            <w:pPr>
              <w:jc w:val="center"/>
              <w:rPr>
                <w:rFonts w:ascii="Times New Roman" w:hAnsi="Times New Roman"/>
                <w:bCs/>
                <w:szCs w:val="21"/>
              </w:rPr>
            </w:pPr>
            <w:r>
              <w:rPr>
                <w:rFonts w:hint="eastAsia" w:ascii="Times New Roman" w:hAnsi="Times New Roman"/>
                <w:bCs/>
                <w:szCs w:val="21"/>
              </w:rPr>
              <w:t>2018</w:t>
            </w:r>
            <w:r>
              <w:rPr>
                <w:rFonts w:ascii="Times New Roman" w:hAnsi="Times New Roman"/>
                <w:bCs/>
                <w:szCs w:val="21"/>
              </w:rPr>
              <w:t>年</w:t>
            </w:r>
          </w:p>
        </w:tc>
        <w:tc>
          <w:tcPr>
            <w:tcW w:w="1134" w:type="dxa"/>
            <w:vAlign w:val="center"/>
          </w:tcPr>
          <w:p>
            <w:pPr>
              <w:jc w:val="center"/>
              <w:rPr>
                <w:rFonts w:ascii="Times New Roman" w:hAnsi="Times New Roman"/>
                <w:bCs/>
                <w:szCs w:val="21"/>
              </w:rPr>
            </w:pPr>
            <w:r>
              <w:rPr>
                <w:rFonts w:ascii="Times New Roman" w:hAnsi="Times New Roman"/>
                <w:bCs/>
                <w:szCs w:val="21"/>
              </w:rPr>
              <w:t>82.5</w:t>
            </w:r>
          </w:p>
        </w:tc>
        <w:tc>
          <w:tcPr>
            <w:tcW w:w="1701" w:type="dxa"/>
            <w:vAlign w:val="center"/>
          </w:tcPr>
          <w:p>
            <w:pPr>
              <w:jc w:val="center"/>
              <w:rPr>
                <w:rFonts w:ascii="Times New Roman" w:hAnsi="Times New Roman"/>
                <w:bCs/>
                <w:szCs w:val="21"/>
              </w:rPr>
            </w:pPr>
            <w:r>
              <w:rPr>
                <w:rFonts w:ascii="Times New Roman" w:hAnsi="Times New Roman"/>
                <w:bCs/>
                <w:szCs w:val="21"/>
              </w:rPr>
              <w:t>85.3</w:t>
            </w:r>
          </w:p>
        </w:tc>
        <w:tc>
          <w:tcPr>
            <w:tcW w:w="1309" w:type="dxa"/>
            <w:vAlign w:val="center"/>
          </w:tcPr>
          <w:p>
            <w:pPr>
              <w:jc w:val="center"/>
              <w:rPr>
                <w:rFonts w:ascii="Times New Roman" w:hAnsi="Times New Roman"/>
                <w:bCs/>
                <w:szCs w:val="21"/>
              </w:rPr>
            </w:pPr>
            <w:r>
              <w:rPr>
                <w:rFonts w:hint="eastAsia" w:ascii="Times New Roman" w:hAnsi="Times New Roman"/>
                <w:bCs/>
                <w:szCs w:val="21"/>
              </w:rPr>
              <w:t>正常</w:t>
            </w:r>
          </w:p>
        </w:tc>
      </w:tr>
    </w:tbl>
    <w:p>
      <w:pPr>
        <w:adjustRightInd w:val="0"/>
        <w:snapToGrid w:val="0"/>
        <w:spacing w:line="360" w:lineRule="auto"/>
        <w:ind w:firstLine="560" w:firstLineChars="200"/>
        <w:rPr>
          <w:rFonts w:ascii="仿宋_GB2312" w:eastAsia="仿宋_GB2312"/>
          <w:sz w:val="28"/>
          <w:szCs w:val="28"/>
        </w:r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⑵生活污水处理设施</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目前运行城镇生活污水处理厂1座，八个乡镇镇区全部建设了污水处理站，青山乡为人工湿地处理工艺。各乡镇在人口相对集中、地形条件符合要求的行政村或自然村共建设农村污水处理站19座，具体情况见表4-13。</w:t>
      </w:r>
    </w:p>
    <w:p>
      <w:pPr>
        <w:adjustRightInd w:val="0"/>
        <w:snapToGrid w:val="0"/>
        <w:spacing w:line="360" w:lineRule="auto"/>
        <w:jc w:val="center"/>
        <w:rPr>
          <w:rFonts w:ascii="Times New Roman" w:hAnsi="Times New Roman"/>
          <w:b/>
        </w:rPr>
      </w:pPr>
      <w:r>
        <w:rPr>
          <w:rFonts w:hint="eastAsia" w:ascii="Times New Roman" w:hAnsi="Times New Roman"/>
          <w:b/>
        </w:rPr>
        <w:t>表4-13</w:t>
      </w:r>
      <w:r>
        <w:rPr>
          <w:rFonts w:ascii="Times New Roman" w:hAnsi="Times New Roman"/>
          <w:b/>
        </w:rPr>
        <w:t xml:space="preserve">  </w:t>
      </w:r>
      <w:r>
        <w:rPr>
          <w:rFonts w:hint="eastAsia" w:ascii="Times New Roman" w:hAnsi="Times New Roman"/>
          <w:b/>
        </w:rPr>
        <w:t>盐池县生活污水处理设施统计结果</w:t>
      </w:r>
    </w:p>
    <w:tbl>
      <w:tblPr>
        <w:tblStyle w:val="14"/>
        <w:tblW w:w="85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3"/>
        <w:gridCol w:w="1802"/>
        <w:gridCol w:w="1134"/>
        <w:gridCol w:w="992"/>
        <w:gridCol w:w="1134"/>
        <w:gridCol w:w="1701"/>
        <w:gridCol w:w="13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Merge w:val="restart"/>
            <w:tcBorders>
              <w:top w:val="single" w:color="auto" w:sz="12" w:space="0"/>
            </w:tcBorders>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序号</w:t>
            </w:r>
          </w:p>
        </w:tc>
        <w:tc>
          <w:tcPr>
            <w:tcW w:w="1802" w:type="dxa"/>
            <w:vMerge w:val="restart"/>
            <w:tcBorders>
              <w:top w:val="single" w:color="auto" w:sz="12" w:space="0"/>
            </w:tcBorders>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设施名称</w:t>
            </w:r>
          </w:p>
        </w:tc>
        <w:tc>
          <w:tcPr>
            <w:tcW w:w="1134" w:type="dxa"/>
            <w:vMerge w:val="restart"/>
            <w:tcBorders>
              <w:top w:val="single" w:color="auto" w:sz="12" w:space="0"/>
            </w:tcBorders>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建设地点</w:t>
            </w:r>
          </w:p>
        </w:tc>
        <w:tc>
          <w:tcPr>
            <w:tcW w:w="992" w:type="dxa"/>
            <w:vMerge w:val="restart"/>
            <w:tcBorders>
              <w:top w:val="single" w:color="auto" w:sz="12" w:space="0"/>
            </w:tcBorders>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建设</w:t>
            </w:r>
          </w:p>
          <w:p>
            <w:pPr>
              <w:adjustRightInd w:val="0"/>
              <w:snapToGrid w:val="0"/>
              <w:jc w:val="center"/>
              <w:rPr>
                <w:rFonts w:ascii="Times New Roman" w:hAnsi="Times New Roman"/>
                <w:b/>
                <w:bCs/>
                <w:sz w:val="18"/>
                <w:szCs w:val="18"/>
              </w:rPr>
            </w:pPr>
            <w:r>
              <w:rPr>
                <w:rFonts w:ascii="Times New Roman" w:hAnsi="Times New Roman"/>
                <w:b/>
                <w:bCs/>
                <w:sz w:val="18"/>
                <w:szCs w:val="18"/>
              </w:rPr>
              <w:t>时间</w:t>
            </w:r>
          </w:p>
        </w:tc>
        <w:tc>
          <w:tcPr>
            <w:tcW w:w="4144" w:type="dxa"/>
            <w:gridSpan w:val="3"/>
            <w:tcBorders>
              <w:top w:val="single" w:color="auto" w:sz="12" w:space="0"/>
            </w:tcBorders>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设施规模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Merge w:val="continue"/>
            <w:vAlign w:val="center"/>
          </w:tcPr>
          <w:p>
            <w:pPr>
              <w:adjustRightInd w:val="0"/>
              <w:snapToGrid w:val="0"/>
              <w:jc w:val="center"/>
              <w:rPr>
                <w:rFonts w:ascii="Times New Roman" w:hAnsi="Times New Roman"/>
                <w:b/>
                <w:bCs/>
                <w:sz w:val="18"/>
                <w:szCs w:val="18"/>
              </w:rPr>
            </w:pPr>
          </w:p>
        </w:tc>
        <w:tc>
          <w:tcPr>
            <w:tcW w:w="1802" w:type="dxa"/>
            <w:vMerge w:val="continue"/>
            <w:vAlign w:val="center"/>
          </w:tcPr>
          <w:p>
            <w:pPr>
              <w:adjustRightInd w:val="0"/>
              <w:snapToGrid w:val="0"/>
              <w:jc w:val="center"/>
              <w:rPr>
                <w:rFonts w:ascii="Times New Roman" w:hAnsi="Times New Roman"/>
                <w:b/>
                <w:bCs/>
                <w:sz w:val="18"/>
                <w:szCs w:val="18"/>
              </w:rPr>
            </w:pPr>
          </w:p>
        </w:tc>
        <w:tc>
          <w:tcPr>
            <w:tcW w:w="1134" w:type="dxa"/>
            <w:vMerge w:val="continue"/>
            <w:vAlign w:val="center"/>
          </w:tcPr>
          <w:p>
            <w:pPr>
              <w:adjustRightInd w:val="0"/>
              <w:snapToGrid w:val="0"/>
              <w:jc w:val="center"/>
              <w:rPr>
                <w:rFonts w:ascii="Times New Roman" w:hAnsi="Times New Roman"/>
                <w:b/>
                <w:bCs/>
                <w:sz w:val="18"/>
                <w:szCs w:val="18"/>
              </w:rPr>
            </w:pPr>
          </w:p>
        </w:tc>
        <w:tc>
          <w:tcPr>
            <w:tcW w:w="992" w:type="dxa"/>
            <w:vMerge w:val="continue"/>
            <w:vAlign w:val="center"/>
          </w:tcPr>
          <w:p>
            <w:pPr>
              <w:adjustRightInd w:val="0"/>
              <w:snapToGrid w:val="0"/>
              <w:jc w:val="center"/>
              <w:rPr>
                <w:rFonts w:ascii="Times New Roman" w:hAnsi="Times New Roman"/>
                <w:b/>
                <w:bCs/>
                <w:sz w:val="18"/>
                <w:szCs w:val="18"/>
              </w:rPr>
            </w:pPr>
          </w:p>
        </w:tc>
        <w:tc>
          <w:tcPr>
            <w:tcW w:w="1134" w:type="dxa"/>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设计规模（m</w:t>
            </w:r>
            <w:r>
              <w:rPr>
                <w:rFonts w:ascii="Times New Roman" w:hAnsi="Times New Roman"/>
                <w:b/>
                <w:bCs/>
                <w:sz w:val="18"/>
                <w:szCs w:val="18"/>
                <w:vertAlign w:val="superscript"/>
              </w:rPr>
              <w:t>3</w:t>
            </w:r>
            <w:r>
              <w:rPr>
                <w:rFonts w:ascii="Times New Roman" w:hAnsi="Times New Roman"/>
                <w:b/>
                <w:bCs/>
                <w:sz w:val="18"/>
                <w:szCs w:val="18"/>
              </w:rPr>
              <w:t>/d）</w:t>
            </w:r>
          </w:p>
        </w:tc>
        <w:tc>
          <w:tcPr>
            <w:tcW w:w="1701" w:type="dxa"/>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主体工艺</w:t>
            </w:r>
          </w:p>
        </w:tc>
        <w:tc>
          <w:tcPr>
            <w:tcW w:w="1309" w:type="dxa"/>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运行状况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bCs/>
                <w:sz w:val="18"/>
                <w:szCs w:val="18"/>
              </w:rPr>
            </w:pPr>
            <w:r>
              <w:rPr>
                <w:rFonts w:ascii="Times New Roman" w:hAnsi="Times New Roman"/>
                <w:bCs/>
                <w:sz w:val="18"/>
                <w:szCs w:val="18"/>
              </w:rPr>
              <w:t>1</w:t>
            </w:r>
          </w:p>
        </w:tc>
        <w:tc>
          <w:tcPr>
            <w:tcW w:w="1802" w:type="dxa"/>
            <w:vAlign w:val="center"/>
          </w:tcPr>
          <w:p>
            <w:pPr>
              <w:adjustRightInd w:val="0"/>
              <w:snapToGrid w:val="0"/>
              <w:jc w:val="center"/>
              <w:rPr>
                <w:rFonts w:ascii="Times New Roman" w:hAnsi="Times New Roman"/>
                <w:bCs/>
                <w:sz w:val="18"/>
                <w:szCs w:val="18"/>
              </w:rPr>
            </w:pPr>
            <w:r>
              <w:rPr>
                <w:rFonts w:ascii="Times New Roman" w:hAnsi="Times New Roman"/>
                <w:bCs/>
                <w:sz w:val="18"/>
                <w:szCs w:val="18"/>
              </w:rPr>
              <w:t>盐池县污水处理厂</w:t>
            </w:r>
          </w:p>
        </w:tc>
        <w:tc>
          <w:tcPr>
            <w:tcW w:w="1134" w:type="dxa"/>
            <w:vAlign w:val="center"/>
          </w:tcPr>
          <w:p>
            <w:pPr>
              <w:adjustRightInd w:val="0"/>
              <w:snapToGrid w:val="0"/>
              <w:jc w:val="center"/>
              <w:rPr>
                <w:rFonts w:ascii="Times New Roman" w:hAnsi="Times New Roman"/>
                <w:bCs/>
                <w:sz w:val="18"/>
                <w:szCs w:val="18"/>
              </w:rPr>
            </w:pPr>
            <w:r>
              <w:rPr>
                <w:rFonts w:ascii="Times New Roman" w:hAnsi="Times New Roman"/>
                <w:sz w:val="18"/>
                <w:szCs w:val="18"/>
              </w:rPr>
              <w:t>花马池镇</w:t>
            </w:r>
          </w:p>
        </w:tc>
        <w:tc>
          <w:tcPr>
            <w:tcW w:w="992" w:type="dxa"/>
            <w:vAlign w:val="center"/>
          </w:tcPr>
          <w:p>
            <w:pPr>
              <w:adjustRightInd w:val="0"/>
              <w:snapToGrid w:val="0"/>
              <w:jc w:val="center"/>
              <w:rPr>
                <w:rFonts w:ascii="Times New Roman" w:hAnsi="Times New Roman"/>
                <w:bCs/>
                <w:sz w:val="18"/>
                <w:szCs w:val="18"/>
              </w:rPr>
            </w:pPr>
            <w:r>
              <w:rPr>
                <w:rFonts w:ascii="Times New Roman" w:hAnsi="Times New Roman"/>
                <w:bCs/>
                <w:sz w:val="18"/>
                <w:szCs w:val="18"/>
              </w:rPr>
              <w:t>2008年</w:t>
            </w:r>
          </w:p>
        </w:tc>
        <w:tc>
          <w:tcPr>
            <w:tcW w:w="1134" w:type="dxa"/>
            <w:vAlign w:val="center"/>
          </w:tcPr>
          <w:p>
            <w:pPr>
              <w:adjustRightInd w:val="0"/>
              <w:snapToGrid w:val="0"/>
              <w:jc w:val="center"/>
              <w:rPr>
                <w:rFonts w:ascii="Times New Roman" w:hAnsi="Times New Roman"/>
                <w:bCs/>
                <w:sz w:val="18"/>
                <w:szCs w:val="18"/>
              </w:rPr>
            </w:pPr>
            <w:r>
              <w:rPr>
                <w:rFonts w:ascii="Times New Roman" w:hAnsi="Times New Roman"/>
                <w:bCs/>
                <w:sz w:val="18"/>
                <w:szCs w:val="18"/>
              </w:rPr>
              <w:t>1.5万</w:t>
            </w:r>
          </w:p>
        </w:tc>
        <w:tc>
          <w:tcPr>
            <w:tcW w:w="1701" w:type="dxa"/>
            <w:vAlign w:val="center"/>
          </w:tcPr>
          <w:p>
            <w:pPr>
              <w:adjustRightInd w:val="0"/>
              <w:snapToGrid w:val="0"/>
              <w:jc w:val="center"/>
              <w:rPr>
                <w:rFonts w:ascii="Times New Roman" w:hAnsi="Times New Roman"/>
                <w:bCs/>
                <w:sz w:val="18"/>
                <w:szCs w:val="18"/>
              </w:rPr>
            </w:pPr>
            <w:r>
              <w:rPr>
                <w:rFonts w:ascii="Times New Roman" w:hAnsi="Times New Roman"/>
                <w:bCs/>
                <w:sz w:val="18"/>
                <w:szCs w:val="18"/>
              </w:rPr>
              <w:t>“A2/O”氧化沟</w:t>
            </w:r>
          </w:p>
        </w:tc>
        <w:tc>
          <w:tcPr>
            <w:tcW w:w="1309" w:type="dxa"/>
            <w:vAlign w:val="center"/>
          </w:tcPr>
          <w:p>
            <w:pPr>
              <w:adjustRightInd w:val="0"/>
              <w:snapToGrid w:val="0"/>
              <w:jc w:val="center"/>
              <w:rPr>
                <w:rFonts w:ascii="Times New Roman" w:hAnsi="Times New Roman"/>
                <w:bCs/>
                <w:sz w:val="18"/>
                <w:szCs w:val="18"/>
              </w:rPr>
            </w:pPr>
            <w:r>
              <w:rPr>
                <w:rFonts w:ascii="Times New Roman" w:hAnsi="Times New Roman"/>
                <w:bCs/>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圣洁鑫污水处理厂</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大水坑镇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2018年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2000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两级A/O</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3</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冯记沟乡污水处理站</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冯记沟乡冯记沟村</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2017年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150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沉淀—厌氧—缺氧</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4</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冯记沟乡煤矿塌陷区李新庄污水处理站</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冯记沟乡李新庄</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2019年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100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投放生物菌种处理</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5</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冯记沟乡石井坑生活污水处理项目</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冯记沟乡石井坑</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2019年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8</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采用SBBR污水处理工艺</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6</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氧化塘</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高沙窝镇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2016年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80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沉淀+厌氧+好氧</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停运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7</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高沙窝</w:t>
            </w:r>
          </w:p>
          <w:p>
            <w:pPr>
              <w:adjustRightInd w:val="0"/>
              <w:snapToGrid w:val="0"/>
              <w:jc w:val="center"/>
              <w:rPr>
                <w:rFonts w:ascii="Times New Roman" w:hAnsi="Times New Roman"/>
                <w:sz w:val="18"/>
                <w:szCs w:val="18"/>
              </w:rPr>
            </w:pPr>
            <w:r>
              <w:rPr>
                <w:rFonts w:ascii="Times New Roman" w:hAnsi="Times New Roman"/>
                <w:sz w:val="18"/>
                <w:szCs w:val="18"/>
              </w:rPr>
              <w:t>镇污水处理厂</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高沙窝镇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2018年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1500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A/O+MBR</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8</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黄记台污水处理站</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高沙窝镇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2020年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30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一体化（SBBR）</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未运行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9</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苏步井安置点</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花马池镇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2020年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75</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沉淀+厌氧+缺氧</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10</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盈德村</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花马池镇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2020年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40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厌氧+缺氧+MBR</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试运行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11</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四墩子村</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花马池镇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2020年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15</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沉淀+厌氧+缺氧</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停运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12</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惠苑村一期污水处理设施</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惠安堡镇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2013年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300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沉淀+厌氧+缺氧</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13</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惠苑村二期污水处理设施</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惠安堡镇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2016年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500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沉淀+厌氧+缺氧</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14</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惠安堡污水处理厂</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惠安堡镇</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2018年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1000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PASG(厌氧生化+综合生化)</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15</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麻黄山乡</w:t>
            </w:r>
          </w:p>
          <w:p>
            <w:pPr>
              <w:adjustRightInd w:val="0"/>
              <w:snapToGrid w:val="0"/>
              <w:jc w:val="center"/>
              <w:rPr>
                <w:rFonts w:ascii="Times New Roman" w:hAnsi="Times New Roman"/>
                <w:sz w:val="18"/>
                <w:szCs w:val="18"/>
              </w:rPr>
            </w:pPr>
            <w:r>
              <w:rPr>
                <w:rFonts w:ascii="Times New Roman" w:hAnsi="Times New Roman"/>
                <w:sz w:val="18"/>
                <w:szCs w:val="18"/>
              </w:rPr>
              <w:t>污水处理厂</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麻黄山乡</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2016年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2000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沉淀、厌氧</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16</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后洼村污水处理站</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麻黄山乡</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2018年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30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氧化池</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17</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青山乡生活污水处理设施</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青山乡</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2015年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50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污水处理站设备自然净化处理工艺</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18</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王乐井污水处理站</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王乐井乡</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2019年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50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一体化处理设施</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停运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3"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19</w:t>
            </w:r>
          </w:p>
        </w:tc>
        <w:tc>
          <w:tcPr>
            <w:tcW w:w="180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郑家堡污水处理站</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王乐井乡</w:t>
            </w:r>
          </w:p>
        </w:tc>
        <w:tc>
          <w:tcPr>
            <w:tcW w:w="992"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2016年</w:t>
            </w:r>
          </w:p>
        </w:tc>
        <w:tc>
          <w:tcPr>
            <w:tcW w:w="1134"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50</w:t>
            </w:r>
          </w:p>
        </w:tc>
        <w:tc>
          <w:tcPr>
            <w:tcW w:w="1701"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一体化处理设施</w:t>
            </w:r>
          </w:p>
        </w:tc>
        <w:tc>
          <w:tcPr>
            <w:tcW w:w="1309" w:type="dxa"/>
            <w:vAlign w:val="center"/>
          </w:tcPr>
          <w:p>
            <w:pPr>
              <w:adjustRightInd w:val="0"/>
              <w:snapToGrid w:val="0"/>
              <w:jc w:val="center"/>
              <w:rPr>
                <w:rFonts w:ascii="Times New Roman" w:hAnsi="Times New Roman"/>
                <w:sz w:val="18"/>
                <w:szCs w:val="18"/>
              </w:rPr>
            </w:pPr>
            <w:r>
              <w:rPr>
                <w:rFonts w:ascii="Times New Roman" w:hAnsi="Times New Roman"/>
                <w:sz w:val="18"/>
                <w:szCs w:val="18"/>
              </w:rPr>
              <w:t>使用率低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433" w:type="dxa"/>
            <w:tcBorders>
              <w:bottom w:val="single" w:color="auto" w:sz="12" w:space="0"/>
            </w:tcBorders>
            <w:vAlign w:val="center"/>
          </w:tcPr>
          <w:p>
            <w:pPr>
              <w:adjustRightInd w:val="0"/>
              <w:snapToGrid w:val="0"/>
              <w:jc w:val="center"/>
              <w:rPr>
                <w:rFonts w:ascii="Times New Roman" w:hAnsi="Times New Roman"/>
                <w:sz w:val="18"/>
                <w:szCs w:val="18"/>
              </w:rPr>
            </w:pPr>
            <w:r>
              <w:rPr>
                <w:rFonts w:ascii="Times New Roman" w:hAnsi="Times New Roman"/>
                <w:sz w:val="18"/>
                <w:szCs w:val="18"/>
              </w:rPr>
              <w:t>20</w:t>
            </w:r>
          </w:p>
        </w:tc>
        <w:tc>
          <w:tcPr>
            <w:tcW w:w="1802" w:type="dxa"/>
            <w:tcBorders>
              <w:bottom w:val="single" w:color="auto" w:sz="12" w:space="0"/>
            </w:tcBorders>
            <w:vAlign w:val="center"/>
          </w:tcPr>
          <w:p>
            <w:pPr>
              <w:adjustRightInd w:val="0"/>
              <w:snapToGrid w:val="0"/>
              <w:jc w:val="center"/>
              <w:rPr>
                <w:rFonts w:ascii="Times New Roman" w:hAnsi="Times New Roman"/>
                <w:sz w:val="18"/>
                <w:szCs w:val="18"/>
              </w:rPr>
            </w:pPr>
            <w:r>
              <w:rPr>
                <w:rFonts w:ascii="Times New Roman" w:hAnsi="Times New Roman"/>
                <w:sz w:val="18"/>
                <w:szCs w:val="18"/>
              </w:rPr>
              <w:t>孙家楼污水处理站</w:t>
            </w:r>
          </w:p>
        </w:tc>
        <w:tc>
          <w:tcPr>
            <w:tcW w:w="1134" w:type="dxa"/>
            <w:tcBorders>
              <w:bottom w:val="single" w:color="auto" w:sz="12" w:space="0"/>
            </w:tcBorders>
            <w:vAlign w:val="center"/>
          </w:tcPr>
          <w:p>
            <w:pPr>
              <w:adjustRightInd w:val="0"/>
              <w:snapToGrid w:val="0"/>
              <w:jc w:val="center"/>
              <w:rPr>
                <w:rFonts w:ascii="Times New Roman" w:hAnsi="Times New Roman"/>
                <w:sz w:val="18"/>
                <w:szCs w:val="18"/>
              </w:rPr>
            </w:pPr>
            <w:r>
              <w:rPr>
                <w:rFonts w:ascii="Times New Roman" w:hAnsi="Times New Roman"/>
                <w:sz w:val="18"/>
                <w:szCs w:val="18"/>
              </w:rPr>
              <w:t>王乐井乡</w:t>
            </w:r>
          </w:p>
        </w:tc>
        <w:tc>
          <w:tcPr>
            <w:tcW w:w="992" w:type="dxa"/>
            <w:tcBorders>
              <w:bottom w:val="single" w:color="auto" w:sz="12" w:space="0"/>
            </w:tcBorders>
            <w:vAlign w:val="center"/>
          </w:tcPr>
          <w:p>
            <w:pPr>
              <w:adjustRightInd w:val="0"/>
              <w:snapToGrid w:val="0"/>
              <w:jc w:val="center"/>
              <w:rPr>
                <w:rFonts w:ascii="Times New Roman" w:hAnsi="Times New Roman"/>
                <w:sz w:val="18"/>
                <w:szCs w:val="18"/>
              </w:rPr>
            </w:pPr>
            <w:r>
              <w:rPr>
                <w:rFonts w:ascii="Times New Roman" w:hAnsi="Times New Roman"/>
                <w:sz w:val="18"/>
                <w:szCs w:val="18"/>
              </w:rPr>
              <w:t>2016年</w:t>
            </w:r>
          </w:p>
        </w:tc>
        <w:tc>
          <w:tcPr>
            <w:tcW w:w="1134" w:type="dxa"/>
            <w:tcBorders>
              <w:bottom w:val="single" w:color="auto" w:sz="12" w:space="0"/>
            </w:tcBorders>
            <w:vAlign w:val="center"/>
          </w:tcPr>
          <w:p>
            <w:pPr>
              <w:adjustRightInd w:val="0"/>
              <w:snapToGrid w:val="0"/>
              <w:jc w:val="center"/>
              <w:rPr>
                <w:rFonts w:ascii="Times New Roman" w:hAnsi="Times New Roman"/>
                <w:sz w:val="18"/>
                <w:szCs w:val="18"/>
              </w:rPr>
            </w:pPr>
            <w:r>
              <w:rPr>
                <w:rFonts w:ascii="Times New Roman" w:hAnsi="Times New Roman"/>
                <w:sz w:val="18"/>
                <w:szCs w:val="18"/>
              </w:rPr>
              <w:t>50</w:t>
            </w:r>
          </w:p>
        </w:tc>
        <w:tc>
          <w:tcPr>
            <w:tcW w:w="1701" w:type="dxa"/>
            <w:tcBorders>
              <w:bottom w:val="single" w:color="auto" w:sz="12" w:space="0"/>
            </w:tcBorders>
            <w:vAlign w:val="center"/>
          </w:tcPr>
          <w:p>
            <w:pPr>
              <w:adjustRightInd w:val="0"/>
              <w:snapToGrid w:val="0"/>
              <w:jc w:val="center"/>
              <w:rPr>
                <w:rFonts w:ascii="Times New Roman" w:hAnsi="Times New Roman"/>
                <w:sz w:val="18"/>
                <w:szCs w:val="18"/>
              </w:rPr>
            </w:pPr>
            <w:r>
              <w:rPr>
                <w:rFonts w:ascii="Times New Roman" w:hAnsi="Times New Roman"/>
                <w:sz w:val="18"/>
                <w:szCs w:val="18"/>
              </w:rPr>
              <w:t>一体化处理设施</w:t>
            </w:r>
          </w:p>
        </w:tc>
        <w:tc>
          <w:tcPr>
            <w:tcW w:w="1309" w:type="dxa"/>
            <w:tcBorders>
              <w:bottom w:val="single" w:color="auto" w:sz="12" w:space="0"/>
            </w:tcBorders>
            <w:vAlign w:val="center"/>
          </w:tcPr>
          <w:p>
            <w:pPr>
              <w:adjustRightInd w:val="0"/>
              <w:snapToGrid w:val="0"/>
              <w:jc w:val="center"/>
              <w:rPr>
                <w:rFonts w:ascii="Times New Roman" w:hAnsi="Times New Roman"/>
                <w:sz w:val="18"/>
                <w:szCs w:val="18"/>
              </w:rPr>
            </w:pPr>
            <w:r>
              <w:rPr>
                <w:rFonts w:ascii="Times New Roman" w:hAnsi="Times New Roman"/>
                <w:sz w:val="18"/>
                <w:szCs w:val="18"/>
              </w:rPr>
              <w:t>正常运行</w:t>
            </w:r>
          </w:p>
        </w:tc>
      </w:tr>
    </w:tbl>
    <w:p>
      <w:pPr>
        <w:adjustRightInd w:val="0"/>
        <w:snapToGrid w:val="0"/>
        <w:spacing w:line="360" w:lineRule="auto"/>
        <w:ind w:firstLine="560" w:firstLineChars="200"/>
        <w:rPr>
          <w:rFonts w:ascii="仿宋_GB2312" w:hAnsi="黑体" w:eastAsia="仿宋_GB2312"/>
          <w:sz w:val="28"/>
          <w:szCs w:val="28"/>
        </w:rPr>
      </w:pP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pStyle w:val="2"/>
        <w:adjustRightInd w:val="0"/>
        <w:snapToGrid w:val="0"/>
        <w:spacing w:before="240" w:after="240" w:line="360" w:lineRule="auto"/>
        <w:rPr>
          <w:rFonts w:ascii="黑体" w:hAnsi="黑体" w:eastAsia="黑体"/>
          <w:sz w:val="32"/>
          <w:szCs w:val="32"/>
        </w:rPr>
      </w:pPr>
      <w:bookmarkStart w:id="16" w:name="_Toc111980875"/>
      <w:r>
        <w:rPr>
          <w:rFonts w:hint="eastAsia" w:ascii="黑体" w:hAnsi="黑体" w:eastAsia="黑体"/>
          <w:sz w:val="32"/>
          <w:szCs w:val="32"/>
        </w:rPr>
        <w:t>5 问题识别与诊断</w:t>
      </w:r>
      <w:bookmarkEnd w:id="16"/>
    </w:p>
    <w:p>
      <w:pPr>
        <w:adjustRightInd w:val="0"/>
        <w:snapToGrid w:val="0"/>
        <w:spacing w:line="360" w:lineRule="auto"/>
        <w:ind w:firstLine="560" w:firstLineChars="200"/>
        <w:rPr>
          <w:rFonts w:ascii="仿宋_GB2312" w:hAnsi="Arial" w:eastAsia="仿宋_GB2312" w:cs="Arial"/>
          <w:sz w:val="28"/>
          <w:szCs w:val="28"/>
          <w:shd w:val="clear" w:color="auto" w:fill="FFFFFF"/>
        </w:rPr>
      </w:pPr>
      <w:r>
        <w:rPr>
          <w:rFonts w:hint="eastAsia" w:ascii="仿宋_GB2312" w:hAnsi="Arial" w:eastAsia="仿宋_GB2312" w:cs="Arial"/>
          <w:sz w:val="28"/>
          <w:szCs w:val="28"/>
          <w:shd w:val="clear" w:color="auto" w:fill="FFFFFF"/>
        </w:rPr>
        <w:t>“十三五”以来，在习近平生态文明思想的科学指引下，我国生态文明建设从实践到认识发生了历史性、转折性、全局性变化。一个重要的经验是抓住主要矛盾，聚焦突出问题，集中力量打好污染防治攻坚战、蓝天保卫战等7个标志性重大战役，“绿盾2018”自然保护区监督检查专项行动、饮用水水源地整治等4个专项行动精准发力，推动一系列重点、难点问题的解决，生态环境明显改善。</w:t>
      </w:r>
    </w:p>
    <w:p>
      <w:pPr>
        <w:adjustRightInd w:val="0"/>
        <w:snapToGrid w:val="0"/>
        <w:spacing w:line="360" w:lineRule="auto"/>
        <w:ind w:firstLine="560" w:firstLineChars="200"/>
        <w:rPr>
          <w:rFonts w:ascii="仿宋_GB2312" w:hAnsi="Arial" w:eastAsia="仿宋_GB2312" w:cs="Arial"/>
          <w:sz w:val="28"/>
          <w:szCs w:val="28"/>
          <w:shd w:val="clear" w:color="auto" w:fill="FFFFFF"/>
        </w:rPr>
      </w:pPr>
      <w:r>
        <w:rPr>
          <w:rFonts w:hint="eastAsia" w:ascii="仿宋_GB2312" w:hAnsi="Arial" w:eastAsia="仿宋_GB2312" w:cs="Arial"/>
          <w:sz w:val="28"/>
          <w:szCs w:val="28"/>
          <w:shd w:val="clear" w:color="auto" w:fill="FFFFFF"/>
        </w:rPr>
        <w:t>看到成绩的同时，也要清醒地认识到，生态环境保护与经济社会发展长期矛盾和短期问题交织，生态环境保护结构性、根源性、趋势性压力总体上尚未根本缓解。最突出的是“三个没有根本改变”，即：以煤、石油、天然气开采为主的产业结构、以煤为主的能源结构和以公路货运为主的运输结构没有根本改变，污染排放和生态破坏的严峻形势没有根本改变，生态环境事件多发的高风险态势没有根本改变。同时，污染防治攻坚要拓展到更宽的领域、更大的范围，除了常规污染物之外，新污染物的治理迫在眉睫，触及矛盾和问题的层次更深、领域更宽、要求更高。</w:t>
      </w:r>
    </w:p>
    <w:p>
      <w:pPr>
        <w:widowControl/>
        <w:adjustRightInd w:val="0"/>
        <w:snapToGrid w:val="0"/>
        <w:spacing w:line="360" w:lineRule="auto"/>
        <w:ind w:firstLine="560" w:firstLineChars="200"/>
        <w:rPr>
          <w:rFonts w:ascii="仿宋_GB2312" w:hAnsi="Arial" w:eastAsia="仿宋_GB2312" w:cs="Arial"/>
          <w:kern w:val="0"/>
          <w:sz w:val="28"/>
          <w:szCs w:val="28"/>
          <w:shd w:val="clear" w:color="auto" w:fill="FFFFFF"/>
        </w:rPr>
      </w:pPr>
      <w:r>
        <w:rPr>
          <w:rFonts w:hint="eastAsia" w:ascii="仿宋_GB2312" w:hAnsi="Arial" w:eastAsia="仿宋_GB2312" w:cs="Arial"/>
          <w:kern w:val="0"/>
          <w:sz w:val="28"/>
          <w:szCs w:val="28"/>
          <w:shd w:val="clear" w:color="auto" w:fill="FFFFFF"/>
        </w:rPr>
        <w:t>因此，“十四五”期间，要把握好新发展阶段生态环境治理的特点，顺应由“坚决打好”向“深入打好”的重大转变，围绕“提气、降碳、强生态，增水、固土、防风险”的总体思路，聚焦重点、难点问题，推动污染防治攻坚战在重点区域、重要领域、关键指标上实现新突破，带动生态环境保护整体推进。</w:t>
      </w:r>
    </w:p>
    <w:p>
      <w:pPr>
        <w:pStyle w:val="3"/>
        <w:adjustRightInd w:val="0"/>
        <w:snapToGrid w:val="0"/>
        <w:spacing w:before="120" w:after="120" w:line="360" w:lineRule="auto"/>
        <w:rPr>
          <w:rFonts w:ascii="黑体" w:hAnsi="黑体" w:eastAsia="黑体"/>
          <w:kern w:val="0"/>
          <w:sz w:val="30"/>
          <w:szCs w:val="30"/>
        </w:rPr>
      </w:pPr>
      <w:bookmarkStart w:id="17" w:name="_Toc111980876"/>
      <w:r>
        <w:rPr>
          <w:rFonts w:hint="eastAsia" w:ascii="黑体" w:hAnsi="黑体" w:eastAsia="黑体"/>
          <w:kern w:val="0"/>
          <w:sz w:val="30"/>
          <w:szCs w:val="30"/>
        </w:rPr>
        <w:t>5.1生态环境问题识别与评价</w:t>
      </w:r>
      <w:bookmarkEnd w:id="17"/>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5.1.1指标体系构建</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生态环境问题的识别涉及范围广，为进行综合定量和定性分析与评价，需建立表征各评价因子状态好坏的具有可比性的量化指标和生态环境综合指标，建立评价指标与评价因子之间的关系。</w:t>
      </w: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r>
        <w:rPr>
          <w:rFonts w:hint="eastAsia" w:ascii="仿宋_GB2312" w:hAnsi="黑体" w:eastAsia="仿宋_GB2312"/>
          <w:sz w:val="28"/>
          <w:szCs w:val="28"/>
        </w:rPr>
        <w:t>生态环境问题评价因子与评价指标体系见表5-1。</w:t>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表5-1生态环境评价因子与评价指标</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3260"/>
        <w:gridCol w:w="35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Align w:val="center"/>
          </w:tcPr>
          <w:p>
            <w:pPr>
              <w:jc w:val="center"/>
              <w:rPr>
                <w:rFonts w:ascii="Times New Roman" w:hAnsi="Times New Roman" w:cs="Times New Roman"/>
                <w:b/>
                <w:szCs w:val="21"/>
              </w:rPr>
            </w:pPr>
            <w:r>
              <w:rPr>
                <w:rFonts w:ascii="Times New Roman" w:hAnsi="Times New Roman" w:cs="Times New Roman"/>
                <w:b/>
                <w:szCs w:val="21"/>
              </w:rPr>
              <w:t>生态环境子系统</w:t>
            </w:r>
          </w:p>
        </w:tc>
        <w:tc>
          <w:tcPr>
            <w:tcW w:w="3260" w:type="dxa"/>
            <w:vAlign w:val="center"/>
          </w:tcPr>
          <w:p>
            <w:pPr>
              <w:jc w:val="center"/>
              <w:rPr>
                <w:rFonts w:ascii="Times New Roman" w:hAnsi="Times New Roman" w:cs="Times New Roman"/>
                <w:b/>
                <w:szCs w:val="21"/>
              </w:rPr>
            </w:pPr>
            <w:r>
              <w:rPr>
                <w:rFonts w:hint="eastAsia" w:ascii="Times New Roman" w:hAnsi="Times New Roman" w:cs="Times New Roman"/>
                <w:b/>
                <w:szCs w:val="21"/>
              </w:rPr>
              <w:t>表征</w:t>
            </w:r>
            <w:r>
              <w:rPr>
                <w:rFonts w:ascii="Times New Roman" w:hAnsi="Times New Roman" w:cs="Times New Roman"/>
                <w:b/>
                <w:szCs w:val="21"/>
              </w:rPr>
              <w:t>因子</w:t>
            </w:r>
          </w:p>
        </w:tc>
        <w:tc>
          <w:tcPr>
            <w:tcW w:w="3509" w:type="dxa"/>
            <w:vAlign w:val="center"/>
          </w:tcPr>
          <w:p>
            <w:pPr>
              <w:jc w:val="center"/>
              <w:rPr>
                <w:rFonts w:ascii="Times New Roman" w:hAnsi="Times New Roman" w:cs="Times New Roman"/>
                <w:b/>
                <w:szCs w:val="21"/>
              </w:rPr>
            </w:pPr>
            <w:r>
              <w:rPr>
                <w:rFonts w:ascii="Times New Roman" w:hAnsi="Times New Roman" w:cs="Times New Roman"/>
                <w:b/>
                <w:szCs w:val="21"/>
              </w:rPr>
              <w:t>评价</w:t>
            </w:r>
            <w:r>
              <w:rPr>
                <w:rFonts w:hint="eastAsia" w:ascii="Times New Roman" w:hAnsi="Times New Roman" w:cs="Times New Roman"/>
                <w:b/>
                <w:szCs w:val="21"/>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b/>
                <w:szCs w:val="21"/>
              </w:rPr>
            </w:pPr>
            <w:r>
              <w:rPr>
                <w:rFonts w:ascii="Times New Roman" w:hAnsi="Times New Roman" w:cs="Times New Roman"/>
                <w:szCs w:val="21"/>
              </w:rPr>
              <w:t>自然生态</w:t>
            </w: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生态</w:t>
            </w:r>
            <w:r>
              <w:rPr>
                <w:rFonts w:hint="eastAsia" w:ascii="Times New Roman" w:hAnsi="Times New Roman" w:cs="Times New Roman"/>
                <w:szCs w:val="21"/>
              </w:rPr>
              <w:t>环境</w:t>
            </w:r>
            <w:r>
              <w:rPr>
                <w:rFonts w:ascii="Times New Roman" w:hAnsi="Times New Roman" w:cs="Times New Roman"/>
                <w:szCs w:val="21"/>
              </w:rPr>
              <w:t>状况指数</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持续变好或保持不变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b/>
                <w:szCs w:val="21"/>
              </w:rPr>
            </w:pP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生物多样性保护</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国家重点保护野生动植物保护率、外来物种入侵情况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b/>
                <w:szCs w:val="21"/>
              </w:rPr>
            </w:pP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生态保护红线</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划定与执行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951" w:type="dxa"/>
            <w:vMerge w:val="continue"/>
            <w:vAlign w:val="center"/>
          </w:tcPr>
          <w:p>
            <w:pPr>
              <w:jc w:val="center"/>
              <w:rPr>
                <w:rFonts w:ascii="Times New Roman" w:hAnsi="Times New Roman" w:cs="Times New Roman"/>
                <w:b/>
                <w:szCs w:val="21"/>
              </w:rPr>
            </w:pP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自然保护地</w:t>
            </w:r>
          </w:p>
        </w:tc>
        <w:tc>
          <w:tcPr>
            <w:tcW w:w="3509" w:type="dxa"/>
            <w:vAlign w:val="center"/>
          </w:tcPr>
          <w:p>
            <w:pPr>
              <w:jc w:val="center"/>
              <w:rPr>
                <w:rFonts w:ascii="Times New Roman" w:hAnsi="Times New Roman" w:cs="Times New Roman"/>
                <w:szCs w:val="21"/>
              </w:rPr>
            </w:pPr>
            <w:r>
              <w:rPr>
                <w:rFonts w:hint="eastAsia" w:ascii="Times New Roman" w:hAnsi="Times New Roman" w:cs="Times New Roman"/>
                <w:szCs w:val="21"/>
              </w:rPr>
              <w:t>建设情况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szCs w:val="21"/>
              </w:rPr>
            </w:pPr>
            <w:r>
              <w:rPr>
                <w:rFonts w:ascii="Times New Roman" w:hAnsi="Times New Roman" w:cs="Times New Roman"/>
                <w:szCs w:val="21"/>
              </w:rPr>
              <w:t>水环境</w:t>
            </w: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河道</w:t>
            </w:r>
            <w:r>
              <w:rPr>
                <w:rFonts w:hint="eastAsia" w:ascii="Times New Roman" w:hAnsi="Times New Roman" w:cs="Times New Roman"/>
                <w:szCs w:val="21"/>
              </w:rPr>
              <w:t>生态</w:t>
            </w:r>
            <w:r>
              <w:rPr>
                <w:rFonts w:ascii="Times New Roman" w:hAnsi="Times New Roman" w:cs="Times New Roman"/>
                <w:szCs w:val="21"/>
              </w:rPr>
              <w:t>环境</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河道缩减率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Align w:val="center"/>
          </w:tcPr>
          <w:p>
            <w:pPr>
              <w:jc w:val="center"/>
              <w:rPr>
                <w:rFonts w:ascii="Times New Roman" w:hAnsi="Times New Roman" w:cs="Times New Roman"/>
                <w:szCs w:val="21"/>
              </w:rPr>
            </w:pPr>
            <w:r>
              <w:rPr>
                <w:rFonts w:hint="eastAsia" w:ascii="Times New Roman" w:hAnsi="Times New Roman" w:cs="Times New Roman"/>
                <w:szCs w:val="21"/>
              </w:rPr>
              <w:t>河湖</w:t>
            </w:r>
            <w:r>
              <w:rPr>
                <w:rFonts w:ascii="Times New Roman" w:hAnsi="Times New Roman" w:cs="Times New Roman"/>
                <w:szCs w:val="21"/>
              </w:rPr>
              <w:t>湿地水域变化</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湖泊水域面积减少率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地表水污染</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污水</w:t>
            </w:r>
            <w:r>
              <w:rPr>
                <w:rFonts w:hint="eastAsia" w:ascii="Times New Roman" w:hAnsi="Times New Roman" w:cs="Times New Roman"/>
                <w:szCs w:val="21"/>
              </w:rPr>
              <w:t>回用</w:t>
            </w:r>
            <w:r>
              <w:rPr>
                <w:rFonts w:ascii="Times New Roman" w:hAnsi="Times New Roman" w:cs="Times New Roman"/>
                <w:szCs w:val="21"/>
              </w:rPr>
              <w:t>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污染物排放量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污水处理率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地下水污染</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地下水劣Ⅴ类水体比例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szCs w:val="21"/>
              </w:rPr>
            </w:pPr>
            <w:r>
              <w:rPr>
                <w:rFonts w:ascii="Times New Roman" w:hAnsi="Times New Roman" w:cs="Times New Roman"/>
                <w:szCs w:val="21"/>
              </w:rPr>
              <w:t>大气环境</w:t>
            </w: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环境空气质量改善</w:t>
            </w:r>
          </w:p>
        </w:tc>
        <w:tc>
          <w:tcPr>
            <w:tcW w:w="3509" w:type="dxa"/>
            <w:vAlign w:val="center"/>
          </w:tcPr>
          <w:p>
            <w:pPr>
              <w:jc w:val="center"/>
              <w:rPr>
                <w:rFonts w:ascii="Times New Roman" w:hAnsi="Times New Roman" w:cs="Times New Roman"/>
                <w:szCs w:val="21"/>
              </w:rPr>
            </w:pPr>
            <w:r>
              <w:rPr>
                <w:rFonts w:hint="eastAsia" w:ascii="Times New Roman" w:hAnsi="Times New Roman" w:cs="Times New Roman"/>
                <w:szCs w:val="21"/>
              </w:rPr>
              <w:t>优良</w:t>
            </w:r>
            <w:r>
              <w:rPr>
                <w:rFonts w:ascii="Times New Roman" w:hAnsi="Times New Roman" w:cs="Times New Roman"/>
                <w:szCs w:val="21"/>
              </w:rPr>
              <w:t>天数比例（%）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hint="eastAsia" w:ascii="Times New Roman" w:hAnsi="Times New Roman" w:cs="Times New Roman"/>
                <w:szCs w:val="21"/>
              </w:rPr>
              <w:t>PM</w:t>
            </w:r>
            <w:r>
              <w:rPr>
                <w:rFonts w:hint="eastAsia" w:ascii="Times New Roman" w:hAnsi="Times New Roman" w:cs="Times New Roman"/>
                <w:szCs w:val="21"/>
                <w:vertAlign w:val="subscript"/>
              </w:rPr>
              <w:t>2.5</w:t>
            </w:r>
            <w:r>
              <w:rPr>
                <w:rFonts w:hint="eastAsia" w:ascii="Times New Roman" w:hAnsi="Times New Roman" w:cs="Times New Roman"/>
                <w:szCs w:val="21"/>
              </w:rPr>
              <w:t>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重污染天数下降比例（%）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污染物减排</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大气中氮氧化物排放量（吨</w:t>
            </w:r>
            <w:r>
              <w:rPr>
                <w:rFonts w:hint="eastAsia" w:ascii="Times New Roman" w:hAnsi="Times New Roman" w:cs="Times New Roman"/>
                <w:szCs w:val="21"/>
              </w:rPr>
              <w:t>/年</w:t>
            </w: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大气中二氧化硫排放量（吨</w:t>
            </w:r>
            <w:r>
              <w:rPr>
                <w:rFonts w:hint="eastAsia" w:ascii="Times New Roman" w:hAnsi="Times New Roman" w:cs="Times New Roman"/>
                <w:szCs w:val="21"/>
              </w:rPr>
              <w:t>/年</w:t>
            </w: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大气中挥发性有机物排放量（吨</w:t>
            </w:r>
            <w:r>
              <w:rPr>
                <w:rFonts w:hint="eastAsia" w:ascii="Times New Roman" w:hAnsi="Times New Roman" w:cs="Times New Roman"/>
                <w:szCs w:val="21"/>
              </w:rPr>
              <w:t>/年</w:t>
            </w: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szCs w:val="21"/>
              </w:rPr>
            </w:pPr>
            <w:r>
              <w:rPr>
                <w:rFonts w:ascii="Times New Roman" w:hAnsi="Times New Roman" w:cs="Times New Roman"/>
                <w:szCs w:val="21"/>
              </w:rPr>
              <w:t>土壤环境</w:t>
            </w:r>
          </w:p>
        </w:tc>
        <w:tc>
          <w:tcPr>
            <w:tcW w:w="3260"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土壤</w:t>
            </w:r>
            <w:r>
              <w:rPr>
                <w:rFonts w:ascii="Times New Roman" w:hAnsi="Times New Roman" w:cs="Times New Roman"/>
                <w:szCs w:val="21"/>
              </w:rPr>
              <w:t>环境安全状况</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受保护耕地保护率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建设用地安全利用率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szCs w:val="21"/>
              </w:rPr>
            </w:pPr>
            <w:r>
              <w:rPr>
                <w:rFonts w:ascii="Times New Roman" w:hAnsi="Times New Roman" w:cs="Times New Roman"/>
                <w:szCs w:val="21"/>
              </w:rPr>
              <w:t>林地生态</w:t>
            </w: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林地规模与覆盖、林分状况</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林地面积比率</w:t>
            </w:r>
            <w:r>
              <w:rPr>
                <w:rFonts w:hint="eastAsia" w:ascii="Times New Roman" w:hAnsi="Times New Roman" w:cs="Times New Roman"/>
                <w:szCs w:val="21"/>
              </w:rPr>
              <w:t>/覆盖度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中幼林比例（%）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林木蓄积率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szCs w:val="21"/>
              </w:rPr>
            </w:pPr>
            <w:r>
              <w:rPr>
                <w:rFonts w:ascii="Times New Roman" w:hAnsi="Times New Roman" w:cs="Times New Roman"/>
                <w:szCs w:val="21"/>
              </w:rPr>
              <w:t>草地生态</w:t>
            </w: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草地规模与覆盖、草地生长状况</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草地面积比率</w:t>
            </w:r>
            <w:r>
              <w:rPr>
                <w:rFonts w:hint="eastAsia" w:ascii="Times New Roman" w:hAnsi="Times New Roman" w:cs="Times New Roman"/>
                <w:szCs w:val="21"/>
              </w:rPr>
              <w:t>/覆盖度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产草量变化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载畜量变化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草场等级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szCs w:val="21"/>
              </w:rPr>
            </w:pPr>
            <w:r>
              <w:rPr>
                <w:rFonts w:ascii="Times New Roman" w:hAnsi="Times New Roman" w:cs="Times New Roman"/>
                <w:szCs w:val="21"/>
              </w:rPr>
              <w:t>土地生态</w:t>
            </w: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土地资源化性状</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土壤质地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土壤养分与理化性质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土壤盐碱化</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土壤盐碱化面积比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盐碱化变化率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土壤沙漠化</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土壤沙漠化面积比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严重沙化面积比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沙漠化扩展率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潜在沙化比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trPr>
        <w:tc>
          <w:tcPr>
            <w:tcW w:w="1951" w:type="dxa"/>
            <w:vMerge w:val="continue"/>
            <w:vAlign w:val="center"/>
          </w:tcPr>
          <w:p>
            <w:pPr>
              <w:jc w:val="center"/>
              <w:rPr>
                <w:rFonts w:ascii="Times New Roman" w:hAnsi="Times New Roman" w:cs="Times New Roman"/>
                <w:szCs w:val="21"/>
              </w:rPr>
            </w:pP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土壤侵蚀性</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土壤侵蚀性程度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Align w:val="center"/>
          </w:tcPr>
          <w:p>
            <w:pPr>
              <w:jc w:val="center"/>
              <w:rPr>
                <w:rFonts w:ascii="Times New Roman" w:hAnsi="Times New Roman" w:cs="Times New Roman"/>
                <w:b/>
                <w:szCs w:val="21"/>
              </w:rPr>
            </w:pPr>
            <w:r>
              <w:rPr>
                <w:rFonts w:ascii="Times New Roman" w:hAnsi="Times New Roman" w:cs="Times New Roman"/>
                <w:b/>
                <w:szCs w:val="21"/>
              </w:rPr>
              <w:t>生态环境子系统</w:t>
            </w:r>
          </w:p>
        </w:tc>
        <w:tc>
          <w:tcPr>
            <w:tcW w:w="3260" w:type="dxa"/>
            <w:vAlign w:val="center"/>
          </w:tcPr>
          <w:p>
            <w:pPr>
              <w:jc w:val="center"/>
              <w:rPr>
                <w:rFonts w:ascii="Times New Roman" w:hAnsi="Times New Roman" w:cs="Times New Roman"/>
                <w:b/>
                <w:szCs w:val="21"/>
              </w:rPr>
            </w:pPr>
            <w:r>
              <w:rPr>
                <w:rFonts w:hint="eastAsia" w:ascii="Times New Roman" w:hAnsi="Times New Roman" w:cs="Times New Roman"/>
                <w:b/>
                <w:szCs w:val="21"/>
              </w:rPr>
              <w:t>表征</w:t>
            </w:r>
            <w:r>
              <w:rPr>
                <w:rFonts w:ascii="Times New Roman" w:hAnsi="Times New Roman" w:cs="Times New Roman"/>
                <w:b/>
                <w:szCs w:val="21"/>
              </w:rPr>
              <w:t>因子</w:t>
            </w:r>
          </w:p>
        </w:tc>
        <w:tc>
          <w:tcPr>
            <w:tcW w:w="3509" w:type="dxa"/>
            <w:vAlign w:val="center"/>
          </w:tcPr>
          <w:p>
            <w:pPr>
              <w:jc w:val="center"/>
              <w:rPr>
                <w:rFonts w:ascii="Times New Roman" w:hAnsi="Times New Roman" w:cs="Times New Roman"/>
                <w:b/>
                <w:szCs w:val="21"/>
              </w:rPr>
            </w:pPr>
            <w:r>
              <w:rPr>
                <w:rFonts w:ascii="Times New Roman" w:hAnsi="Times New Roman" w:cs="Times New Roman"/>
                <w:b/>
                <w:szCs w:val="21"/>
              </w:rPr>
              <w:t>评价</w:t>
            </w:r>
            <w:r>
              <w:rPr>
                <w:rFonts w:hint="eastAsia" w:ascii="Times New Roman" w:hAnsi="Times New Roman" w:cs="Times New Roman"/>
                <w:b/>
                <w:szCs w:val="21"/>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szCs w:val="21"/>
              </w:rPr>
            </w:pPr>
            <w:r>
              <w:rPr>
                <w:rFonts w:ascii="Times New Roman" w:hAnsi="Times New Roman" w:cs="Times New Roman"/>
                <w:szCs w:val="21"/>
              </w:rPr>
              <w:t>农业生态</w:t>
            </w: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农业产出水平</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农业总产值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农业水资源利用情况</w:t>
            </w:r>
          </w:p>
        </w:tc>
        <w:tc>
          <w:tcPr>
            <w:tcW w:w="3509" w:type="dxa"/>
            <w:vAlign w:val="center"/>
          </w:tcPr>
          <w:p>
            <w:pPr>
              <w:jc w:val="center"/>
              <w:rPr>
                <w:rFonts w:ascii="Times New Roman" w:hAnsi="Times New Roman" w:cs="Times New Roman"/>
                <w:szCs w:val="21"/>
              </w:rPr>
            </w:pPr>
            <w:r>
              <w:rPr>
                <w:rFonts w:hint="eastAsia" w:ascii="Times New Roman" w:hAnsi="Times New Roman" w:cs="Times New Roman"/>
                <w:szCs w:val="21"/>
              </w:rPr>
              <w:t>灌溉水有效利用系数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hint="eastAsia" w:ascii="Times New Roman" w:hAnsi="Times New Roman" w:cs="Times New Roman"/>
                <w:szCs w:val="21"/>
              </w:rPr>
              <w:t>高效</w:t>
            </w:r>
            <w:r>
              <w:rPr>
                <w:rFonts w:ascii="Times New Roman" w:hAnsi="Times New Roman" w:cs="Times New Roman"/>
                <w:szCs w:val="21"/>
              </w:rPr>
              <w:t>灌溉面积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restart"/>
            <w:vAlign w:val="center"/>
          </w:tcPr>
          <w:p>
            <w:pPr>
              <w:jc w:val="center"/>
              <w:rPr>
                <w:rFonts w:ascii="Times New Roman" w:hAnsi="Times New Roman" w:cs="Times New Roman"/>
                <w:szCs w:val="21"/>
              </w:rPr>
            </w:pPr>
            <w:r>
              <w:rPr>
                <w:rFonts w:ascii="Times New Roman" w:hAnsi="Times New Roman" w:cs="Times New Roman"/>
                <w:szCs w:val="21"/>
              </w:rPr>
              <w:t>农业废弃物处理处置情况</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畜禽粪污</w:t>
            </w:r>
            <w:r>
              <w:rPr>
                <w:rFonts w:hint="eastAsia" w:ascii="Times New Roman" w:hAnsi="Times New Roman" w:cs="Times New Roman"/>
                <w:szCs w:val="21"/>
              </w:rPr>
              <w:t>综合</w:t>
            </w:r>
            <w:r>
              <w:rPr>
                <w:rFonts w:ascii="Times New Roman" w:hAnsi="Times New Roman" w:cs="Times New Roman"/>
                <w:szCs w:val="21"/>
              </w:rPr>
              <w:t>利用</w:t>
            </w:r>
            <w:r>
              <w:rPr>
                <w:rFonts w:hint="eastAsia" w:ascii="Times New Roman" w:hAnsi="Times New Roman" w:cs="Times New Roman"/>
                <w:szCs w:val="21"/>
              </w:rPr>
              <w:t>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化肥农药利用率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秸秆综合利用率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Merge w:val="continue"/>
            <w:vAlign w:val="center"/>
          </w:tcPr>
          <w:p>
            <w:pPr>
              <w:jc w:val="center"/>
              <w:rPr>
                <w:rFonts w:ascii="Times New Roman" w:hAnsi="Times New Roman" w:cs="Times New Roman"/>
                <w:szCs w:val="21"/>
              </w:rPr>
            </w:pP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农膜回收利用率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pPr>
              <w:jc w:val="center"/>
              <w:rPr>
                <w:rFonts w:ascii="Times New Roman" w:hAnsi="Times New Roman" w:cs="Times New Roman"/>
                <w:szCs w:val="21"/>
              </w:rPr>
            </w:pPr>
            <w:r>
              <w:rPr>
                <w:rFonts w:ascii="Times New Roman" w:hAnsi="Times New Roman" w:cs="Times New Roman"/>
                <w:szCs w:val="21"/>
              </w:rPr>
              <w:t>工业循环发展</w:t>
            </w: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危险废物安全处置</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危险废物利用处置率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951" w:type="dxa"/>
            <w:vMerge w:val="continue"/>
            <w:vAlign w:val="center"/>
          </w:tcPr>
          <w:p>
            <w:pPr>
              <w:jc w:val="center"/>
              <w:rPr>
                <w:rFonts w:ascii="Times New Roman" w:hAnsi="Times New Roman" w:cs="Times New Roman"/>
                <w:szCs w:val="21"/>
              </w:rPr>
            </w:pPr>
          </w:p>
        </w:tc>
        <w:tc>
          <w:tcPr>
            <w:tcW w:w="3260" w:type="dxa"/>
            <w:vAlign w:val="center"/>
          </w:tcPr>
          <w:p>
            <w:pPr>
              <w:jc w:val="center"/>
              <w:rPr>
                <w:rFonts w:ascii="Times New Roman" w:hAnsi="Times New Roman" w:cs="Times New Roman"/>
                <w:szCs w:val="21"/>
              </w:rPr>
            </w:pPr>
            <w:r>
              <w:rPr>
                <w:rFonts w:ascii="Times New Roman" w:hAnsi="Times New Roman" w:cs="Times New Roman"/>
                <w:szCs w:val="21"/>
              </w:rPr>
              <w:t>一般工业固废资源化利用</w:t>
            </w:r>
          </w:p>
        </w:tc>
        <w:tc>
          <w:tcPr>
            <w:tcW w:w="3509" w:type="dxa"/>
            <w:vAlign w:val="center"/>
          </w:tcPr>
          <w:p>
            <w:pPr>
              <w:jc w:val="center"/>
              <w:rPr>
                <w:rFonts w:ascii="Times New Roman" w:hAnsi="Times New Roman" w:cs="Times New Roman"/>
                <w:szCs w:val="21"/>
              </w:rPr>
            </w:pPr>
            <w:r>
              <w:rPr>
                <w:rFonts w:ascii="Times New Roman" w:hAnsi="Times New Roman" w:cs="Times New Roman"/>
                <w:szCs w:val="21"/>
              </w:rPr>
              <w:t>一般工业固废综合利用率</w:t>
            </w:r>
          </w:p>
        </w:tc>
      </w:tr>
    </w:tbl>
    <w:p>
      <w:pPr>
        <w:adjustRightInd w:val="0"/>
        <w:snapToGrid w:val="0"/>
        <w:spacing w:line="360" w:lineRule="auto"/>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5.1.2指标评价</w:t>
      </w:r>
    </w:p>
    <w:p>
      <w:pPr>
        <w:adjustRightInd w:val="0"/>
        <w:snapToGrid w:val="0"/>
        <w:spacing w:line="360" w:lineRule="auto"/>
        <w:ind w:firstLine="560" w:firstLineChars="200"/>
        <w:rPr>
          <w:rFonts w:ascii="仿宋_GB2312" w:hAnsi="黑体" w:eastAsia="仿宋_GB2312"/>
          <w:sz w:val="28"/>
          <w:szCs w:val="28"/>
        </w:rPr>
      </w:pPr>
      <w:r>
        <w:rPr>
          <w:rFonts w:ascii="仿宋_GB2312" w:hAnsi="黑体" w:eastAsia="仿宋_GB2312"/>
          <w:sz w:val="28"/>
          <w:szCs w:val="28"/>
        </w:rPr>
        <w:t>生态环境质量评价因子评价结果见表</w:t>
      </w:r>
      <w:r>
        <w:rPr>
          <w:rFonts w:hint="eastAsia" w:ascii="仿宋_GB2312" w:hAnsi="黑体" w:eastAsia="仿宋_GB2312"/>
          <w:sz w:val="28"/>
          <w:szCs w:val="28"/>
        </w:rPr>
        <w:t>5-2。</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（1）生态环境</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分析评价结果见图5-1。</w:t>
      </w:r>
    </w:p>
    <w:p>
      <w:pPr>
        <w:adjustRightInd w:val="0"/>
        <w:snapToGrid w:val="0"/>
        <w:spacing w:line="360" w:lineRule="auto"/>
        <w:jc w:val="center"/>
        <w:rPr>
          <w:rFonts w:ascii="仿宋_GB2312" w:hAnsi="黑体" w:eastAsia="仿宋_GB2312"/>
          <w:color w:val="000000" w:themeColor="text1"/>
          <w:sz w:val="28"/>
          <w:szCs w:val="28"/>
          <w14:textFill>
            <w14:solidFill>
              <w14:schemeClr w14:val="tx1"/>
            </w14:solidFill>
          </w14:textFill>
        </w:rPr>
      </w:pPr>
      <w:r>
        <w:drawing>
          <wp:inline distT="0" distB="0" distL="0" distR="0">
            <wp:extent cx="4572000" cy="2743200"/>
            <wp:effectExtent l="0" t="0" r="19050" b="1905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adjustRightInd w:val="0"/>
        <w:snapToGrid w:val="0"/>
        <w:spacing w:line="360" w:lineRule="auto"/>
        <w:ind w:firstLine="560" w:firstLineChars="200"/>
        <w:jc w:val="center"/>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图5-1 生态环境领域评分结果分布</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由图可知，评分在6分及以下的占比达到了81.2%，主要问题是：水资源短缺，干旱少雨，河湖湿地生态用水紧张，河湖湿地沟道等水面萎缩现象仍存在，地下水水质矿化度较高。</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大气环境方面，氮氧化物、二氧化硫、挥发性有机物三项污染物排放量仍需继续控制，尤其氮氧化物和挥发性有机物协同减排，石化、化工、涂料、医药、包装印刷、油品储运销等行业领域仍是重点。PM2.5和臭氧日益成为影响环境空气质量改善的首要污染物。</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近五年，国家重点生态功能区县域生态环境质量考核结果显示：生态环境状况指数基本保持不变，稳步提升EI值，不出现明显变差的压力仍然较大。生物丰度、植被覆盖、水网密度、土地退化、污染负荷等是影响EI值稳定提升的主要因子。</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（2）森林草原生态</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评分结果见图5-2。</w:t>
      </w:r>
    </w:p>
    <w:p>
      <w:pPr>
        <w:adjustRightInd w:val="0"/>
        <w:snapToGrid w:val="0"/>
        <w:spacing w:line="360" w:lineRule="auto"/>
        <w:jc w:val="center"/>
        <w:rPr>
          <w:rFonts w:ascii="仿宋_GB2312" w:hAnsi="黑体" w:eastAsia="仿宋_GB2312"/>
          <w:color w:val="000000" w:themeColor="text1"/>
          <w:sz w:val="28"/>
          <w:szCs w:val="28"/>
          <w14:textFill>
            <w14:solidFill>
              <w14:schemeClr w14:val="tx1"/>
            </w14:solidFill>
          </w14:textFill>
        </w:rPr>
      </w:pPr>
      <w:r>
        <w:drawing>
          <wp:inline distT="0" distB="0" distL="0" distR="0">
            <wp:extent cx="4572000" cy="2743200"/>
            <wp:effectExtent l="0" t="0" r="19050" b="190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adjustRightInd w:val="0"/>
        <w:snapToGrid w:val="0"/>
        <w:spacing w:line="360" w:lineRule="auto"/>
        <w:jc w:val="center"/>
        <w:rPr>
          <w:rFonts w:ascii="仿宋_GB2312" w:hAnsi="黑体" w:eastAsia="仿宋_GB2312"/>
          <w:color w:val="000000" w:themeColor="text1"/>
          <w:sz w:val="28"/>
          <w:szCs w:val="28"/>
          <w14:textFill>
            <w14:solidFill>
              <w14:schemeClr w14:val="tx1"/>
            </w14:solidFill>
          </w14:textFill>
        </w:rPr>
      </w:pPr>
      <w:r>
        <w:rPr>
          <w:rFonts w:ascii="仿宋_GB2312" w:hAnsi="黑体" w:eastAsia="仿宋_GB2312"/>
          <w:color w:val="000000" w:themeColor="text1"/>
          <w:sz w:val="28"/>
          <w:szCs w:val="28"/>
          <w14:textFill>
            <w14:solidFill>
              <w14:schemeClr w14:val="tx1"/>
            </w14:solidFill>
          </w14:textFill>
        </w:rPr>
        <w:t>图</w:t>
      </w:r>
      <w:r>
        <w:rPr>
          <w:rFonts w:hint="eastAsia" w:ascii="仿宋_GB2312" w:hAnsi="黑体" w:eastAsia="仿宋_GB2312"/>
          <w:color w:val="000000" w:themeColor="text1"/>
          <w:sz w:val="28"/>
          <w:szCs w:val="28"/>
          <w14:textFill>
            <w14:solidFill>
              <w14:schemeClr w14:val="tx1"/>
            </w14:solidFill>
          </w14:textFill>
        </w:rPr>
        <w:t>5-2  森林草原生态系统评分结果</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ascii="仿宋_GB2312" w:hAnsi="黑体" w:eastAsia="仿宋_GB2312"/>
          <w:color w:val="000000" w:themeColor="text1"/>
          <w:sz w:val="28"/>
          <w:szCs w:val="28"/>
          <w14:textFill>
            <w14:solidFill>
              <w14:schemeClr w14:val="tx1"/>
            </w14:solidFill>
          </w14:textFill>
        </w:rPr>
        <w:t>由图可知，盐池县森林草原生态系统</w:t>
      </w:r>
      <w:r>
        <w:rPr>
          <w:rFonts w:hint="eastAsia" w:ascii="仿宋_GB2312" w:hAnsi="黑体" w:eastAsia="仿宋_GB2312"/>
          <w:color w:val="000000" w:themeColor="text1"/>
          <w:sz w:val="28"/>
          <w:szCs w:val="28"/>
          <w14:textFill>
            <w14:solidFill>
              <w14:schemeClr w14:val="tx1"/>
            </w14:solidFill>
          </w14:textFill>
        </w:rPr>
        <w:t>评分在6分及以下占比为42.9%</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盐池县是全区唯一牧业县，不仅是全区最大的陆地生态环境系统,也是重要的生态安全屏障和生态文明建设的主阵地，2021年全县森林覆盖率</w:t>
      </w:r>
      <w:r>
        <w:rPr>
          <w:rFonts w:ascii="仿宋_GB2312" w:hAnsi="黑体" w:eastAsia="仿宋_GB2312"/>
          <w:color w:val="000000" w:themeColor="text1"/>
          <w:sz w:val="28"/>
          <w:szCs w:val="28"/>
          <w14:textFill>
            <w14:solidFill>
              <w14:schemeClr w14:val="tx1"/>
            </w14:solidFill>
          </w14:textFill>
        </w:rPr>
        <w:t>27.32%，草原综合植被盖度</w:t>
      </w:r>
      <w:r>
        <w:rPr>
          <w:rFonts w:hint="eastAsia" w:ascii="仿宋_GB2312" w:hAnsi="黑体" w:eastAsia="仿宋_GB2312"/>
          <w:color w:val="000000" w:themeColor="text1"/>
          <w:sz w:val="28"/>
          <w:szCs w:val="28"/>
          <w14:textFill>
            <w14:solidFill>
              <w14:schemeClr w14:val="tx1"/>
            </w14:solidFill>
          </w14:textFill>
        </w:rPr>
        <w:t>58.45%，位于全区前列。</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近年来，全县开展大规模国土绿化行动，推行林长制。加大城区、工业园区、中心村镇、沿路、村围等重要节点绿色基础设施建设力度，构建以城镇为载体、园区为点缀、道路为纽带、林网为支撑的绿色国土空间格局，以黄土高原宁夏中部干旱带水土流失综合治理重大项目为支撑，依托天然林保护、三北防护林、退耕还林（草）、草原生态修复、长城文化旅游带生态修复等工程，按照“北治沙、中治水、南治土”的总体目标，因地制宜人工造林、封山育林、退化草原修复等，构筑区域发展绿色屏障。</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同时采取多项措施加强草原保护与建设，草原植被恢复明显，草原生态环境得到明显改善。但受干旱少雨和沙质土地牧草难以生存等因素影响，草原生态环境仍十分脆弱。非法开垦草原、非法征用使用草原、变相使用草原等行为屡禁不止，草原生态环境破坏的风险依旧存在。</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（3）农业生态</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评分结果见图5-3，由图可知，评分结果在6分及以下占比为37.5%，继续实施高效节水灌溉技术，提高灌溉水有效利用系数，加快“1+4+N”特色生态农业提质增效，提高农业单位产品产值和总产值。</w:t>
      </w:r>
    </w:p>
    <w:p>
      <w:pPr>
        <w:adjustRightInd w:val="0"/>
        <w:snapToGrid w:val="0"/>
        <w:spacing w:line="360" w:lineRule="auto"/>
        <w:jc w:val="center"/>
        <w:rPr>
          <w:rFonts w:ascii="仿宋_GB2312" w:hAnsi="黑体" w:eastAsia="仿宋_GB2312"/>
          <w:color w:val="000000" w:themeColor="text1"/>
          <w:sz w:val="28"/>
          <w:szCs w:val="28"/>
          <w14:textFill>
            <w14:solidFill>
              <w14:schemeClr w14:val="tx1"/>
            </w14:solidFill>
          </w14:textFill>
        </w:rPr>
      </w:pPr>
      <w:r>
        <w:drawing>
          <wp:inline distT="0" distB="0" distL="0" distR="0">
            <wp:extent cx="4572000" cy="2743200"/>
            <wp:effectExtent l="0" t="0" r="19050" b="1905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adjustRightInd w:val="0"/>
        <w:snapToGrid w:val="0"/>
        <w:spacing w:line="360" w:lineRule="auto"/>
        <w:jc w:val="center"/>
        <w:rPr>
          <w:rFonts w:ascii="仿宋_GB2312" w:hAnsi="黑体" w:eastAsia="仿宋_GB2312"/>
          <w:color w:val="000000" w:themeColor="text1"/>
          <w:sz w:val="28"/>
          <w:szCs w:val="28"/>
          <w14:textFill>
            <w14:solidFill>
              <w14:schemeClr w14:val="tx1"/>
            </w14:solidFill>
          </w14:textFill>
        </w:rPr>
      </w:pPr>
      <w:r>
        <w:rPr>
          <w:rFonts w:ascii="仿宋_GB2312" w:hAnsi="黑体" w:eastAsia="仿宋_GB2312"/>
          <w:color w:val="000000" w:themeColor="text1"/>
          <w:sz w:val="28"/>
          <w:szCs w:val="28"/>
          <w14:textFill>
            <w14:solidFill>
              <w14:schemeClr w14:val="tx1"/>
            </w14:solidFill>
          </w14:textFill>
        </w:rPr>
        <w:t>图</w:t>
      </w:r>
      <w:r>
        <w:rPr>
          <w:rFonts w:hint="eastAsia" w:ascii="仿宋_GB2312" w:hAnsi="黑体" w:eastAsia="仿宋_GB2312"/>
          <w:color w:val="000000" w:themeColor="text1"/>
          <w:sz w:val="28"/>
          <w:szCs w:val="28"/>
          <w14:textFill>
            <w14:solidFill>
              <w14:schemeClr w14:val="tx1"/>
            </w14:solidFill>
          </w14:textFill>
        </w:rPr>
        <w:t>5-3  农业生态系统评分结果</w:t>
      </w:r>
    </w:p>
    <w:p>
      <w:pPr>
        <w:adjustRightInd w:val="0"/>
        <w:snapToGrid w:val="0"/>
        <w:spacing w:line="360" w:lineRule="auto"/>
        <w:ind w:firstLine="560" w:firstLineChars="200"/>
        <w:rPr>
          <w:rFonts w:ascii="仿宋_GB2312" w:hAnsi="黑体" w:eastAsia="仿宋_GB2312"/>
          <w:color w:val="000000" w:themeColor="text1"/>
          <w:sz w:val="28"/>
          <w:szCs w:val="28"/>
          <w14:textFill>
            <w14:solidFill>
              <w14:schemeClr w14:val="tx1"/>
            </w14:solidFill>
          </w14:textFill>
        </w:rPr>
      </w:pPr>
      <w:r>
        <w:rPr>
          <w:rFonts w:hint="eastAsia" w:ascii="仿宋_GB2312" w:hAnsi="黑体" w:eastAsia="仿宋_GB2312"/>
          <w:color w:val="000000" w:themeColor="text1"/>
          <w:sz w:val="28"/>
          <w:szCs w:val="28"/>
          <w14:textFill>
            <w14:solidFill>
              <w14:schemeClr w14:val="tx1"/>
            </w14:solidFill>
          </w14:textFill>
        </w:rPr>
        <w:t>（4）</w:t>
      </w:r>
      <w:r>
        <w:rPr>
          <w:rFonts w:ascii="仿宋_GB2312" w:hAnsi="黑体" w:eastAsia="仿宋_GB2312"/>
          <w:color w:val="000000" w:themeColor="text1"/>
          <w:sz w:val="28"/>
          <w:szCs w:val="28"/>
          <w14:textFill>
            <w14:solidFill>
              <w14:schemeClr w14:val="tx1"/>
            </w14:solidFill>
          </w14:textFill>
        </w:rPr>
        <w:t>工业绿色发展</w:t>
      </w:r>
    </w:p>
    <w:p>
      <w:pPr>
        <w:adjustRightInd w:val="0"/>
        <w:snapToGrid w:val="0"/>
        <w:spacing w:line="360" w:lineRule="auto"/>
        <w:ind w:firstLine="560" w:firstLineChars="200"/>
        <w:rPr>
          <w:rFonts w:ascii="仿宋_GB2312" w:hAnsi="黑体" w:eastAsia="仿宋_GB2312"/>
          <w:sz w:val="28"/>
          <w:szCs w:val="28"/>
        </w:rPr>
      </w:pPr>
      <w:r>
        <w:rPr>
          <w:rFonts w:ascii="仿宋_GB2312" w:hAnsi="黑体" w:eastAsia="仿宋_GB2312"/>
          <w:sz w:val="28"/>
          <w:szCs w:val="28"/>
        </w:rPr>
        <w:t>由图可知，工业领域评分</w:t>
      </w:r>
      <w:r>
        <w:rPr>
          <w:rFonts w:hint="eastAsia" w:ascii="仿宋_GB2312" w:hAnsi="黑体" w:eastAsia="仿宋_GB2312"/>
          <w:sz w:val="28"/>
          <w:szCs w:val="28"/>
        </w:rPr>
        <w:t>6分及以下占比为75%，尤其是单位产品水耗、物耗、能耗、循环利用等指标持续改善压力较大，减污降碳形势严峻。</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盐池县资源禀赋和产业结构高碳特征明显，煤炭在一次能源消费中的占比超过80%，工业领域碳排放量占碳排放总量的90%。全县规模以上工业企业是碳排放的重点领域，在依煤倚重的产业影响下，工业领域绿色发展任重道远。</w:t>
      </w:r>
    </w:p>
    <w:p>
      <w:pPr>
        <w:adjustRightInd w:val="0"/>
        <w:snapToGrid w:val="0"/>
        <w:spacing w:line="360" w:lineRule="auto"/>
        <w:jc w:val="center"/>
        <w:rPr>
          <w:rFonts w:ascii="仿宋_GB2312" w:hAnsi="黑体" w:eastAsia="仿宋_GB2312"/>
          <w:color w:val="FF0000"/>
          <w:sz w:val="28"/>
          <w:szCs w:val="28"/>
        </w:rPr>
      </w:pPr>
      <w:r>
        <w:drawing>
          <wp:inline distT="0" distB="0" distL="0" distR="0">
            <wp:extent cx="4572000" cy="2743200"/>
            <wp:effectExtent l="0" t="0" r="19050" b="1905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图5-4  工业领域评分结果</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（5）</w:t>
      </w:r>
      <w:r>
        <w:rPr>
          <w:rFonts w:ascii="仿宋_GB2312" w:hAnsi="黑体" w:eastAsia="仿宋_GB2312"/>
          <w:sz w:val="28"/>
          <w:szCs w:val="28"/>
        </w:rPr>
        <w:t>农村环境</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评分结果见图5-5。由图可知，评分结果在6分及以下占比为83.3%。主要是农村生活垃圾分类处理、农村黑臭水体、农村卫生厕所普及以及美丽乡村建设等领域仍有短板。</w:t>
      </w:r>
    </w:p>
    <w:p>
      <w:pPr>
        <w:adjustRightInd w:val="0"/>
        <w:snapToGrid w:val="0"/>
        <w:spacing w:line="360" w:lineRule="auto"/>
        <w:ind w:firstLine="420" w:firstLineChars="200"/>
        <w:rPr>
          <w:rFonts w:ascii="仿宋_GB2312" w:hAnsi="黑体" w:eastAsia="仿宋_GB2312"/>
          <w:color w:val="FF0000"/>
          <w:sz w:val="28"/>
          <w:szCs w:val="28"/>
        </w:rPr>
      </w:pPr>
      <w:r>
        <w:drawing>
          <wp:inline distT="0" distB="0" distL="0" distR="0">
            <wp:extent cx="4572000" cy="2743200"/>
            <wp:effectExtent l="0" t="0" r="19050" b="1905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图5-5  农村环境领域评分结果</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（6）</w:t>
      </w:r>
      <w:r>
        <w:rPr>
          <w:rFonts w:ascii="仿宋_GB2312" w:hAnsi="黑体" w:eastAsia="仿宋_GB2312"/>
          <w:sz w:val="28"/>
          <w:szCs w:val="28"/>
        </w:rPr>
        <w:t>土壤</w:t>
      </w:r>
      <w:r>
        <w:rPr>
          <w:rFonts w:hint="eastAsia" w:ascii="仿宋_GB2312" w:hAnsi="黑体" w:eastAsia="仿宋_GB2312"/>
          <w:sz w:val="28"/>
          <w:szCs w:val="28"/>
        </w:rPr>
        <w:t>生态</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评分结果在6分及以下占比达到83.3%，主要问题：土壤有机质含量低，生态环境敏感脆弱。干旱和水资源短缺是本地区主要的环境特征。盐池地处我国半干旱</w:t>
      </w:r>
      <w:r>
        <w:rPr>
          <w:rFonts w:hint="eastAsia" w:ascii="仿宋_GB2312" w:hAnsi="黑体" w:eastAsia="仿宋_GB2312"/>
          <w:sz w:val="28"/>
          <w:szCs w:val="28"/>
          <w:lang w:eastAsia="zh-CN"/>
        </w:rPr>
        <w:t>—</w:t>
      </w:r>
      <w:r>
        <w:rPr>
          <w:rFonts w:hint="eastAsia" w:ascii="仿宋_GB2312" w:hAnsi="黑体" w:eastAsia="仿宋_GB2312"/>
          <w:sz w:val="28"/>
          <w:szCs w:val="28"/>
        </w:rPr>
        <w:t>干旱区的过渡地带，在自然环境上属于北方农牧交错的生态脆弱带组成部分，自然条件差，水土流失，土地沙化与干旱非常严重。</w:t>
      </w:r>
    </w:p>
    <w:p>
      <w:pPr>
        <w:adjustRightInd w:val="0"/>
        <w:snapToGrid w:val="0"/>
        <w:spacing w:line="360" w:lineRule="auto"/>
        <w:jc w:val="center"/>
        <w:rPr>
          <w:rFonts w:ascii="仿宋_GB2312" w:hAnsi="黑体" w:eastAsia="仿宋_GB2312"/>
          <w:sz w:val="28"/>
          <w:szCs w:val="28"/>
        </w:rPr>
      </w:pPr>
      <w:r>
        <w:drawing>
          <wp:inline distT="0" distB="0" distL="0" distR="0">
            <wp:extent cx="4572000" cy="2743200"/>
            <wp:effectExtent l="0" t="0" r="19050" b="1905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图5-6  土壤生态领域评分结果</w:t>
      </w: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表5-2  生态环境质量评价因子识别指标体系</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5"/>
        <w:gridCol w:w="2078"/>
        <w:gridCol w:w="1368"/>
        <w:gridCol w:w="1368"/>
        <w:gridCol w:w="1368"/>
        <w:gridCol w:w="1368"/>
        <w:gridCol w:w="1395"/>
        <w:gridCol w:w="997"/>
        <w:gridCol w:w="2411"/>
        <w:gridCol w:w="6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1" w:type="pct"/>
            <w:gridSpan w:val="2"/>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评价因子</w:t>
            </w:r>
          </w:p>
        </w:tc>
        <w:tc>
          <w:tcPr>
            <w:tcW w:w="2515" w:type="pct"/>
            <w:gridSpan w:val="5"/>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指标分级与量化</w:t>
            </w:r>
          </w:p>
        </w:tc>
        <w:tc>
          <w:tcPr>
            <w:tcW w:w="365"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备注</w:t>
            </w:r>
          </w:p>
        </w:tc>
        <w:tc>
          <w:tcPr>
            <w:tcW w:w="883"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现状（2021年）</w:t>
            </w:r>
          </w:p>
        </w:tc>
        <w:tc>
          <w:tcPr>
            <w:tcW w:w="236" w:type="pct"/>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评价</w:t>
            </w:r>
          </w:p>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生态</w:t>
            </w:r>
            <w:r>
              <w:rPr>
                <w:rFonts w:ascii="Times New Roman" w:hAnsi="Times New Roman" w:cs="Times New Roman"/>
                <w:sz w:val="18"/>
                <w:szCs w:val="18"/>
              </w:rPr>
              <w:t>环境</w:t>
            </w: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地表水水质</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Ⅰ类（10）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Ⅱ类（8.5）</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Ⅲ类（6）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Ⅳ类（4.5）</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Ⅴ类（2）</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包含水体污染因素</w:t>
            </w:r>
          </w:p>
        </w:tc>
        <w:tc>
          <w:tcPr>
            <w:tcW w:w="883" w:type="pct"/>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境内苦水河流域扣除氟化物本底后为Ⅴ类</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地下水</w:t>
            </w:r>
            <w:r>
              <w:rPr>
                <w:rFonts w:hint="eastAsia" w:ascii="Times New Roman" w:hAnsi="Times New Roman" w:cs="Times New Roman"/>
                <w:sz w:val="18"/>
                <w:szCs w:val="18"/>
              </w:rPr>
              <w:t>矿化度</w:t>
            </w:r>
            <w:r>
              <w:rPr>
                <w:rFonts w:ascii="Times New Roman" w:hAnsi="Times New Roman" w:cs="Times New Roman"/>
                <w:sz w:val="18"/>
                <w:szCs w:val="18"/>
              </w:rPr>
              <w:t>（g/L）</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1.0-2.0（8）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2.0-3.0（6）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3.0-4.0（4）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根据《宁夏地下水矿化度分布图》，在骆驼井、高沙窝北部矿化度小于2g/L，大部分地区矿化度2~5g/L，在王乐井、惠安堡一带矿化度大于5g/L</w:t>
            </w:r>
          </w:p>
        </w:tc>
        <w:tc>
          <w:tcPr>
            <w:tcW w:w="236"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污水排放量（万t/a）</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＜500（</w:t>
            </w:r>
            <w:r>
              <w:rPr>
                <w:rFonts w:hint="eastAsia" w:ascii="Times New Roman" w:hAnsi="Times New Roman" w:cs="Times New Roman"/>
                <w:sz w:val="18"/>
                <w:szCs w:val="18"/>
              </w:rPr>
              <w:t>10</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00-1</w:t>
            </w:r>
            <w:r>
              <w:rPr>
                <w:rFonts w:hint="eastAsia" w:ascii="Times New Roman" w:hAnsi="Times New Roman" w:cs="Times New Roman"/>
                <w:sz w:val="18"/>
                <w:szCs w:val="18"/>
              </w:rPr>
              <w:t>0</w:t>
            </w:r>
            <w:r>
              <w:rPr>
                <w:rFonts w:ascii="Times New Roman" w:hAnsi="Times New Roman" w:cs="Times New Roman"/>
                <w:sz w:val="18"/>
                <w:szCs w:val="18"/>
              </w:rPr>
              <w:t>00（</w:t>
            </w:r>
            <w:r>
              <w:rPr>
                <w:rFonts w:hint="eastAsia" w:ascii="Times New Roman" w:hAnsi="Times New Roman" w:cs="Times New Roman"/>
                <w:sz w:val="18"/>
                <w:szCs w:val="18"/>
              </w:rPr>
              <w:t>8</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0</w:t>
            </w:r>
            <w:r>
              <w:rPr>
                <w:rFonts w:ascii="Times New Roman" w:hAnsi="Times New Roman" w:cs="Times New Roman"/>
                <w:sz w:val="18"/>
                <w:szCs w:val="18"/>
              </w:rPr>
              <w:t>00-2000（</w:t>
            </w:r>
            <w:r>
              <w:rPr>
                <w:rFonts w:hint="eastAsia" w:ascii="Times New Roman" w:hAnsi="Times New Roman" w:cs="Times New Roman"/>
                <w:sz w:val="18"/>
                <w:szCs w:val="18"/>
              </w:rPr>
              <w:t>6</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2000-3000</w:t>
            </w:r>
            <w:r>
              <w:rPr>
                <w:rFonts w:ascii="Times New Roman" w:hAnsi="Times New Roman" w:cs="Times New Roman"/>
                <w:sz w:val="18"/>
                <w:szCs w:val="18"/>
              </w:rPr>
              <w:t>（2）</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000（2）</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工业源和生活源</w:t>
            </w: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723.65</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w:t>
            </w:r>
            <w:r>
              <w:rPr>
                <w:rFonts w:ascii="Times New Roman" w:hAnsi="Times New Roman" w:cs="Times New Roman"/>
                <w:sz w:val="18"/>
                <w:szCs w:val="18"/>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COD排放量（</w:t>
            </w:r>
            <w:r>
              <w:rPr>
                <w:rFonts w:hint="eastAsia" w:ascii="Times New Roman" w:hAnsi="Times New Roman" w:cs="Times New Roman"/>
                <w:sz w:val="18"/>
                <w:szCs w:val="18"/>
              </w:rPr>
              <w:t>t/a</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100</w:t>
            </w:r>
            <w:r>
              <w:rPr>
                <w:rFonts w:ascii="Times New Roman" w:hAnsi="Times New Roman" w:cs="Times New Roman"/>
                <w:sz w:val="18"/>
                <w:szCs w:val="18"/>
              </w:rPr>
              <w:t>（10）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100-500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500-1000</w:t>
            </w:r>
            <w:r>
              <w:rPr>
                <w:rFonts w:ascii="Times New Roman" w:hAnsi="Times New Roman" w:cs="Times New Roman"/>
                <w:sz w:val="18"/>
                <w:szCs w:val="18"/>
              </w:rPr>
              <w:t>（6）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1000-2000</w:t>
            </w:r>
            <w:r>
              <w:rPr>
                <w:rFonts w:ascii="Times New Roman" w:hAnsi="Times New Roman" w:cs="Times New Roman"/>
                <w:sz w:val="18"/>
                <w:szCs w:val="18"/>
              </w:rPr>
              <w:t>（4）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2000</w:t>
            </w:r>
            <w:r>
              <w:rPr>
                <w:rFonts w:ascii="Times New Roman" w:hAnsi="Times New Roman" w:cs="Times New Roman"/>
                <w:sz w:val="18"/>
                <w:szCs w:val="18"/>
              </w:rPr>
              <w:t>（2）</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工业源和生活源</w:t>
            </w: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515.41</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NH</w:t>
            </w:r>
            <w:r>
              <w:rPr>
                <w:rFonts w:ascii="Times New Roman" w:hAnsi="Times New Roman" w:cs="Times New Roman"/>
                <w:sz w:val="18"/>
                <w:szCs w:val="18"/>
                <w:vertAlign w:val="subscript"/>
              </w:rPr>
              <w:t>3</w:t>
            </w:r>
            <w:r>
              <w:rPr>
                <w:rFonts w:ascii="Times New Roman" w:hAnsi="Times New Roman" w:cs="Times New Roman"/>
                <w:sz w:val="18"/>
                <w:szCs w:val="18"/>
              </w:rPr>
              <w:t>-N排放量（</w:t>
            </w:r>
            <w:r>
              <w:rPr>
                <w:rFonts w:hint="eastAsia" w:ascii="Times New Roman" w:hAnsi="Times New Roman" w:cs="Times New Roman"/>
                <w:sz w:val="18"/>
                <w:szCs w:val="18"/>
              </w:rPr>
              <w:t>t/a</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50</w:t>
            </w:r>
            <w:r>
              <w:rPr>
                <w:rFonts w:ascii="Times New Roman" w:hAnsi="Times New Roman" w:cs="Times New Roman"/>
                <w:sz w:val="18"/>
                <w:szCs w:val="18"/>
              </w:rPr>
              <w:t>（10）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50-100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100-200</w:t>
            </w:r>
            <w:r>
              <w:rPr>
                <w:rFonts w:ascii="Times New Roman" w:hAnsi="Times New Roman" w:cs="Times New Roman"/>
                <w:sz w:val="18"/>
                <w:szCs w:val="18"/>
              </w:rPr>
              <w:t>（6）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200-300</w:t>
            </w:r>
            <w:r>
              <w:rPr>
                <w:rFonts w:ascii="Times New Roman" w:hAnsi="Times New Roman" w:cs="Times New Roman"/>
                <w:sz w:val="18"/>
                <w:szCs w:val="18"/>
              </w:rPr>
              <w:t>（4）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300</w:t>
            </w:r>
            <w:r>
              <w:rPr>
                <w:rFonts w:ascii="Times New Roman" w:hAnsi="Times New Roman" w:cs="Times New Roman"/>
                <w:sz w:val="18"/>
                <w:szCs w:val="18"/>
              </w:rPr>
              <w:t>（2）</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工业源和生活源</w:t>
            </w: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66.57</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河道缩减率（%）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30-20（1）</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20-10（3）</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10-5（5）</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＜5（8）</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＜1（10）</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自然河道</w:t>
            </w: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11.2</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湖泊水域面积缩减率（%）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30-20（1）</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20-10（3）</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10-5（5）</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＜5（8）</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＜1（10）</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自然水域</w:t>
            </w: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10.8</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生态环境质量指数</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明显</w:t>
            </w:r>
            <w:r>
              <w:rPr>
                <w:rFonts w:ascii="Times New Roman" w:hAnsi="Times New Roman" w:cs="Times New Roman"/>
                <w:sz w:val="18"/>
                <w:szCs w:val="18"/>
              </w:rPr>
              <w:t>变好</w:t>
            </w:r>
          </w:p>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10分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略微</w:t>
            </w:r>
            <w:r>
              <w:rPr>
                <w:rFonts w:ascii="Times New Roman" w:hAnsi="Times New Roman" w:cs="Times New Roman"/>
                <w:sz w:val="18"/>
                <w:szCs w:val="18"/>
              </w:rPr>
              <w:t>变好</w:t>
            </w:r>
          </w:p>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8分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无</w:t>
            </w:r>
            <w:r>
              <w:rPr>
                <w:rFonts w:ascii="Times New Roman" w:hAnsi="Times New Roman" w:cs="Times New Roman"/>
                <w:sz w:val="18"/>
                <w:szCs w:val="18"/>
              </w:rPr>
              <w:t>明显变化</w:t>
            </w:r>
          </w:p>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略微</w:t>
            </w:r>
            <w:r>
              <w:rPr>
                <w:rFonts w:ascii="Times New Roman" w:hAnsi="Times New Roman" w:cs="Times New Roman"/>
                <w:sz w:val="18"/>
                <w:szCs w:val="18"/>
              </w:rPr>
              <w:t>变差</w:t>
            </w:r>
          </w:p>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3分</w:t>
            </w:r>
            <w:r>
              <w:rPr>
                <w:rFonts w:ascii="Times New Roman" w:hAnsi="Times New Roman" w:cs="Times New Roman"/>
                <w:sz w:val="18"/>
                <w:szCs w:val="18"/>
              </w:rPr>
              <w:t>）</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明显变差</w:t>
            </w:r>
          </w:p>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1分</w:t>
            </w:r>
            <w:r>
              <w:rPr>
                <w:rFonts w:ascii="Times New Roman" w:hAnsi="Times New Roman" w:cs="Times New Roman"/>
                <w:sz w:val="18"/>
                <w:szCs w:val="18"/>
              </w:rPr>
              <w:t>）</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近五年考核结果</w:t>
            </w:r>
          </w:p>
        </w:tc>
        <w:tc>
          <w:tcPr>
            <w:tcW w:w="883" w:type="pct"/>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近五年基本保持不变，变化不明显</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国家重点保护野生动植物保护率（%）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95（10分）</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80</w:t>
            </w:r>
            <w:r>
              <w:rPr>
                <w:rFonts w:ascii="Times New Roman" w:hAnsi="Times New Roman" w:cs="Times New Roman"/>
                <w:sz w:val="18"/>
                <w:szCs w:val="18"/>
              </w:rPr>
              <w:t>（5）</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w:t>
            </w:r>
            <w:r>
              <w:rPr>
                <w:rFonts w:ascii="Times New Roman" w:hAnsi="Times New Roman" w:cs="Times New Roman"/>
                <w:sz w:val="18"/>
                <w:szCs w:val="18"/>
              </w:rPr>
              <w:t>（3）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6</w:t>
            </w:r>
            <w:r>
              <w:rPr>
                <w:rFonts w:ascii="Times New Roman" w:hAnsi="Times New Roman" w:cs="Times New Roman"/>
                <w:sz w:val="18"/>
                <w:szCs w:val="18"/>
              </w:rPr>
              <w:t>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哈巴湖等自然保护地中受保护野生动植物保护率大于</w:t>
            </w:r>
            <w:r>
              <w:rPr>
                <w:rFonts w:hint="eastAsia" w:ascii="Times New Roman" w:hAnsi="Times New Roman" w:cs="Times New Roman"/>
                <w:sz w:val="18"/>
                <w:szCs w:val="18"/>
              </w:rPr>
              <w:t>95%，其他区域未开展统计</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外来物种入侵情况</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无（</w:t>
            </w:r>
            <w:r>
              <w:rPr>
                <w:rFonts w:hint="eastAsia" w:ascii="Times New Roman" w:hAnsi="Times New Roman" w:cs="Times New Roman"/>
                <w:sz w:val="18"/>
                <w:szCs w:val="18"/>
              </w:rPr>
              <w:t>10分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不</w:t>
            </w:r>
            <w:r>
              <w:rPr>
                <w:rFonts w:hint="eastAsia" w:ascii="Times New Roman" w:hAnsi="Times New Roman" w:cs="Times New Roman"/>
                <w:sz w:val="18"/>
                <w:szCs w:val="18"/>
              </w:rPr>
              <w:t>明显</w:t>
            </w:r>
            <w:r>
              <w:rPr>
                <w:rFonts w:ascii="Times New Roman" w:hAnsi="Times New Roman" w:cs="Times New Roman"/>
                <w:sz w:val="18"/>
                <w:szCs w:val="18"/>
              </w:rPr>
              <w:t>（</w:t>
            </w:r>
            <w:r>
              <w:rPr>
                <w:rFonts w:hint="eastAsia" w:ascii="Times New Roman" w:hAnsi="Times New Roman" w:cs="Times New Roman"/>
                <w:sz w:val="18"/>
                <w:szCs w:val="18"/>
              </w:rPr>
              <w:t>8分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一般（</w:t>
            </w:r>
            <w:r>
              <w:rPr>
                <w:rFonts w:hint="eastAsia" w:ascii="Times New Roman" w:hAnsi="Times New Roman" w:cs="Times New Roman"/>
                <w:sz w:val="18"/>
                <w:szCs w:val="18"/>
              </w:rPr>
              <w:t>6分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较严重（</w:t>
            </w:r>
            <w:r>
              <w:rPr>
                <w:rFonts w:hint="eastAsia" w:ascii="Times New Roman" w:hAnsi="Times New Roman" w:cs="Times New Roman"/>
                <w:sz w:val="18"/>
                <w:szCs w:val="18"/>
              </w:rPr>
              <w:t>3分</w:t>
            </w:r>
            <w:r>
              <w:rPr>
                <w:rFonts w:ascii="Times New Roman" w:hAnsi="Times New Roman" w:cs="Times New Roman"/>
                <w:sz w:val="18"/>
                <w:szCs w:val="18"/>
              </w:rPr>
              <w:t>）</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严重（</w:t>
            </w:r>
            <w:r>
              <w:rPr>
                <w:rFonts w:hint="eastAsia" w:ascii="Times New Roman" w:hAnsi="Times New Roman" w:cs="Times New Roman"/>
                <w:sz w:val="18"/>
                <w:szCs w:val="18"/>
              </w:rPr>
              <w:t>1分）</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不明显</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生态保护红线划定面积比例（%）</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25（10分）</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20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15</w:t>
            </w:r>
            <w:r>
              <w:rPr>
                <w:rFonts w:ascii="Times New Roman" w:hAnsi="Times New Roman" w:cs="Times New Roman"/>
                <w:sz w:val="18"/>
                <w:szCs w:val="18"/>
              </w:rPr>
              <w:t>（5）</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10</w:t>
            </w:r>
            <w:r>
              <w:rPr>
                <w:rFonts w:ascii="Times New Roman" w:hAnsi="Times New Roman" w:cs="Times New Roman"/>
                <w:sz w:val="18"/>
                <w:szCs w:val="18"/>
              </w:rPr>
              <w:t>（3）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w:t>
            </w:r>
            <w:r>
              <w:rPr>
                <w:rFonts w:ascii="Times New Roman" w:hAnsi="Times New Roman" w:cs="Times New Roman"/>
                <w:sz w:val="18"/>
                <w:szCs w:val="18"/>
              </w:rPr>
              <w:t>（1）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17.6</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自然保护地保护成效</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好（</w:t>
            </w:r>
            <w:r>
              <w:rPr>
                <w:rFonts w:hint="eastAsia" w:ascii="Times New Roman" w:hAnsi="Times New Roman" w:cs="Times New Roman"/>
                <w:sz w:val="18"/>
                <w:szCs w:val="18"/>
              </w:rPr>
              <w:t>10分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较好（</w:t>
            </w:r>
            <w:r>
              <w:rPr>
                <w:rFonts w:hint="eastAsia" w:ascii="Times New Roman" w:hAnsi="Times New Roman" w:cs="Times New Roman"/>
                <w:sz w:val="18"/>
                <w:szCs w:val="18"/>
              </w:rPr>
              <w:t>8分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一般（</w:t>
            </w:r>
            <w:r>
              <w:rPr>
                <w:rFonts w:hint="eastAsia" w:ascii="Times New Roman" w:hAnsi="Times New Roman" w:cs="Times New Roman"/>
                <w:sz w:val="18"/>
                <w:szCs w:val="18"/>
              </w:rPr>
              <w:t>5分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较差（</w:t>
            </w:r>
            <w:r>
              <w:rPr>
                <w:rFonts w:hint="eastAsia" w:ascii="Times New Roman" w:hAnsi="Times New Roman" w:cs="Times New Roman"/>
                <w:sz w:val="18"/>
                <w:szCs w:val="18"/>
              </w:rPr>
              <w:t>2分</w:t>
            </w:r>
            <w:r>
              <w:rPr>
                <w:rFonts w:ascii="Times New Roman" w:hAnsi="Times New Roman" w:cs="Times New Roman"/>
                <w:sz w:val="18"/>
                <w:szCs w:val="18"/>
              </w:rPr>
              <w:t>）</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差（</w:t>
            </w:r>
            <w:r>
              <w:rPr>
                <w:rFonts w:hint="eastAsia" w:ascii="Times New Roman" w:hAnsi="Times New Roman" w:cs="Times New Roman"/>
                <w:sz w:val="18"/>
                <w:szCs w:val="18"/>
              </w:rPr>
              <w:t>1分</w:t>
            </w:r>
            <w:r>
              <w:rPr>
                <w:rFonts w:ascii="Times New Roman" w:hAnsi="Times New Roman" w:cs="Times New Roman"/>
                <w:sz w:val="18"/>
                <w:szCs w:val="18"/>
              </w:rPr>
              <w:t>）</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较好</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jc w:val="center"/>
              <w:rPr>
                <w:rFonts w:ascii="Times New Roman" w:hAnsi="Times New Roman" w:cs="Times New Roman"/>
                <w:sz w:val="18"/>
                <w:szCs w:val="18"/>
              </w:rPr>
            </w:pPr>
            <w:r>
              <w:rPr>
                <w:rFonts w:ascii="Times New Roman" w:hAnsi="Times New Roman" w:cs="Times New Roman"/>
                <w:sz w:val="18"/>
                <w:szCs w:val="18"/>
              </w:rPr>
              <w:t>优良天数比例（%）</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95（10分）</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80</w:t>
            </w:r>
            <w:r>
              <w:rPr>
                <w:rFonts w:ascii="Times New Roman" w:hAnsi="Times New Roman" w:cs="Times New Roman"/>
                <w:sz w:val="18"/>
                <w:szCs w:val="18"/>
              </w:rPr>
              <w:t>（5）</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70</w:t>
            </w:r>
            <w:r>
              <w:rPr>
                <w:rFonts w:ascii="Times New Roman" w:hAnsi="Times New Roman" w:cs="Times New Roman"/>
                <w:sz w:val="18"/>
                <w:szCs w:val="18"/>
              </w:rPr>
              <w:t>（3）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6</w:t>
            </w:r>
            <w:r>
              <w:rPr>
                <w:rFonts w:ascii="Times New Roman" w:hAnsi="Times New Roman" w:cs="Times New Roman"/>
                <w:sz w:val="18"/>
                <w:szCs w:val="18"/>
              </w:rPr>
              <w:t>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91.5</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PM</w:t>
            </w:r>
            <w:r>
              <w:rPr>
                <w:rFonts w:hint="eastAsia" w:ascii="Times New Roman" w:hAnsi="Times New Roman" w:cs="Times New Roman"/>
                <w:sz w:val="18"/>
                <w:szCs w:val="18"/>
                <w:vertAlign w:val="subscript"/>
              </w:rPr>
              <w:t>2.5</w:t>
            </w:r>
            <w:r>
              <w:rPr>
                <w:rFonts w:hint="eastAsia" w:ascii="Times New Roman" w:hAnsi="Times New Roman" w:cs="Times New Roman"/>
                <w:sz w:val="18"/>
                <w:szCs w:val="18"/>
              </w:rPr>
              <w:t>浓度（ug/m</w:t>
            </w:r>
            <w:r>
              <w:rPr>
                <w:rFonts w:hint="eastAsia" w:ascii="Times New Roman" w:hAnsi="Times New Roman" w:cs="Times New Roman"/>
                <w:sz w:val="18"/>
                <w:szCs w:val="18"/>
                <w:vertAlign w:val="superscript"/>
              </w:rPr>
              <w:t>3</w:t>
            </w:r>
            <w:r>
              <w:rPr>
                <w:rFonts w:hint="eastAsia"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30（10分）</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40（8分）</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50（6分）</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60（4分）</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70（2分）</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28.0</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生态环境</w:t>
            </w:r>
          </w:p>
        </w:tc>
        <w:tc>
          <w:tcPr>
            <w:tcW w:w="761"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空气质量综合指数</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明显改善（</w:t>
            </w:r>
            <w:r>
              <w:rPr>
                <w:rFonts w:hint="eastAsia" w:ascii="Times New Roman" w:hAnsi="Times New Roman" w:cs="Times New Roman"/>
                <w:sz w:val="18"/>
                <w:szCs w:val="18"/>
              </w:rPr>
              <w:t>10分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略微改善（</w:t>
            </w:r>
            <w:r>
              <w:rPr>
                <w:rFonts w:hint="eastAsia" w:ascii="Times New Roman" w:hAnsi="Times New Roman" w:cs="Times New Roman"/>
                <w:sz w:val="18"/>
                <w:szCs w:val="18"/>
              </w:rPr>
              <w:t>8分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基本不变（</w:t>
            </w:r>
            <w:r>
              <w:rPr>
                <w:rFonts w:hint="eastAsia" w:ascii="Times New Roman" w:hAnsi="Times New Roman" w:cs="Times New Roman"/>
                <w:sz w:val="18"/>
                <w:szCs w:val="18"/>
              </w:rPr>
              <w:t>6分</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略微</w:t>
            </w:r>
            <w:r>
              <w:rPr>
                <w:rFonts w:ascii="Times New Roman" w:hAnsi="Times New Roman" w:cs="Times New Roman"/>
                <w:sz w:val="18"/>
                <w:szCs w:val="18"/>
              </w:rPr>
              <w:t>变差（</w:t>
            </w:r>
            <w:r>
              <w:rPr>
                <w:rFonts w:hint="eastAsia" w:ascii="Times New Roman" w:hAnsi="Times New Roman" w:cs="Times New Roman"/>
                <w:sz w:val="18"/>
                <w:szCs w:val="18"/>
              </w:rPr>
              <w:t>3分</w:t>
            </w:r>
            <w:r>
              <w:rPr>
                <w:rFonts w:ascii="Times New Roman" w:hAnsi="Times New Roman" w:cs="Times New Roman"/>
                <w:sz w:val="18"/>
                <w:szCs w:val="18"/>
              </w:rPr>
              <w:t>）</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明显变差</w:t>
            </w:r>
          </w:p>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1分</w:t>
            </w:r>
            <w:r>
              <w:rPr>
                <w:rFonts w:ascii="Times New Roman" w:hAnsi="Times New Roman" w:cs="Times New Roman"/>
                <w:sz w:val="18"/>
                <w:szCs w:val="18"/>
              </w:rPr>
              <w:t>）</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最近</w:t>
            </w:r>
            <w:r>
              <w:rPr>
                <w:rFonts w:hint="eastAsia" w:ascii="Times New Roman" w:hAnsi="Times New Roman" w:cs="Times New Roman"/>
                <w:sz w:val="18"/>
                <w:szCs w:val="18"/>
              </w:rPr>
              <w:t>2年</w:t>
            </w:r>
          </w:p>
        </w:tc>
        <w:tc>
          <w:tcPr>
            <w:tcW w:w="8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有所改善</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大气中氮氧化物排放量（</w:t>
            </w:r>
            <w:r>
              <w:rPr>
                <w:rFonts w:hint="eastAsia" w:ascii="Times New Roman" w:hAnsi="Times New Roman" w:cs="Times New Roman"/>
                <w:sz w:val="18"/>
                <w:szCs w:val="18"/>
              </w:rPr>
              <w:t>t/a</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500</w:t>
            </w:r>
            <w:r>
              <w:rPr>
                <w:rFonts w:ascii="Times New Roman" w:hAnsi="Times New Roman" w:cs="Times New Roman"/>
                <w:sz w:val="18"/>
                <w:szCs w:val="18"/>
              </w:rPr>
              <w:t>（10）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500-1000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1000-2000</w:t>
            </w:r>
            <w:r>
              <w:rPr>
                <w:rFonts w:ascii="Times New Roman" w:hAnsi="Times New Roman" w:cs="Times New Roman"/>
                <w:sz w:val="18"/>
                <w:szCs w:val="18"/>
              </w:rPr>
              <w:t>（6）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2000-3000</w:t>
            </w:r>
            <w:r>
              <w:rPr>
                <w:rFonts w:ascii="Times New Roman" w:hAnsi="Times New Roman" w:cs="Times New Roman"/>
                <w:sz w:val="18"/>
                <w:szCs w:val="18"/>
              </w:rPr>
              <w:t>（4）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3000</w:t>
            </w:r>
            <w:r>
              <w:rPr>
                <w:rFonts w:ascii="Times New Roman" w:hAnsi="Times New Roman" w:cs="Times New Roman"/>
                <w:sz w:val="18"/>
                <w:szCs w:val="18"/>
              </w:rPr>
              <w:t>（2）</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工业源和生活源</w:t>
            </w:r>
          </w:p>
        </w:tc>
        <w:tc>
          <w:tcPr>
            <w:tcW w:w="883" w:type="pct"/>
            <w:vAlign w:val="center"/>
          </w:tcPr>
          <w:p>
            <w:pPr>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1206.61</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大气中二氧化硫排放量（</w:t>
            </w:r>
            <w:r>
              <w:rPr>
                <w:rFonts w:hint="eastAsia" w:ascii="Times New Roman" w:hAnsi="Times New Roman" w:cs="Times New Roman"/>
                <w:sz w:val="18"/>
                <w:szCs w:val="18"/>
              </w:rPr>
              <w:t>t/a</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500</w:t>
            </w:r>
            <w:r>
              <w:rPr>
                <w:rFonts w:ascii="Times New Roman" w:hAnsi="Times New Roman" w:cs="Times New Roman"/>
                <w:sz w:val="18"/>
                <w:szCs w:val="18"/>
              </w:rPr>
              <w:t>（10）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500-1000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1000-2000</w:t>
            </w:r>
            <w:r>
              <w:rPr>
                <w:rFonts w:ascii="Times New Roman" w:hAnsi="Times New Roman" w:cs="Times New Roman"/>
                <w:sz w:val="18"/>
                <w:szCs w:val="18"/>
              </w:rPr>
              <w:t>（6）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2000-3000</w:t>
            </w:r>
            <w:r>
              <w:rPr>
                <w:rFonts w:ascii="Times New Roman" w:hAnsi="Times New Roman" w:cs="Times New Roman"/>
                <w:sz w:val="18"/>
                <w:szCs w:val="18"/>
              </w:rPr>
              <w:t>（4）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3000</w:t>
            </w:r>
            <w:r>
              <w:rPr>
                <w:rFonts w:ascii="Times New Roman" w:hAnsi="Times New Roman" w:cs="Times New Roman"/>
                <w:sz w:val="18"/>
                <w:szCs w:val="18"/>
              </w:rPr>
              <w:t>（2）</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工业源和生活源</w:t>
            </w:r>
          </w:p>
        </w:tc>
        <w:tc>
          <w:tcPr>
            <w:tcW w:w="883" w:type="pct"/>
            <w:vAlign w:val="center"/>
          </w:tcPr>
          <w:p>
            <w:pPr>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1765.88</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大气中挥发性有机物排放量（</w:t>
            </w:r>
            <w:r>
              <w:rPr>
                <w:rFonts w:hint="eastAsia" w:ascii="Times New Roman" w:hAnsi="Times New Roman" w:cs="Times New Roman"/>
                <w:sz w:val="18"/>
                <w:szCs w:val="18"/>
              </w:rPr>
              <w:t>t/a</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100</w:t>
            </w:r>
            <w:r>
              <w:rPr>
                <w:rFonts w:ascii="Times New Roman" w:hAnsi="Times New Roman" w:cs="Times New Roman"/>
                <w:sz w:val="18"/>
                <w:szCs w:val="18"/>
              </w:rPr>
              <w:t>（10）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100-500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500-1000</w:t>
            </w:r>
            <w:r>
              <w:rPr>
                <w:rFonts w:ascii="Times New Roman" w:hAnsi="Times New Roman" w:cs="Times New Roman"/>
                <w:sz w:val="18"/>
                <w:szCs w:val="18"/>
              </w:rPr>
              <w:t>（6）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1000-2000</w:t>
            </w:r>
            <w:r>
              <w:rPr>
                <w:rFonts w:ascii="Times New Roman" w:hAnsi="Times New Roman" w:cs="Times New Roman"/>
                <w:sz w:val="18"/>
                <w:szCs w:val="18"/>
              </w:rPr>
              <w:t>（4）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2000</w:t>
            </w:r>
            <w:r>
              <w:rPr>
                <w:rFonts w:ascii="Times New Roman" w:hAnsi="Times New Roman" w:cs="Times New Roman"/>
                <w:sz w:val="18"/>
                <w:szCs w:val="18"/>
              </w:rPr>
              <w:t>（2）</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工业源和生活源</w:t>
            </w:r>
          </w:p>
        </w:tc>
        <w:tc>
          <w:tcPr>
            <w:tcW w:w="883" w:type="pct"/>
            <w:vAlign w:val="center"/>
          </w:tcPr>
          <w:p>
            <w:pPr>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512.88</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耕地安全利用率（%）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95（10分）</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80</w:t>
            </w:r>
            <w:r>
              <w:rPr>
                <w:rFonts w:ascii="Times New Roman" w:hAnsi="Times New Roman" w:cs="Times New Roman"/>
                <w:sz w:val="18"/>
                <w:szCs w:val="18"/>
              </w:rPr>
              <w:t>（5）</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w:t>
            </w:r>
            <w:r>
              <w:rPr>
                <w:rFonts w:ascii="Times New Roman" w:hAnsi="Times New Roman" w:cs="Times New Roman"/>
                <w:sz w:val="18"/>
                <w:szCs w:val="18"/>
              </w:rPr>
              <w:t>（3）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6</w:t>
            </w:r>
            <w:r>
              <w:rPr>
                <w:rFonts w:ascii="Times New Roman" w:hAnsi="Times New Roman" w:cs="Times New Roman"/>
                <w:sz w:val="18"/>
                <w:szCs w:val="18"/>
              </w:rPr>
              <w:t>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w:t>
            </w:r>
          </w:p>
        </w:tc>
        <w:tc>
          <w:tcPr>
            <w:tcW w:w="236"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污染地块安全利用率（%）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95（10分）</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80</w:t>
            </w:r>
            <w:r>
              <w:rPr>
                <w:rFonts w:ascii="Times New Roman" w:hAnsi="Times New Roman" w:cs="Times New Roman"/>
                <w:sz w:val="18"/>
                <w:szCs w:val="18"/>
              </w:rPr>
              <w:t>（5）</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w:t>
            </w:r>
            <w:r>
              <w:rPr>
                <w:rFonts w:ascii="Times New Roman" w:hAnsi="Times New Roman" w:cs="Times New Roman"/>
                <w:sz w:val="18"/>
                <w:szCs w:val="18"/>
              </w:rPr>
              <w:t>（3）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6</w:t>
            </w:r>
            <w:r>
              <w:rPr>
                <w:rFonts w:ascii="Times New Roman" w:hAnsi="Times New Roman" w:cs="Times New Roman"/>
                <w:sz w:val="18"/>
                <w:szCs w:val="18"/>
              </w:rPr>
              <w:t>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w:t>
            </w:r>
          </w:p>
        </w:tc>
        <w:tc>
          <w:tcPr>
            <w:tcW w:w="236"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林地生态</w:t>
            </w: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森林覆盖率（%）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30</w:t>
            </w:r>
            <w:r>
              <w:rPr>
                <w:rFonts w:ascii="Times New Roman" w:hAnsi="Times New Roman" w:cs="Times New Roman"/>
                <w:sz w:val="18"/>
                <w:szCs w:val="18"/>
              </w:rPr>
              <w:t>（10）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30-20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20-10</w:t>
            </w:r>
            <w:r>
              <w:rPr>
                <w:rFonts w:ascii="Times New Roman" w:hAnsi="Times New Roman" w:cs="Times New Roman"/>
                <w:sz w:val="18"/>
                <w:szCs w:val="18"/>
              </w:rPr>
              <w:t>（5）</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10-5（3）</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＜5（1）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27.32</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w:t>
            </w:r>
            <w:r>
              <w:rPr>
                <w:rFonts w:ascii="Times New Roman" w:hAnsi="Times New Roman" w:cs="Times New Roman"/>
                <w:sz w:val="18"/>
                <w:szCs w:val="18"/>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林木</w:t>
            </w:r>
            <w:r>
              <w:rPr>
                <w:rFonts w:hint="eastAsia" w:ascii="Times New Roman" w:hAnsi="Times New Roman" w:cs="Times New Roman"/>
                <w:sz w:val="18"/>
                <w:szCs w:val="18"/>
              </w:rPr>
              <w:t>保存面积（万亩）</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400</w:t>
            </w:r>
            <w:r>
              <w:rPr>
                <w:rFonts w:ascii="Times New Roman" w:hAnsi="Times New Roman" w:cs="Times New Roman"/>
                <w:sz w:val="18"/>
                <w:szCs w:val="18"/>
              </w:rPr>
              <w:t>（10）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w:t>
            </w:r>
            <w:r>
              <w:rPr>
                <w:rFonts w:ascii="Times New Roman" w:hAnsi="Times New Roman" w:cs="Times New Roman"/>
                <w:sz w:val="18"/>
                <w:szCs w:val="18"/>
              </w:rPr>
              <w:t>0</w:t>
            </w:r>
            <w:r>
              <w:rPr>
                <w:rFonts w:hint="eastAsia" w:ascii="Times New Roman" w:hAnsi="Times New Roman" w:cs="Times New Roman"/>
                <w:sz w:val="18"/>
                <w:szCs w:val="18"/>
              </w:rPr>
              <w:t>0</w:t>
            </w:r>
            <w:r>
              <w:rPr>
                <w:rFonts w:ascii="Times New Roman" w:hAnsi="Times New Roman" w:cs="Times New Roman"/>
                <w:sz w:val="18"/>
                <w:szCs w:val="18"/>
              </w:rPr>
              <w:t>-</w:t>
            </w:r>
            <w:r>
              <w:rPr>
                <w:rFonts w:hint="eastAsia" w:ascii="Times New Roman" w:hAnsi="Times New Roman" w:cs="Times New Roman"/>
                <w:sz w:val="18"/>
                <w:szCs w:val="18"/>
              </w:rPr>
              <w:t>300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30</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w:t>
            </w:r>
            <w:r>
              <w:rPr>
                <w:rFonts w:ascii="Times New Roman" w:hAnsi="Times New Roman" w:cs="Times New Roman"/>
                <w:sz w:val="18"/>
                <w:szCs w:val="18"/>
              </w:rPr>
              <w:t>0-</w:t>
            </w:r>
            <w:r>
              <w:rPr>
                <w:rFonts w:hint="eastAsia" w:ascii="Times New Roman" w:hAnsi="Times New Roman" w:cs="Times New Roman"/>
                <w:sz w:val="18"/>
                <w:szCs w:val="18"/>
              </w:rPr>
              <w:t>100</w:t>
            </w:r>
            <w:r>
              <w:rPr>
                <w:rFonts w:ascii="Times New Roman" w:hAnsi="Times New Roman" w:cs="Times New Roman"/>
                <w:sz w:val="18"/>
                <w:szCs w:val="18"/>
              </w:rPr>
              <w:t>（3）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100</w:t>
            </w:r>
            <w:r>
              <w:rPr>
                <w:rFonts w:ascii="Times New Roman" w:hAnsi="Times New Roman" w:cs="Times New Roman"/>
                <w:sz w:val="18"/>
                <w:szCs w:val="18"/>
              </w:rPr>
              <w:t>（1）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“十三五”末期，林木保存面积达325万亩</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w:t>
            </w:r>
            <w:r>
              <w:rPr>
                <w:rFonts w:ascii="Times New Roman" w:hAnsi="Times New Roman" w:cs="Times New Roman"/>
                <w:sz w:val="18"/>
                <w:szCs w:val="18"/>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中幼林比例（%）</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60-45（8）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45-25（6）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25-15（3）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＜15（1）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56.2</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w:t>
            </w:r>
            <w:r>
              <w:rPr>
                <w:rFonts w:ascii="Times New Roman" w:hAnsi="Times New Roman" w:cs="Times New Roman"/>
                <w:sz w:val="18"/>
                <w:szCs w:val="18"/>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草地生态</w:t>
            </w: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草地面积占总面积比例（%）</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60-45（8）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45-25（6）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25-15（4）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＜15（2）</w:t>
            </w:r>
          </w:p>
        </w:tc>
        <w:tc>
          <w:tcPr>
            <w:tcW w:w="36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主要指可利用草地</w:t>
            </w: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37.2</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草原</w:t>
            </w:r>
            <w:r>
              <w:rPr>
                <w:rFonts w:ascii="Times New Roman" w:hAnsi="Times New Roman" w:cs="Times New Roman"/>
                <w:sz w:val="18"/>
                <w:szCs w:val="18"/>
              </w:rPr>
              <w:t>产草量（</w:t>
            </w:r>
            <w:r>
              <w:rPr>
                <w:rFonts w:hint="eastAsia" w:ascii="Times New Roman" w:hAnsi="Times New Roman" w:cs="Times New Roman"/>
                <w:sz w:val="18"/>
                <w:szCs w:val="18"/>
              </w:rPr>
              <w:t>kg/亩</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500</w:t>
            </w:r>
            <w:r>
              <w:rPr>
                <w:rFonts w:ascii="Times New Roman" w:hAnsi="Times New Roman" w:cs="Times New Roman"/>
                <w:sz w:val="18"/>
                <w:szCs w:val="18"/>
              </w:rPr>
              <w:t>（10）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500-300</w:t>
            </w:r>
            <w:r>
              <w:rPr>
                <w:rFonts w:ascii="Times New Roman" w:hAnsi="Times New Roman" w:cs="Times New Roman"/>
                <w:sz w:val="18"/>
                <w:szCs w:val="18"/>
              </w:rPr>
              <w:t>（8）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300-100</w:t>
            </w:r>
            <w:r>
              <w:rPr>
                <w:rFonts w:ascii="Times New Roman" w:hAnsi="Times New Roman" w:cs="Times New Roman"/>
                <w:sz w:val="18"/>
                <w:szCs w:val="18"/>
              </w:rPr>
              <w:t>（6）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100-50</w:t>
            </w:r>
            <w:r>
              <w:rPr>
                <w:rFonts w:ascii="Times New Roman" w:hAnsi="Times New Roman" w:cs="Times New Roman"/>
                <w:sz w:val="18"/>
                <w:szCs w:val="18"/>
              </w:rPr>
              <w:t>（3）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50</w:t>
            </w:r>
            <w:r>
              <w:rPr>
                <w:rFonts w:ascii="Times New Roman" w:hAnsi="Times New Roman" w:cs="Times New Roman"/>
                <w:sz w:val="18"/>
                <w:szCs w:val="18"/>
              </w:rPr>
              <w:t>（1）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147千克/亩</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载畜量（羊</w:t>
            </w:r>
            <w:r>
              <w:rPr>
                <w:rFonts w:hint="eastAsia" w:ascii="Times New Roman" w:hAnsi="Times New Roman" w:cs="Times New Roman"/>
                <w:sz w:val="18"/>
                <w:szCs w:val="18"/>
              </w:rPr>
              <w:t>/亩</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w:t>
            </w:r>
            <w:r>
              <w:rPr>
                <w:rFonts w:ascii="Times New Roman" w:hAnsi="Times New Roman" w:cs="Times New Roman"/>
                <w:sz w:val="18"/>
                <w:szCs w:val="18"/>
              </w:rPr>
              <w:t>0（</w:t>
            </w:r>
            <w:r>
              <w:rPr>
                <w:rFonts w:hint="eastAsia" w:ascii="Times New Roman" w:hAnsi="Times New Roman" w:cs="Times New Roman"/>
                <w:sz w:val="18"/>
                <w:szCs w:val="18"/>
              </w:rPr>
              <w:t>10</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0-15</w:t>
            </w:r>
            <w:r>
              <w:rPr>
                <w:rFonts w:ascii="Times New Roman" w:hAnsi="Times New Roman" w:cs="Times New Roman"/>
                <w:sz w:val="18"/>
                <w:szCs w:val="18"/>
              </w:rPr>
              <w:t>（</w:t>
            </w:r>
            <w:r>
              <w:rPr>
                <w:rFonts w:hint="eastAsia" w:ascii="Times New Roman" w:hAnsi="Times New Roman" w:cs="Times New Roman"/>
                <w:sz w:val="18"/>
                <w:szCs w:val="18"/>
              </w:rPr>
              <w:t>8</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15-25</w:t>
            </w:r>
            <w:r>
              <w:rPr>
                <w:rFonts w:ascii="Times New Roman" w:hAnsi="Times New Roman" w:cs="Times New Roman"/>
                <w:sz w:val="18"/>
                <w:szCs w:val="18"/>
              </w:rPr>
              <w:t>（6）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25-50</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w:t>
            </w:r>
          </w:p>
        </w:tc>
        <w:tc>
          <w:tcPr>
            <w:tcW w:w="51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50-100</w:t>
            </w:r>
            <w:r>
              <w:rPr>
                <w:rFonts w:ascii="Times New Roman" w:hAnsi="Times New Roman" w:cs="Times New Roman"/>
                <w:sz w:val="18"/>
                <w:szCs w:val="18"/>
              </w:rPr>
              <w:t>（</w:t>
            </w:r>
            <w:r>
              <w:rPr>
                <w:rFonts w:hint="eastAsia" w:ascii="Times New Roman" w:hAnsi="Times New Roman" w:cs="Times New Roman"/>
                <w:sz w:val="18"/>
                <w:szCs w:val="18"/>
              </w:rPr>
              <w:t>2</w:t>
            </w:r>
            <w:r>
              <w:rPr>
                <w:rFonts w:ascii="Times New Roman" w:hAnsi="Times New Roman" w:cs="Times New Roman"/>
                <w:sz w:val="18"/>
                <w:szCs w:val="18"/>
              </w:rPr>
              <w:t>）</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25-50之间，处于</w:t>
            </w:r>
          </w:p>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轻度超载范围</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草原综合植被盖度（%）</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70-50（8）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50-30（6）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30-20（4）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58.45</w:t>
            </w:r>
          </w:p>
        </w:tc>
        <w:tc>
          <w:tcPr>
            <w:tcW w:w="236"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农业生态</w:t>
            </w: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农业总产值（亿元）</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50.0-30.0（8）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30.0-20.0（6）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20.0-10.0（3）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27.49</w:t>
            </w:r>
          </w:p>
        </w:tc>
        <w:tc>
          <w:tcPr>
            <w:tcW w:w="236"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保灌面积与总面积比例（%）</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90-70（8）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70-50（6）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50-30（3）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84</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灌溉水有效利用系数</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1.0-0.8（8）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0.8-0.6（6）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0.6-0.4（4）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0.4（2）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0.669</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高效灌溉面积</w:t>
            </w:r>
            <w:r>
              <w:rPr>
                <w:rFonts w:hint="eastAsia" w:ascii="Times New Roman" w:hAnsi="Times New Roman" w:cs="Times New Roman"/>
                <w:sz w:val="18"/>
                <w:szCs w:val="18"/>
              </w:rPr>
              <w:t>占比</w:t>
            </w:r>
            <w:r>
              <w:rPr>
                <w:rFonts w:ascii="Times New Roman" w:hAnsi="Times New Roman" w:cs="Times New Roman"/>
                <w:sz w:val="18"/>
                <w:szCs w:val="18"/>
              </w:rPr>
              <w:t>（</w:t>
            </w:r>
            <w:r>
              <w:rPr>
                <w:rFonts w:hint="eastAsia" w:ascii="Times New Roman" w:hAnsi="Times New Roman" w:cs="Times New Roman"/>
                <w:sz w:val="18"/>
                <w:szCs w:val="18"/>
              </w:rPr>
              <w:t>%</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90-80（8）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80-70（6）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70-60（4）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60（2）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98</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畜禽粪污综合利用率</w:t>
            </w:r>
            <w:r>
              <w:rPr>
                <w:rFonts w:hint="eastAsia"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90-80（8）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80-70（6）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70-60（4）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60（2）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eastAsia="宋体"/>
                <w:sz w:val="18"/>
                <w:szCs w:val="18"/>
              </w:rPr>
              <w:t>90</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化肥农药利用率（</w:t>
            </w:r>
            <w:r>
              <w:rPr>
                <w:rFonts w:hint="eastAsia" w:ascii="Times New Roman" w:hAnsi="Times New Roman" w:cs="Times New Roman"/>
                <w:sz w:val="18"/>
                <w:szCs w:val="18"/>
              </w:rPr>
              <w:t>%</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50-45（8）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45-40（6）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40-35（4）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35（2）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41</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秸秆综合利用率（</w:t>
            </w:r>
            <w:r>
              <w:rPr>
                <w:rFonts w:hint="eastAsia" w:ascii="Times New Roman" w:hAnsi="Times New Roman" w:cs="Times New Roman"/>
                <w:sz w:val="18"/>
                <w:szCs w:val="18"/>
              </w:rPr>
              <w:t>%</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90-80（8）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80-70（6）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70-60（4）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60（2）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农膜回收利用率（</w:t>
            </w:r>
            <w:r>
              <w:rPr>
                <w:rFonts w:hint="eastAsia" w:ascii="Times New Roman" w:hAnsi="Times New Roman" w:cs="Times New Roman"/>
                <w:sz w:val="18"/>
                <w:szCs w:val="18"/>
              </w:rPr>
              <w:t>%</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90-80（8）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80-70（6）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70-60（4）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60（2）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92</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工业</w:t>
            </w:r>
            <w:r>
              <w:rPr>
                <w:rFonts w:hint="eastAsia" w:ascii="Times New Roman" w:hAnsi="Times New Roman" w:cs="Times New Roman"/>
                <w:sz w:val="18"/>
                <w:szCs w:val="18"/>
              </w:rPr>
              <w:t>绿色</w:t>
            </w:r>
            <w:r>
              <w:rPr>
                <w:rFonts w:ascii="Times New Roman" w:hAnsi="Times New Roman" w:cs="Times New Roman"/>
                <w:sz w:val="18"/>
                <w:szCs w:val="18"/>
              </w:rPr>
              <w:t>发展</w:t>
            </w: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工业总产值（亿元）</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＞250（10）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250-150（8）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150-100（6）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100-50（3）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103.63</w:t>
            </w:r>
          </w:p>
        </w:tc>
        <w:tc>
          <w:tcPr>
            <w:tcW w:w="236"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万元产值耗水率</w:t>
            </w:r>
          </w:p>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（m</w:t>
            </w:r>
            <w:r>
              <w:rPr>
                <w:rFonts w:ascii="Times New Roman" w:hAnsi="Times New Roman" w:cs="Times New Roman"/>
                <w:sz w:val="18"/>
                <w:szCs w:val="18"/>
                <w:vertAlign w:val="superscript"/>
              </w:rPr>
              <w:t>3</w:t>
            </w:r>
            <w:r>
              <w:rPr>
                <w:rFonts w:ascii="Times New Roman" w:hAnsi="Times New Roman" w:cs="Times New Roman"/>
                <w:sz w:val="18"/>
                <w:szCs w:val="18"/>
              </w:rPr>
              <w:t>/万元）</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w:t>
            </w:r>
            <w:r>
              <w:rPr>
                <w:rFonts w:hint="eastAsia" w:ascii="Times New Roman" w:hAnsi="Times New Roman" w:cs="Times New Roman"/>
                <w:sz w:val="18"/>
                <w:szCs w:val="18"/>
              </w:rPr>
              <w:t>6</w:t>
            </w:r>
            <w:r>
              <w:rPr>
                <w:rFonts w:ascii="Times New Roman" w:hAnsi="Times New Roman" w:cs="Times New Roman"/>
                <w:sz w:val="18"/>
                <w:szCs w:val="18"/>
              </w:rPr>
              <w:t>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w:t>
            </w:r>
            <w:r>
              <w:rPr>
                <w:rFonts w:ascii="Times New Roman" w:hAnsi="Times New Roman" w:cs="Times New Roman"/>
                <w:sz w:val="18"/>
                <w:szCs w:val="18"/>
              </w:rPr>
              <w:t>0-</w:t>
            </w:r>
            <w:r>
              <w:rPr>
                <w:rFonts w:hint="eastAsia" w:ascii="Times New Roman" w:hAnsi="Times New Roman" w:cs="Times New Roman"/>
                <w:sz w:val="18"/>
                <w:szCs w:val="18"/>
              </w:rPr>
              <w:t>8</w:t>
            </w:r>
            <w:r>
              <w:rPr>
                <w:rFonts w:ascii="Times New Roman" w:hAnsi="Times New Roman" w:cs="Times New Roman"/>
                <w:sz w:val="18"/>
                <w:szCs w:val="18"/>
              </w:rPr>
              <w:t>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w:t>
            </w:r>
            <w:r>
              <w:rPr>
                <w:rFonts w:ascii="Times New Roman" w:hAnsi="Times New Roman" w:cs="Times New Roman"/>
                <w:sz w:val="18"/>
                <w:szCs w:val="18"/>
              </w:rPr>
              <w:t>0-</w:t>
            </w:r>
            <w:r>
              <w:rPr>
                <w:rFonts w:hint="eastAsia" w:ascii="Times New Roman" w:hAnsi="Times New Roman" w:cs="Times New Roman"/>
                <w:sz w:val="18"/>
                <w:szCs w:val="18"/>
              </w:rPr>
              <w:t>1</w:t>
            </w:r>
            <w:r>
              <w:rPr>
                <w:rFonts w:ascii="Times New Roman" w:hAnsi="Times New Roman" w:cs="Times New Roman"/>
                <w:sz w:val="18"/>
                <w:szCs w:val="18"/>
              </w:rPr>
              <w:t>00（3）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w:t>
            </w:r>
            <w:r>
              <w:rPr>
                <w:rFonts w:ascii="Times New Roman" w:hAnsi="Times New Roman" w:cs="Times New Roman"/>
                <w:sz w:val="18"/>
                <w:szCs w:val="18"/>
              </w:rPr>
              <w:t>00（1）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72.5</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w:t>
            </w:r>
            <w:r>
              <w:rPr>
                <w:rFonts w:ascii="Times New Roman" w:hAnsi="Times New Roman" w:cs="Times New Roman"/>
                <w:sz w:val="18"/>
                <w:szCs w:val="18"/>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t>单位地区生产总值二氧化碳排放</w:t>
            </w:r>
            <w:r>
              <w:rPr>
                <w:rFonts w:hint="eastAsia" w:ascii="Times New Roman" w:hAnsi="Times New Roman" w:eastAsia="宋体" w:cs="Times New Roman"/>
                <w:sz w:val="18"/>
                <w:szCs w:val="18"/>
              </w:rPr>
              <w:t>量降低率</w:t>
            </w:r>
            <w:r>
              <w:rPr>
                <w:rFonts w:ascii="Times New Roman" w:hAnsi="Times New Roman" w:eastAsia="宋体"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10%（10）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5%（8）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3%（6）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1%（4）</w:t>
            </w:r>
          </w:p>
        </w:tc>
        <w:tc>
          <w:tcPr>
            <w:tcW w:w="51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不降</w:t>
            </w:r>
            <w:r>
              <w:rPr>
                <w:rFonts w:ascii="Times New Roman" w:hAnsi="Times New Roman" w:cs="Times New Roman"/>
                <w:sz w:val="18"/>
                <w:szCs w:val="18"/>
              </w:rPr>
              <w:t>反升</w:t>
            </w:r>
            <w:r>
              <w:rPr>
                <w:rFonts w:hint="eastAsia" w:ascii="Times New Roman" w:hAnsi="Times New Roman" w:cs="Times New Roman"/>
                <w:sz w:val="18"/>
                <w:szCs w:val="18"/>
              </w:rPr>
              <w:t>（0）</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未收集到数据</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t>人均碳排放量降低（%）</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10%（10）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5%（8）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3%（6）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1%（4）</w:t>
            </w:r>
          </w:p>
        </w:tc>
        <w:tc>
          <w:tcPr>
            <w:tcW w:w="51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不降</w:t>
            </w:r>
            <w:r>
              <w:rPr>
                <w:rFonts w:ascii="Times New Roman" w:hAnsi="Times New Roman" w:cs="Times New Roman"/>
                <w:sz w:val="18"/>
                <w:szCs w:val="18"/>
              </w:rPr>
              <w:t>反升</w:t>
            </w:r>
            <w:r>
              <w:rPr>
                <w:rFonts w:hint="eastAsia" w:ascii="Times New Roman" w:hAnsi="Times New Roman" w:cs="Times New Roman"/>
                <w:sz w:val="18"/>
                <w:szCs w:val="18"/>
              </w:rPr>
              <w:t>（0）</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未收集到数据</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t>单位地区生产总值能源消耗降低（%）</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10%（10）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5%（8）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3%（6）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下降</w:t>
            </w:r>
            <w:r>
              <w:rPr>
                <w:rFonts w:hint="eastAsia" w:ascii="Times New Roman" w:hAnsi="Times New Roman" w:cs="Times New Roman"/>
                <w:sz w:val="18"/>
                <w:szCs w:val="18"/>
              </w:rPr>
              <w:t>1%（4）</w:t>
            </w:r>
          </w:p>
        </w:tc>
        <w:tc>
          <w:tcPr>
            <w:tcW w:w="51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不降</w:t>
            </w:r>
            <w:r>
              <w:rPr>
                <w:rFonts w:ascii="Times New Roman" w:hAnsi="Times New Roman" w:cs="Times New Roman"/>
                <w:sz w:val="18"/>
                <w:szCs w:val="18"/>
              </w:rPr>
              <w:t>反升</w:t>
            </w:r>
            <w:r>
              <w:rPr>
                <w:rFonts w:hint="eastAsia" w:ascii="Times New Roman" w:hAnsi="Times New Roman" w:cs="Times New Roman"/>
                <w:sz w:val="18"/>
                <w:szCs w:val="18"/>
              </w:rPr>
              <w:t>（0）</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2021年</w:t>
            </w:r>
            <w:r>
              <w:rPr>
                <w:rFonts w:hint="eastAsia" w:ascii="Times New Roman" w:hAnsi="Times New Roman" w:cs="Times New Roman"/>
                <w:sz w:val="18"/>
                <w:szCs w:val="18"/>
                <w:lang w:val="en-US" w:eastAsia="zh-CN"/>
              </w:rPr>
              <w:t>能</w:t>
            </w:r>
            <w:r>
              <w:rPr>
                <w:rFonts w:hint="eastAsia" w:ascii="Times New Roman" w:hAnsi="Times New Roman" w:cs="Times New Roman"/>
                <w:sz w:val="18"/>
                <w:szCs w:val="18"/>
              </w:rPr>
              <w:t>耗下降考核指标为3.9%，实际增加4.4%</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rPr>
                <w:rFonts w:ascii="Times New Roman" w:hAnsi="Times New Roman" w:eastAsia="宋体" w:cs="Times New Roman"/>
                <w:sz w:val="18"/>
                <w:szCs w:val="18"/>
              </w:rPr>
            </w:pPr>
            <w:r>
              <w:rPr>
                <w:rFonts w:hint="eastAsia" w:ascii="Times New Roman" w:hAnsi="Times New Roman" w:eastAsia="宋体" w:cs="Times New Roman"/>
                <w:sz w:val="18"/>
                <w:szCs w:val="18"/>
              </w:rPr>
              <w:t>非化石能源消费总量占一次能源消费比重</w:t>
            </w:r>
            <w:r>
              <w:rPr>
                <w:rFonts w:ascii="Times New Roman" w:hAnsi="Times New Roman" w:eastAsia="宋体"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50-40（8）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40-30（6）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30-20（4）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20（2）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11.2</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widowControl/>
              <w:adjustRightInd w:val="0"/>
              <w:snapToGrid w:val="0"/>
              <w:rPr>
                <w:rFonts w:ascii="Times New Roman" w:hAnsi="Times New Roman"/>
                <w:kern w:val="0"/>
                <w:sz w:val="18"/>
                <w:szCs w:val="18"/>
              </w:rPr>
            </w:pPr>
            <w:r>
              <w:rPr>
                <w:rFonts w:ascii="Times New Roman" w:hAnsi="Times New Roman"/>
                <w:kern w:val="0"/>
                <w:sz w:val="18"/>
                <w:szCs w:val="18"/>
              </w:rPr>
              <w:t>单位</w:t>
            </w:r>
            <w:r>
              <w:rPr>
                <w:rFonts w:hint="eastAsia" w:ascii="Times New Roman" w:hAnsi="Times New Roman"/>
                <w:kern w:val="0"/>
                <w:sz w:val="18"/>
                <w:szCs w:val="18"/>
              </w:rPr>
              <w:t>国内生产总值建设用地使用面积下降率</w:t>
            </w:r>
            <w:r>
              <w:rPr>
                <w:rFonts w:ascii="Times New Roman" w:hAnsi="Times New Roman" w:cs="Times New Roman"/>
                <w:sz w:val="18"/>
                <w:szCs w:val="18"/>
              </w:rPr>
              <w:t>（</w:t>
            </w:r>
            <w:r>
              <w:rPr>
                <w:rFonts w:hint="eastAsia" w:ascii="Times New Roman" w:hAnsi="Times New Roman" w:cs="Times New Roman"/>
                <w:sz w:val="18"/>
                <w:szCs w:val="18"/>
              </w:rPr>
              <w:t>%</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5（10）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5-4（8）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4-3（6）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3-2（4）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2（2）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3.4</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危险废物利用处置率</w:t>
            </w:r>
            <w:r>
              <w:rPr>
                <w:rFonts w:hint="eastAsia"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90-80（8）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80-70（6）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70-60（4）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60（2）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一般工业固废综合利用率（</w:t>
            </w:r>
            <w:r>
              <w:rPr>
                <w:rFonts w:hint="eastAsia" w:ascii="Times New Roman" w:hAnsi="Times New Roman" w:cs="Times New Roman"/>
                <w:sz w:val="18"/>
                <w:szCs w:val="18"/>
              </w:rPr>
              <w:t>%</w:t>
            </w:r>
            <w:r>
              <w:rPr>
                <w:rFonts w:ascii="Times New Roman" w:hAnsi="Times New Roman" w:cs="Times New Roman"/>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90-80（8）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80-70（6）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70-60（4）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60（2）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88</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农村环境</w:t>
            </w:r>
          </w:p>
        </w:tc>
        <w:tc>
          <w:tcPr>
            <w:tcW w:w="761" w:type="pct"/>
            <w:vAlign w:val="center"/>
          </w:tcPr>
          <w:p>
            <w:pPr>
              <w:adjustRightInd w:val="0"/>
              <w:snapToGrid w:val="0"/>
              <w:jc w:val="center"/>
              <w:rPr>
                <w:rFonts w:ascii="Times New Roman" w:hAnsi="Times New Roman" w:eastAsia="宋体"/>
                <w:sz w:val="18"/>
                <w:szCs w:val="18"/>
              </w:rPr>
            </w:pPr>
            <w:r>
              <w:rPr>
                <w:rFonts w:hint="eastAsia" w:ascii="Times New Roman" w:hAnsi="Times New Roman" w:eastAsia="宋体"/>
                <w:sz w:val="18"/>
                <w:szCs w:val="18"/>
              </w:rPr>
              <w:t>农村生活污水治理率%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90-70（8）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70-50（6）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50-30（4）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30（2）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55.6</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eastAsia="宋体"/>
                <w:sz w:val="18"/>
                <w:szCs w:val="18"/>
              </w:rPr>
            </w:pPr>
            <w:r>
              <w:rPr>
                <w:rFonts w:hint="eastAsia" w:ascii="Times New Roman" w:hAnsi="Times New Roman" w:eastAsia="宋体"/>
                <w:sz w:val="18"/>
                <w:szCs w:val="18"/>
              </w:rPr>
              <w:t>村镇饮用水卫生合格率（%）</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90-80（8）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80-70（6）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70-60（4）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60（2）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10分</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eastAsia="宋体"/>
                <w:sz w:val="18"/>
                <w:szCs w:val="18"/>
              </w:rPr>
            </w:pPr>
            <w:r>
              <w:rPr>
                <w:rFonts w:hint="eastAsia" w:ascii="Times New Roman" w:hAnsi="Times New Roman" w:cs="Times New Roman"/>
                <w:sz w:val="18"/>
                <w:szCs w:val="18"/>
              </w:rPr>
              <w:t>农村无害化卫生厕所普及率</w:t>
            </w:r>
            <w:r>
              <w:rPr>
                <w:rFonts w:hint="eastAsia" w:ascii="Times New Roman" w:hAnsi="Times New Roman" w:eastAsia="宋体"/>
                <w:sz w:val="18"/>
                <w:szCs w:val="18"/>
              </w:rPr>
              <w:t>（%）</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90-70（8）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70-50（6）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50-30（4）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30（2）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57.8</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生活垃圾分类处置率%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90-70（8）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70-50（6）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50-30（4）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30（2）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21.3</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农村黑臭水体消除比例（%）</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100（10）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80（6）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70（4）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60（2）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85</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美丽乡村建设占比（%）</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90-70（8）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70-50（6）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50-30（4）</w:t>
            </w:r>
          </w:p>
        </w:tc>
        <w:tc>
          <w:tcPr>
            <w:tcW w:w="511"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sz w:val="18"/>
                <w:szCs w:val="18"/>
              </w:rPr>
              <w:t>＜</w:t>
            </w:r>
            <w:r>
              <w:rPr>
                <w:rFonts w:hint="eastAsia" w:ascii="Times New Roman" w:hAnsi="Times New Roman" w:cs="Times New Roman"/>
                <w:sz w:val="18"/>
                <w:szCs w:val="18"/>
              </w:rPr>
              <w:t>30（2）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70</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土壤生态</w:t>
            </w: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有机质含量（%）</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4-2（8）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2-1（6）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1-0.6（4）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＜0.6（2）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0.8-1.2之间</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含氮量（%）</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＞0.2（10）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0.2-0.15（8）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0.15-0.10（6）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0.10-0.06（4）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＜0.06（2）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0.10左右</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土壤盐碱化面积比（%）</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1.0-5.0（8）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5.0-10.0（6）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10.0-20.0（4）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18左右</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土壤沙化面积比例（%）</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1.0-10.0（8）</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0.0-</w:t>
            </w:r>
            <w:r>
              <w:rPr>
                <w:rFonts w:hint="eastAsia" w:ascii="Times New Roman" w:hAnsi="Times New Roman" w:cs="Times New Roman"/>
                <w:sz w:val="18"/>
                <w:szCs w:val="18"/>
              </w:rPr>
              <w:t>2</w:t>
            </w:r>
            <w:r>
              <w:rPr>
                <w:rFonts w:ascii="Times New Roman" w:hAnsi="Times New Roman" w:cs="Times New Roman"/>
                <w:sz w:val="18"/>
                <w:szCs w:val="18"/>
              </w:rPr>
              <w:t>0.0（6）</w:t>
            </w:r>
          </w:p>
        </w:tc>
        <w:tc>
          <w:tcPr>
            <w:tcW w:w="501"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0.0-</w:t>
            </w:r>
            <w:r>
              <w:rPr>
                <w:rFonts w:hint="eastAsia" w:ascii="Times New Roman" w:hAnsi="Times New Roman" w:cs="Times New Roman"/>
                <w:sz w:val="18"/>
                <w:szCs w:val="18"/>
              </w:rPr>
              <w:t>3</w:t>
            </w:r>
            <w:r>
              <w:rPr>
                <w:rFonts w:ascii="Times New Roman" w:hAnsi="Times New Roman" w:cs="Times New Roman"/>
                <w:sz w:val="18"/>
                <w:szCs w:val="18"/>
              </w:rPr>
              <w:t>0.0（4）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10-20之间</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严重沙化面积比例（%）</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5.0-15.0（8）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15.0-30.0（5）</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30.0-50.0（3）</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＞50.0（1）</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5-15之间</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0" w:type="pct"/>
            <w:vMerge w:val="continue"/>
            <w:vAlign w:val="center"/>
          </w:tcPr>
          <w:p>
            <w:pPr>
              <w:adjustRightInd w:val="0"/>
              <w:snapToGrid w:val="0"/>
              <w:jc w:val="center"/>
              <w:rPr>
                <w:rFonts w:ascii="Times New Roman" w:hAnsi="Times New Roman" w:cs="Times New Roman"/>
                <w:sz w:val="18"/>
                <w:szCs w:val="18"/>
              </w:rPr>
            </w:pPr>
          </w:p>
        </w:tc>
        <w:tc>
          <w:tcPr>
            <w:tcW w:w="76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水土流失治理率（%）</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＞90（10）</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＞85（8）</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＞80（6）</w:t>
            </w:r>
          </w:p>
        </w:tc>
        <w:tc>
          <w:tcPr>
            <w:tcW w:w="50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＞75（4）</w:t>
            </w:r>
          </w:p>
        </w:tc>
        <w:tc>
          <w:tcPr>
            <w:tcW w:w="511"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＞70（2）</w:t>
            </w:r>
          </w:p>
        </w:tc>
        <w:tc>
          <w:tcPr>
            <w:tcW w:w="365" w:type="pct"/>
            <w:vAlign w:val="center"/>
          </w:tcPr>
          <w:p>
            <w:pPr>
              <w:adjustRightInd w:val="0"/>
              <w:snapToGrid w:val="0"/>
              <w:jc w:val="center"/>
              <w:rPr>
                <w:rFonts w:ascii="Times New Roman" w:hAnsi="Times New Roman" w:cs="Times New Roman"/>
                <w:sz w:val="18"/>
                <w:szCs w:val="18"/>
              </w:rPr>
            </w:pPr>
          </w:p>
        </w:tc>
        <w:tc>
          <w:tcPr>
            <w:tcW w:w="883" w:type="pct"/>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全县水土流失治理程度达</w:t>
            </w:r>
            <w:r>
              <w:rPr>
                <w:rFonts w:hint="eastAsia" w:ascii="Times New Roman" w:hAnsi="Times New Roman" w:cs="Times New Roman"/>
                <w:sz w:val="18"/>
                <w:szCs w:val="18"/>
              </w:rPr>
              <w:t>7</w:t>
            </w:r>
            <w:r>
              <w:rPr>
                <w:rFonts w:ascii="Times New Roman" w:hAnsi="Times New Roman" w:cs="Times New Roman"/>
                <w:sz w:val="18"/>
                <w:szCs w:val="18"/>
              </w:rPr>
              <w:t>0%以上</w:t>
            </w:r>
          </w:p>
        </w:tc>
        <w:tc>
          <w:tcPr>
            <w:tcW w:w="236"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2分</w:t>
            </w:r>
          </w:p>
        </w:tc>
      </w:tr>
    </w:tbl>
    <w:p>
      <w:pPr>
        <w:adjustRightInd w:val="0"/>
        <w:snapToGrid w:val="0"/>
        <w:spacing w:line="360" w:lineRule="auto"/>
        <w:jc w:val="center"/>
        <w:rPr>
          <w:rFonts w:ascii="仿宋_GB2312" w:hAnsi="黑体" w:eastAsia="仿宋_GB2312"/>
          <w:sz w:val="28"/>
          <w:szCs w:val="28"/>
        </w:rPr>
      </w:pPr>
    </w:p>
    <w:p>
      <w:pPr>
        <w:sectPr>
          <w:pgSz w:w="16838" w:h="11906" w:orient="landscape"/>
          <w:pgMar w:top="1701" w:right="1701" w:bottom="1701" w:left="1701" w:header="851" w:footer="992" w:gutter="0"/>
          <w:cols w:space="425" w:num="1"/>
          <w:docGrid w:type="lines" w:linePitch="312" w:charSpace="0"/>
        </w:sectPr>
      </w:pPr>
    </w:p>
    <w:p>
      <w:pPr>
        <w:pStyle w:val="3"/>
        <w:adjustRightInd w:val="0"/>
        <w:snapToGrid w:val="0"/>
        <w:spacing w:before="120" w:after="120" w:line="360" w:lineRule="auto"/>
        <w:rPr>
          <w:rStyle w:val="17"/>
          <w:rFonts w:ascii="仿宋_GB2312" w:hAnsi="仿宋" w:eastAsia="仿宋_GB2312"/>
          <w:b w:val="0"/>
          <w:bCs w:val="0"/>
          <w:sz w:val="28"/>
          <w:szCs w:val="28"/>
        </w:rPr>
      </w:pPr>
      <w:bookmarkStart w:id="18" w:name="_Toc111980877"/>
      <w:r>
        <w:rPr>
          <w:rFonts w:hint="eastAsia" w:ascii="黑体" w:hAnsi="黑体" w:eastAsia="黑体"/>
          <w:kern w:val="0"/>
          <w:sz w:val="30"/>
          <w:szCs w:val="30"/>
        </w:rPr>
        <w:t>5.2主要问题识别</w:t>
      </w:r>
      <w:bookmarkEnd w:id="18"/>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5.2.1产业结构不平衡，能耗双控压力较大</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sz w:val="28"/>
          <w:szCs w:val="28"/>
        </w:rPr>
      </w:pPr>
      <w:r>
        <w:rPr>
          <w:rFonts w:hint="eastAsia" w:ascii="仿宋_GB2312" w:hAnsi="仿宋" w:eastAsia="仿宋_GB2312"/>
          <w:sz w:val="28"/>
          <w:szCs w:val="28"/>
        </w:rPr>
        <w:t>（1）“重工业太重、轻工业太轻”的格局给全县工业经济的健康发展带来较大的滞后影响，2021年全县工业增加值中轻工业占比仅0.6%，重工业占比高达99.4%，极度不均衡。</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 w:eastAsia="仿宋_GB2312"/>
          <w:b/>
          <w:bCs/>
          <w:sz w:val="28"/>
          <w:szCs w:val="28"/>
        </w:rPr>
      </w:pPr>
      <w:r>
        <w:rPr>
          <w:rStyle w:val="17"/>
          <w:rFonts w:hint="eastAsia" w:ascii="仿宋_GB2312" w:hAnsi="仿宋" w:eastAsia="仿宋_GB2312"/>
          <w:b w:val="0"/>
          <w:sz w:val="28"/>
          <w:szCs w:val="28"/>
        </w:rPr>
        <w:t>（2）行业间发展不均衡，工业拉动力单一。</w:t>
      </w:r>
      <w:r>
        <w:rPr>
          <w:rFonts w:hint="eastAsia" w:ascii="仿宋_GB2312" w:hAnsi="仿宋" w:eastAsia="仿宋_GB2312"/>
          <w:sz w:val="28"/>
          <w:szCs w:val="28"/>
        </w:rPr>
        <w:t>从全县规上工业总产值构成来看，煤炭开采和洗选业、石油煤炭及其他燃料加工业、石油和天然气开采业、燃气生产和供应业这4个行业占全部规上工业产值的62%，传统产业聚集度高、贡献率大，这也从侧面反映出全县传统行业占比依旧偏高，行业间发展不均衡，工业增长拉动力单一。　</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Style w:val="17"/>
          <w:rFonts w:hint="eastAsia" w:ascii="仿宋_GB2312" w:hAnsi="仿宋" w:eastAsia="仿宋_GB2312"/>
          <w:b w:val="0"/>
          <w:sz w:val="28"/>
          <w:szCs w:val="28"/>
        </w:rPr>
        <w:t>（3）</w:t>
      </w:r>
      <w:r>
        <w:rPr>
          <w:rFonts w:hint="eastAsia" w:ascii="仿宋_GB2312" w:hAnsi="微软雅黑" w:eastAsia="仿宋_GB2312"/>
          <w:sz w:val="28"/>
          <w:szCs w:val="28"/>
        </w:rPr>
        <w:t>工业经济的快速增长与节能降耗矛盾日益突出</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eastAsia="仿宋_GB2312"/>
          <w:sz w:val="28"/>
          <w:szCs w:val="28"/>
        </w:rPr>
        <w:t>从数据分析结果看，全县规上企业全年综合能耗呈现快速增长趋势，</w:t>
      </w:r>
      <w:r>
        <w:rPr>
          <w:rFonts w:hint="eastAsia" w:ascii="仿宋_GB2312" w:hAnsi="微软雅黑" w:eastAsia="仿宋_GB2312"/>
          <w:sz w:val="28"/>
          <w:szCs w:val="28"/>
        </w:rPr>
        <w:t>能源消费品种仍是煤炭、原油、天然气、电力为主。特别是重点耗能企业的能源消费量占全县总能源消费量的86%以上，重点耗能企业产值产量的过快增长，必然导致全县能耗总量的大幅上升，造成节能降耗工作面临巨大压力。</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（4）绿色发展水平不高，节能低碳改造任务重</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单位产品能耗、物耗、水耗等尚未达到清洁生产先进水平，高耗能高排放低水平存量项目亟需进行节能降碳改造；建筑、交通、照明、供热等基础设施节能升级改造。</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5.2.2生态保护与污染防治仍有短板</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（1）环境污染防治形势严峻</w:t>
      </w:r>
    </w:p>
    <w:p>
      <w:pPr>
        <w:widowControl/>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PM</w:t>
      </w:r>
      <w:r>
        <w:rPr>
          <w:rFonts w:hint="eastAsia" w:ascii="仿宋_GB2312" w:eastAsia="仿宋_GB2312"/>
          <w:sz w:val="28"/>
          <w:szCs w:val="28"/>
          <w:vertAlign w:val="subscript"/>
        </w:rPr>
        <w:t>10</w:t>
      </w:r>
      <w:r>
        <w:rPr>
          <w:rFonts w:hint="eastAsia" w:ascii="仿宋_GB2312" w:eastAsia="仿宋_GB2312"/>
          <w:sz w:val="28"/>
          <w:szCs w:val="28"/>
        </w:rPr>
        <w:t>、PM</w:t>
      </w:r>
      <w:r>
        <w:rPr>
          <w:rFonts w:hint="eastAsia" w:ascii="仿宋_GB2312" w:eastAsia="仿宋_GB2312"/>
          <w:sz w:val="28"/>
          <w:szCs w:val="28"/>
          <w:vertAlign w:val="subscript"/>
        </w:rPr>
        <w:t>2.5</w:t>
      </w:r>
      <w:r>
        <w:rPr>
          <w:rFonts w:hint="eastAsia" w:ascii="仿宋_GB2312" w:eastAsia="仿宋_GB2312"/>
          <w:sz w:val="28"/>
          <w:szCs w:val="28"/>
        </w:rPr>
        <w:t>等污染因子尚未得到根本治理，氮氧化物、臭氧、挥发性有机物（VOCs）等非常规污染因子已成为新的重点控制对象。</w:t>
      </w:r>
    </w:p>
    <w:p>
      <w:pPr>
        <w:widowControl/>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城市水环境、农村污水处理、工业园区固体废物处置等能力仍需进一步增强，污水、固体废物等集约化治理体系尚不完善，生态环境状况级别为“一般”。苦水河等重点河道治理任务重，农业农村水环境污染治理难度较大。</w:t>
      </w:r>
    </w:p>
    <w:p>
      <w:pPr>
        <w:adjustRightInd w:val="0"/>
        <w:snapToGrid w:val="0"/>
        <w:spacing w:line="360" w:lineRule="auto"/>
        <w:ind w:firstLine="560" w:firstLineChars="200"/>
        <w:rPr>
          <w:rFonts w:ascii="仿宋_GB2312" w:hAnsi="Arial" w:eastAsia="仿宋_GB2312" w:cs="Arial"/>
          <w:sz w:val="28"/>
          <w:szCs w:val="28"/>
        </w:rPr>
      </w:pPr>
      <w:r>
        <w:rPr>
          <w:rFonts w:hint="eastAsia" w:ascii="仿宋_GB2312" w:hAnsi="Arial" w:eastAsia="仿宋_GB2312" w:cs="Arial"/>
          <w:sz w:val="28"/>
          <w:szCs w:val="28"/>
        </w:rPr>
        <w:t>（2）矿区综合整治效果不明显</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石油开采、煤炭开采、非煤矿山开采等领域生态环境问题仍较突出，石膏等露天开采对草原生态系统造成了一定的程度的破坏。开采区生态环境恢复、扬尘管控、噪音防治、固废和油污泥处置等仍有较大差距。</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（3）种养殖区面源污染问题仍较突出</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农用残膜、农药包装废弃物等回收处置网点布设数量不足，网点有待优化；化肥农药利用率尚未达到全区平均水平；屠宰区废水、病死畜禽、畜禽边角料等处置不规范，存在异味扰民的现象。重点养殖区仍存在人畜不分离现象，规模化养殖场畜禽粪污无害化和资源化利用设施建设尚未实现全覆盖。</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（4）环境基础设施建设历史欠账多</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县城污水管网布设密度不够，仍存在雨污不分流现象，同时污水处理厂提升泵站纳污处理能力有限，暴雨天气仍有污水直排现象。</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乡镇及农村污水处理厂建成后运营维护不专业、管理不规范、不能稳定运行等现象仍存在，未能充分发挥乡镇及农村污水处理厂处理效益。</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Arial" w:eastAsia="仿宋_GB2312" w:cs="Arial"/>
          <w:sz w:val="28"/>
          <w:szCs w:val="28"/>
        </w:rPr>
        <w:t>生活垃圾填埋处置场接近满负荷运行，分类收集体系尚未健全。</w:t>
      </w:r>
    </w:p>
    <w:p>
      <w:pPr>
        <w:adjustRightInd w:val="0"/>
        <w:snapToGrid w:val="0"/>
        <w:spacing w:line="360" w:lineRule="auto"/>
        <w:ind w:firstLine="560" w:firstLineChars="200"/>
        <w:rPr>
          <w:rFonts w:ascii="仿宋_GB2312" w:hAnsi="Arial" w:eastAsia="仿宋_GB2312" w:cs="Arial"/>
          <w:sz w:val="28"/>
          <w:szCs w:val="28"/>
        </w:rPr>
      </w:pPr>
      <w:r>
        <w:rPr>
          <w:rFonts w:hint="eastAsia" w:ascii="仿宋_GB2312" w:hAnsi="黑体" w:eastAsia="仿宋_GB2312"/>
          <w:sz w:val="28"/>
          <w:szCs w:val="28"/>
        </w:rPr>
        <w:t>建筑垃圾倾倒问题未得到根本解决</w:t>
      </w:r>
      <w:r>
        <w:rPr>
          <w:rFonts w:hint="eastAsia" w:ascii="仿宋_GB2312" w:hAnsi="Arial" w:eastAsia="仿宋_GB2312" w:cs="Arial"/>
          <w:sz w:val="28"/>
          <w:szCs w:val="28"/>
        </w:rPr>
        <w:t>，建筑垃圾资源化利用率不高，以填埋为主。</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微软雅黑" w:eastAsia="仿宋_GB2312"/>
          <w:sz w:val="28"/>
          <w:szCs w:val="28"/>
        </w:rPr>
      </w:pPr>
      <w:r>
        <w:rPr>
          <w:rFonts w:hint="eastAsia" w:ascii="仿宋_GB2312" w:hAnsi="微软雅黑" w:eastAsia="仿宋_GB2312"/>
          <w:sz w:val="28"/>
          <w:szCs w:val="28"/>
        </w:rPr>
        <w:t>（5）基层队伍和监管执法能力建设不足</w:t>
      </w:r>
    </w:p>
    <w:p>
      <w:pPr>
        <w:adjustRightInd w:val="0"/>
        <w:snapToGrid w:val="0"/>
        <w:spacing w:line="360" w:lineRule="auto"/>
        <w:ind w:firstLine="560" w:firstLineChars="200"/>
        <w:rPr>
          <w:rFonts w:ascii="仿宋_GB2312" w:hAnsi="Arial" w:eastAsia="仿宋_GB2312" w:cs="Arial"/>
          <w:sz w:val="28"/>
          <w:szCs w:val="28"/>
        </w:rPr>
      </w:pPr>
      <w:r>
        <w:rPr>
          <w:rFonts w:hint="eastAsia" w:ascii="仿宋_GB2312" w:hAnsi="黑体" w:eastAsia="仿宋_GB2312"/>
          <w:sz w:val="28"/>
          <w:szCs w:val="28"/>
        </w:rPr>
        <w:t>机构改革后，县生态环境局承担的工作职责职能大幅增加，人员短缺问题一直存在，事多人少，影响了正常工作的开展。多数乡镇街道无专职环保技术人员，且</w:t>
      </w:r>
      <w:r>
        <w:rPr>
          <w:rFonts w:hint="eastAsia" w:ascii="仿宋_GB2312" w:hAnsi="Arial" w:eastAsia="仿宋_GB2312" w:cs="Arial"/>
          <w:sz w:val="28"/>
          <w:szCs w:val="28"/>
        </w:rPr>
        <w:t>业务素质参差不齐，</w:t>
      </w:r>
      <w:r>
        <w:rPr>
          <w:rFonts w:hint="eastAsia" w:ascii="仿宋_GB2312" w:hAnsi="黑体" w:eastAsia="仿宋_GB2312"/>
          <w:sz w:val="28"/>
          <w:szCs w:val="28"/>
        </w:rPr>
        <w:t>专业技术水平和能力不能适应新时期生态环境保护工作要求。</w:t>
      </w:r>
      <w:r>
        <w:rPr>
          <w:rFonts w:hint="eastAsia" w:ascii="仿宋_GB2312" w:hAnsi="Arial" w:eastAsia="仿宋_GB2312" w:cs="Arial"/>
          <w:sz w:val="28"/>
          <w:szCs w:val="28"/>
        </w:rPr>
        <w:t>环境监测和环境执法自动化能力不高，缺乏现代管理技术和手段。</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5.2.3园区绿色发展差距较大</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2021年12月，“吴忠市盐池县工业园区无序发展，威胁古长城安全，违法排污多发”被中央第四生态环境保护督察组作为典型案例之一曝光。盐池县属黄土高原丘陵沟壑水土保持生态功能区，是国家主体功能区规划中明确的限制开发的重要生态功能区，但工业园区存在着无序扩张、污染物不达标排放现象，与绿色园区差距较大。</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（1）产业总体偏弱</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2020年底，园区工业总产值为83.25亿元，占地面积（规划）12.98平方公里，在宁夏23个自治区级工业园区中，盐池工业园区规模和地均产值均处于中下水平。</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园区产业规模较小，油气化工仅由1家炼油企业、3家油气加工企业和4家天然气液化企业构成，产业链短，延伸度低；绿色食品加工、石膏加工产业体量小，发展后劲不足。</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（2）资源环境约束大</w:t>
      </w:r>
    </w:p>
    <w:p>
      <w:pPr>
        <w:adjustRightInd w:val="0"/>
        <w:snapToGrid w:val="0"/>
        <w:spacing w:line="360" w:lineRule="auto"/>
        <w:ind w:firstLine="562" w:firstLineChars="200"/>
        <w:rPr>
          <w:rFonts w:ascii="仿宋_GB2312" w:eastAsia="仿宋_GB2312"/>
          <w:sz w:val="28"/>
          <w:szCs w:val="28"/>
        </w:rPr>
      </w:pPr>
      <w:r>
        <w:rPr>
          <w:rFonts w:hint="eastAsia" w:ascii="仿宋_GB2312" w:eastAsia="仿宋_GB2312"/>
          <w:b/>
          <w:bCs/>
          <w:sz w:val="28"/>
          <w:szCs w:val="28"/>
        </w:rPr>
        <w:t>能耗双控影响大。</w:t>
      </w:r>
      <w:r>
        <w:rPr>
          <w:rFonts w:hint="eastAsia" w:ascii="仿宋_GB2312" w:eastAsia="仿宋_GB2312"/>
          <w:sz w:val="28"/>
          <w:szCs w:val="28"/>
        </w:rPr>
        <w:t>盐池工业总量小，能耗基数低，“十四五”分配的新增能耗小。盐池工业园区处于发展初期阶段，实现跨越式发展需要较大能耗，园区现状没有可淘汰或替代的高能耗产业，能耗双控形势严峻。</w:t>
      </w:r>
    </w:p>
    <w:p>
      <w:pPr>
        <w:adjustRightInd w:val="0"/>
        <w:snapToGrid w:val="0"/>
        <w:spacing w:line="360" w:lineRule="auto"/>
        <w:ind w:firstLine="562" w:firstLineChars="200"/>
        <w:rPr>
          <w:rFonts w:ascii="仿宋_GB2312" w:eastAsia="仿宋_GB2312"/>
          <w:sz w:val="28"/>
          <w:szCs w:val="28"/>
        </w:rPr>
      </w:pPr>
      <w:r>
        <w:rPr>
          <w:rFonts w:hint="eastAsia" w:ascii="仿宋_GB2312" w:eastAsia="仿宋_GB2312"/>
          <w:b/>
          <w:bCs/>
          <w:sz w:val="28"/>
          <w:szCs w:val="28"/>
        </w:rPr>
        <w:t>污染物仍存在不达标排放现象。</w:t>
      </w:r>
      <w:r>
        <w:rPr>
          <w:rFonts w:hint="eastAsia" w:ascii="仿宋_GB2312" w:eastAsia="仿宋_GB2312"/>
          <w:sz w:val="28"/>
          <w:szCs w:val="28"/>
        </w:rPr>
        <w:t>盐池工业园区位于我国西部地区，生态环境脆弱，生态修复能力差，因此对企业和园区污染治理的要求更高。但在园区实际发展过程中，颗粒物、二氧化硫等存在不达标排放的现象，企业污染治理设施升级改造与清洁低碳改造仍有较大差距。</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（3）基础设施不完善</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园区内各类市政基础设施无法满足远期发展需求。由于园区区块分散，集中供热、集中供气、中水回用等配套设施滞后；生产生活水资源存在浪费现象，工业用水重复率低；污水厂不能满足园区远期发展规划，处理设施匮乏；现状供电系统未能满足双源，无法保障园区生产和生活的供电安全；园区企业分散式供热利用率低，增加大气污染排放；园区内固体废弃物和生活垃圾缺少分类措施。</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（4）绿色低碳转型压力较大</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同时，“十四五”时期，国家将实行更加严格的生态环境保护、能源消耗和水资源管理等政策要求，持续落实“三线一单”制度，统筹推进水资源、水生态、水环境治理保护，对生产生活方式绿色转型、能源资源合理配置提出了更高要求。特别是我国“3060”碳达峰碳中和目标以及宁夏</w:t>
      </w:r>
      <w:r>
        <w:rPr>
          <w:rFonts w:hint="eastAsia" w:ascii="仿宋_GB2312" w:hAnsi="黑体" w:eastAsia="仿宋_GB2312"/>
          <w:sz w:val="28"/>
          <w:szCs w:val="28"/>
          <w:lang w:val="en-US" w:eastAsia="zh-CN"/>
        </w:rPr>
        <w:t>回族</w:t>
      </w:r>
      <w:r>
        <w:rPr>
          <w:rFonts w:hint="eastAsia" w:ascii="仿宋_GB2312" w:hAnsi="黑体" w:eastAsia="仿宋_GB2312"/>
          <w:sz w:val="28"/>
          <w:szCs w:val="28"/>
        </w:rPr>
        <w:t>自治区2025年用煤指标达峰目标的提出，今后一个时期里，园区产业在资源节约集约利用、二氧化碳减排等方面压力巨大、任务繁重。</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5.2.4水资源短缺，生态环境脆弱</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自然条件先天不足，干旱和水资源短缺是本地区主要的环境特征。盐池地处我国半干旱</w:t>
      </w:r>
      <w:r>
        <w:rPr>
          <w:rFonts w:hint="eastAsia" w:ascii="仿宋_GB2312" w:hAnsi="黑体" w:eastAsia="仿宋_GB2312"/>
          <w:sz w:val="28"/>
          <w:szCs w:val="28"/>
          <w:lang w:eastAsia="zh-CN"/>
        </w:rPr>
        <w:t>—</w:t>
      </w:r>
      <w:r>
        <w:rPr>
          <w:rFonts w:hint="eastAsia" w:ascii="仿宋_GB2312" w:hAnsi="黑体" w:eastAsia="仿宋_GB2312"/>
          <w:sz w:val="28"/>
          <w:szCs w:val="28"/>
        </w:rPr>
        <w:t>干旱区的过渡地带，在自然环境上属于北方农牧交错的生态脆弱带组成部分，自然条件差，水土流失，土地沙化与干旱非常严重。盐池中部为干草原，北部为半荒漠，植被类型为荒漠草原，旱生、沙生是其主要特征，水资源贫乏，地表水分布少，水量小，水质差；地下浅层水分布较广，但大多矿化度高，水质差，深层水埋藏深且分布不均匀。</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资源能源约束持续趋紧，水资源短缺对经济社会发展的约束日益趋紧，土地资源利用仍较为粗放，单位建设用地国内生产总值低于全国平均水平，能源综合利用效率不高，万元国内生产总值能耗远高于全国平均水平。</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5.2.5经济规模总量偏低，生态环境保护投入不足</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由于地方财力有限，全县生态环境保护投入主要依靠争取国家和自治区环保专项资金，本级财政投入不足。全县50%税源来自石油、天然气及煤炭开采企业，缺乏稳定的优质税源，税收收入可挖潜的空间非常有限，经济规模总量偏低，环境基础设施建设等投入不足。</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5.2.6高新技术缺乏</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盐池县产业发展仍以传统产业为主，高新技术企业引进较困难，高新技术含量不高。科技含量高、市场前景好、产业链条长的新能源、新材料、大数据、云计算、人工智能、节能环保、电子信息等战略性新兴产业发展不足，产业结构调整优化和新旧动能转化的任务艰巨。</w:t>
      </w: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pStyle w:val="2"/>
        <w:adjustRightInd w:val="0"/>
        <w:snapToGrid w:val="0"/>
        <w:spacing w:before="240" w:after="240" w:line="360" w:lineRule="auto"/>
        <w:rPr>
          <w:rFonts w:ascii="黑体" w:hAnsi="黑体" w:eastAsia="黑体"/>
          <w:sz w:val="32"/>
          <w:szCs w:val="32"/>
        </w:rPr>
      </w:pPr>
      <w:bookmarkStart w:id="19" w:name="_Toc111980878"/>
      <w:r>
        <w:rPr>
          <w:rFonts w:hint="eastAsia" w:ascii="黑体" w:hAnsi="黑体" w:eastAsia="黑体"/>
          <w:sz w:val="32"/>
          <w:szCs w:val="32"/>
        </w:rPr>
        <w:t>6趋势预测和生态承载力分析</w:t>
      </w:r>
      <w:bookmarkEnd w:id="19"/>
    </w:p>
    <w:p>
      <w:pPr>
        <w:pStyle w:val="3"/>
        <w:adjustRightInd w:val="0"/>
        <w:snapToGrid w:val="0"/>
        <w:spacing w:before="120" w:after="120" w:line="360" w:lineRule="auto"/>
        <w:rPr>
          <w:rFonts w:ascii="黑体" w:hAnsi="黑体" w:eastAsia="黑体"/>
          <w:kern w:val="0"/>
          <w:sz w:val="30"/>
          <w:szCs w:val="30"/>
        </w:rPr>
      </w:pPr>
      <w:bookmarkStart w:id="20" w:name="_Toc111980879"/>
      <w:bookmarkStart w:id="21" w:name="_Toc98769853"/>
      <w:bookmarkStart w:id="22" w:name="_Toc101284744"/>
      <w:r>
        <w:rPr>
          <w:rFonts w:hint="eastAsia" w:ascii="黑体" w:hAnsi="黑体" w:eastAsia="黑体"/>
          <w:kern w:val="0"/>
          <w:sz w:val="30"/>
          <w:szCs w:val="30"/>
        </w:rPr>
        <w:t>6.1经济社会发展趋势预测</w:t>
      </w:r>
      <w:bookmarkEnd w:id="20"/>
      <w:bookmarkEnd w:id="21"/>
      <w:bookmarkEnd w:id="22"/>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（1）经济发展预测</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盐池县近年来经济发展持续加快，2016-2021年GDP总量持续增长，由2016年的69.61亿元增加到2021年的162.98亿元，“十三五”期间GDP增长45.79亿元，年均增长9.8%，具体见表6-1。</w:t>
      </w:r>
    </w:p>
    <w:p>
      <w:pPr>
        <w:adjustRightInd w:val="0"/>
        <w:snapToGrid w:val="0"/>
        <w:spacing w:line="360" w:lineRule="auto"/>
        <w:jc w:val="center"/>
        <w:rPr>
          <w:rFonts w:ascii="Times New Roman" w:hAnsi="Times New Roman"/>
          <w:b/>
        </w:rPr>
      </w:pPr>
      <w:r>
        <w:rPr>
          <w:rFonts w:ascii="Times New Roman" w:hAnsi="Times New Roman"/>
          <w:b/>
        </w:rPr>
        <w:t>表</w:t>
      </w:r>
      <w:r>
        <w:rPr>
          <w:rFonts w:hint="eastAsia" w:ascii="Times New Roman" w:hAnsi="Times New Roman"/>
          <w:b/>
        </w:rPr>
        <w:t>6</w:t>
      </w:r>
      <w:r>
        <w:rPr>
          <w:rFonts w:ascii="Times New Roman" w:hAnsi="Times New Roman"/>
          <w:b/>
        </w:rPr>
        <w:t>-1   盐池县地区总值变化趋势</w:t>
      </w:r>
    </w:p>
    <w:tbl>
      <w:tblPr>
        <w:tblStyle w:val="14"/>
        <w:tblW w:w="8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2"/>
        <w:gridCol w:w="3260"/>
        <w:gridCol w:w="3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2" w:type="dxa"/>
            <w:vAlign w:val="center"/>
          </w:tcPr>
          <w:p>
            <w:pPr>
              <w:jc w:val="center"/>
              <w:rPr>
                <w:rFonts w:ascii="Times New Roman" w:hAnsi="Times New Roman"/>
                <w:b/>
                <w:bCs/>
                <w:szCs w:val="21"/>
              </w:rPr>
            </w:pPr>
            <w:r>
              <w:rPr>
                <w:rFonts w:ascii="Times New Roman" w:hAnsi="Times New Roman"/>
                <w:b/>
                <w:bCs/>
                <w:szCs w:val="21"/>
              </w:rPr>
              <w:t>年度</w:t>
            </w:r>
          </w:p>
        </w:tc>
        <w:tc>
          <w:tcPr>
            <w:tcW w:w="3260" w:type="dxa"/>
            <w:vAlign w:val="center"/>
          </w:tcPr>
          <w:p>
            <w:pPr>
              <w:jc w:val="center"/>
              <w:rPr>
                <w:rFonts w:ascii="Times New Roman" w:hAnsi="Times New Roman"/>
                <w:b/>
                <w:bCs/>
                <w:szCs w:val="21"/>
              </w:rPr>
            </w:pPr>
            <w:r>
              <w:rPr>
                <w:rFonts w:ascii="Times New Roman" w:hAnsi="Times New Roman"/>
                <w:b/>
                <w:bCs/>
                <w:szCs w:val="21"/>
              </w:rPr>
              <w:t>地区生产总值（</w:t>
            </w:r>
            <w:r>
              <w:rPr>
                <w:rFonts w:hint="eastAsia" w:ascii="Times New Roman" w:hAnsi="Times New Roman"/>
                <w:b/>
                <w:bCs/>
                <w:szCs w:val="21"/>
              </w:rPr>
              <w:t>GDP</w:t>
            </w:r>
            <w:r>
              <w:rPr>
                <w:rFonts w:ascii="Times New Roman" w:hAnsi="Times New Roman"/>
                <w:b/>
                <w:bCs/>
                <w:szCs w:val="21"/>
              </w:rPr>
              <w:t>）</w:t>
            </w:r>
            <w:r>
              <w:rPr>
                <w:rFonts w:hint="eastAsia" w:ascii="Times New Roman" w:hAnsi="Times New Roman"/>
                <w:b/>
                <w:bCs/>
                <w:szCs w:val="21"/>
              </w:rPr>
              <w:t>/亿元</w:t>
            </w:r>
          </w:p>
        </w:tc>
        <w:tc>
          <w:tcPr>
            <w:tcW w:w="3010" w:type="dxa"/>
            <w:vAlign w:val="center"/>
          </w:tcPr>
          <w:p>
            <w:pPr>
              <w:jc w:val="center"/>
              <w:rPr>
                <w:rFonts w:ascii="Times New Roman" w:hAnsi="Times New Roman"/>
                <w:b/>
                <w:bCs/>
                <w:szCs w:val="21"/>
              </w:rPr>
            </w:pPr>
            <w:r>
              <w:rPr>
                <w:rFonts w:ascii="Times New Roman" w:hAnsi="Times New Roman"/>
                <w:b/>
                <w:bCs/>
                <w:szCs w:val="21"/>
              </w:rPr>
              <w:t>增速（%）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2" w:type="dxa"/>
            <w:vAlign w:val="center"/>
          </w:tcPr>
          <w:p>
            <w:pPr>
              <w:jc w:val="center"/>
              <w:rPr>
                <w:rFonts w:ascii="Times New Roman" w:hAnsi="Times New Roman"/>
                <w:bCs/>
                <w:szCs w:val="21"/>
              </w:rPr>
            </w:pPr>
            <w:r>
              <w:rPr>
                <w:rFonts w:hint="eastAsia" w:ascii="Times New Roman" w:hAnsi="Times New Roman"/>
                <w:bCs/>
                <w:szCs w:val="21"/>
              </w:rPr>
              <w:t>2016</w:t>
            </w:r>
          </w:p>
        </w:tc>
        <w:tc>
          <w:tcPr>
            <w:tcW w:w="3260" w:type="dxa"/>
            <w:vAlign w:val="center"/>
          </w:tcPr>
          <w:p>
            <w:pPr>
              <w:jc w:val="center"/>
              <w:rPr>
                <w:rFonts w:ascii="Times New Roman" w:hAnsi="Times New Roman"/>
                <w:bCs/>
                <w:szCs w:val="21"/>
              </w:rPr>
            </w:pPr>
            <w:r>
              <w:rPr>
                <w:rFonts w:hint="eastAsia" w:ascii="Times New Roman" w:hAnsi="Times New Roman"/>
                <w:bCs/>
                <w:szCs w:val="21"/>
              </w:rPr>
              <w:t>69.61</w:t>
            </w:r>
          </w:p>
        </w:tc>
        <w:tc>
          <w:tcPr>
            <w:tcW w:w="3010" w:type="dxa"/>
            <w:vAlign w:val="center"/>
          </w:tcPr>
          <w:p>
            <w:pPr>
              <w:jc w:val="center"/>
              <w:rPr>
                <w:rFonts w:ascii="Times New Roman" w:hAnsi="Times New Roman"/>
                <w:bCs/>
                <w:szCs w:val="21"/>
              </w:rPr>
            </w:pPr>
            <w:r>
              <w:rPr>
                <w:rFonts w:hint="eastAsia" w:ascii="Times New Roman" w:hAnsi="Times New Roman"/>
                <w:bCs/>
                <w:szCs w:val="21"/>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2" w:type="dxa"/>
            <w:vAlign w:val="center"/>
          </w:tcPr>
          <w:p>
            <w:pPr>
              <w:jc w:val="center"/>
              <w:rPr>
                <w:rFonts w:ascii="Times New Roman" w:hAnsi="Times New Roman"/>
                <w:bCs/>
                <w:szCs w:val="21"/>
              </w:rPr>
            </w:pPr>
            <w:r>
              <w:rPr>
                <w:rFonts w:hint="eastAsia" w:ascii="Times New Roman" w:hAnsi="Times New Roman"/>
                <w:bCs/>
                <w:szCs w:val="21"/>
              </w:rPr>
              <w:t>2017</w:t>
            </w:r>
          </w:p>
        </w:tc>
        <w:tc>
          <w:tcPr>
            <w:tcW w:w="3260" w:type="dxa"/>
            <w:vAlign w:val="center"/>
          </w:tcPr>
          <w:p>
            <w:pPr>
              <w:jc w:val="center"/>
              <w:rPr>
                <w:rFonts w:ascii="Times New Roman" w:hAnsi="Times New Roman"/>
                <w:bCs/>
                <w:szCs w:val="21"/>
              </w:rPr>
            </w:pPr>
            <w:r>
              <w:rPr>
                <w:rFonts w:hint="eastAsia" w:ascii="Times New Roman" w:hAnsi="Times New Roman"/>
                <w:bCs/>
                <w:szCs w:val="21"/>
              </w:rPr>
              <w:t>83.39</w:t>
            </w:r>
          </w:p>
        </w:tc>
        <w:tc>
          <w:tcPr>
            <w:tcW w:w="3010" w:type="dxa"/>
            <w:vAlign w:val="center"/>
          </w:tcPr>
          <w:p>
            <w:pPr>
              <w:jc w:val="center"/>
              <w:rPr>
                <w:rFonts w:ascii="Times New Roman" w:hAnsi="Times New Roman"/>
                <w:bCs/>
                <w:szCs w:val="21"/>
              </w:rPr>
            </w:pPr>
            <w:r>
              <w:rPr>
                <w:rFonts w:hint="eastAsia" w:ascii="Times New Roman" w:hAnsi="Times New Roman"/>
                <w:bCs/>
                <w:szCs w:val="21"/>
              </w:rPr>
              <w:t>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2" w:type="dxa"/>
            <w:vAlign w:val="center"/>
          </w:tcPr>
          <w:p>
            <w:pPr>
              <w:jc w:val="center"/>
              <w:rPr>
                <w:rFonts w:ascii="Times New Roman" w:hAnsi="Times New Roman"/>
                <w:bCs/>
                <w:szCs w:val="21"/>
              </w:rPr>
            </w:pPr>
            <w:r>
              <w:rPr>
                <w:rFonts w:hint="eastAsia" w:ascii="Times New Roman" w:hAnsi="Times New Roman"/>
                <w:bCs/>
                <w:szCs w:val="21"/>
              </w:rPr>
              <w:t>2018</w:t>
            </w:r>
          </w:p>
        </w:tc>
        <w:tc>
          <w:tcPr>
            <w:tcW w:w="3260" w:type="dxa"/>
            <w:vAlign w:val="center"/>
          </w:tcPr>
          <w:p>
            <w:pPr>
              <w:jc w:val="center"/>
              <w:rPr>
                <w:rFonts w:ascii="Times New Roman" w:hAnsi="Times New Roman"/>
                <w:bCs/>
                <w:szCs w:val="21"/>
              </w:rPr>
            </w:pPr>
            <w:r>
              <w:rPr>
                <w:rFonts w:hint="eastAsia" w:ascii="Times New Roman" w:hAnsi="Times New Roman"/>
                <w:bCs/>
                <w:szCs w:val="21"/>
              </w:rPr>
              <w:t>99.72</w:t>
            </w:r>
          </w:p>
        </w:tc>
        <w:tc>
          <w:tcPr>
            <w:tcW w:w="3010" w:type="dxa"/>
            <w:vAlign w:val="center"/>
          </w:tcPr>
          <w:p>
            <w:pPr>
              <w:jc w:val="center"/>
              <w:rPr>
                <w:rFonts w:ascii="Times New Roman" w:hAnsi="Times New Roman"/>
                <w:bCs/>
                <w:szCs w:val="21"/>
              </w:rPr>
            </w:pPr>
            <w:r>
              <w:rPr>
                <w:rFonts w:hint="eastAsia" w:ascii="Times New Roman" w:hAnsi="Times New Roman"/>
                <w:bCs/>
                <w:szCs w:val="21"/>
              </w:rPr>
              <w:t>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2" w:type="dxa"/>
            <w:vAlign w:val="center"/>
          </w:tcPr>
          <w:p>
            <w:pPr>
              <w:jc w:val="center"/>
              <w:rPr>
                <w:rFonts w:ascii="Times New Roman" w:hAnsi="Times New Roman"/>
                <w:bCs/>
                <w:szCs w:val="21"/>
              </w:rPr>
            </w:pPr>
            <w:r>
              <w:rPr>
                <w:rFonts w:hint="eastAsia" w:ascii="Times New Roman" w:hAnsi="Times New Roman"/>
                <w:bCs/>
                <w:szCs w:val="21"/>
              </w:rPr>
              <w:t>2019</w:t>
            </w:r>
          </w:p>
        </w:tc>
        <w:tc>
          <w:tcPr>
            <w:tcW w:w="3260" w:type="dxa"/>
            <w:vAlign w:val="center"/>
          </w:tcPr>
          <w:p>
            <w:pPr>
              <w:jc w:val="center"/>
              <w:rPr>
                <w:rFonts w:ascii="Times New Roman" w:hAnsi="Times New Roman"/>
                <w:bCs/>
                <w:szCs w:val="21"/>
              </w:rPr>
            </w:pPr>
            <w:r>
              <w:rPr>
                <w:rFonts w:hint="eastAsia" w:ascii="Times New Roman" w:hAnsi="Times New Roman"/>
                <w:bCs/>
                <w:szCs w:val="21"/>
              </w:rPr>
              <w:t>105.64</w:t>
            </w:r>
          </w:p>
        </w:tc>
        <w:tc>
          <w:tcPr>
            <w:tcW w:w="3010" w:type="dxa"/>
            <w:vAlign w:val="center"/>
          </w:tcPr>
          <w:p>
            <w:pPr>
              <w:jc w:val="center"/>
              <w:rPr>
                <w:rFonts w:ascii="Times New Roman" w:hAnsi="Times New Roman"/>
                <w:bCs/>
                <w:szCs w:val="21"/>
              </w:rPr>
            </w:pPr>
            <w:r>
              <w:rPr>
                <w:rFonts w:hint="eastAsia" w:ascii="Times New Roman" w:hAnsi="Times New Roman"/>
                <w:bCs/>
                <w:szCs w:val="21"/>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2" w:type="dxa"/>
            <w:vAlign w:val="center"/>
          </w:tcPr>
          <w:p>
            <w:pPr>
              <w:jc w:val="center"/>
              <w:rPr>
                <w:rFonts w:ascii="Times New Roman" w:hAnsi="Times New Roman"/>
                <w:bCs/>
                <w:szCs w:val="21"/>
              </w:rPr>
            </w:pPr>
            <w:r>
              <w:rPr>
                <w:rFonts w:hint="eastAsia" w:ascii="Times New Roman" w:hAnsi="Times New Roman"/>
                <w:bCs/>
                <w:szCs w:val="21"/>
              </w:rPr>
              <w:t>2020</w:t>
            </w:r>
          </w:p>
        </w:tc>
        <w:tc>
          <w:tcPr>
            <w:tcW w:w="3260" w:type="dxa"/>
            <w:vAlign w:val="center"/>
          </w:tcPr>
          <w:p>
            <w:pPr>
              <w:jc w:val="center"/>
              <w:rPr>
                <w:rFonts w:ascii="Times New Roman" w:hAnsi="Times New Roman"/>
                <w:bCs/>
                <w:szCs w:val="21"/>
              </w:rPr>
            </w:pPr>
            <w:r>
              <w:rPr>
                <w:rFonts w:hint="eastAsia" w:ascii="Times New Roman" w:hAnsi="Times New Roman"/>
                <w:bCs/>
                <w:szCs w:val="21"/>
              </w:rPr>
              <w:t>115.40</w:t>
            </w:r>
          </w:p>
        </w:tc>
        <w:tc>
          <w:tcPr>
            <w:tcW w:w="3010" w:type="dxa"/>
            <w:vAlign w:val="center"/>
          </w:tcPr>
          <w:p>
            <w:pPr>
              <w:jc w:val="center"/>
              <w:rPr>
                <w:rFonts w:ascii="Times New Roman" w:hAnsi="Times New Roman"/>
                <w:bCs/>
                <w:szCs w:val="21"/>
              </w:rPr>
            </w:pPr>
            <w:r>
              <w:rPr>
                <w:rFonts w:hint="eastAsia" w:ascii="Times New Roman" w:hAnsi="Times New Roman"/>
                <w:bCs/>
                <w:szCs w:val="21"/>
              </w:rPr>
              <w:t>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2" w:type="dxa"/>
            <w:vAlign w:val="center"/>
          </w:tcPr>
          <w:p>
            <w:pPr>
              <w:jc w:val="center"/>
              <w:rPr>
                <w:rFonts w:ascii="Times New Roman" w:hAnsi="Times New Roman"/>
                <w:bCs/>
                <w:szCs w:val="21"/>
              </w:rPr>
            </w:pPr>
            <w:r>
              <w:rPr>
                <w:rFonts w:hint="eastAsia" w:ascii="Times New Roman" w:hAnsi="Times New Roman"/>
                <w:bCs/>
                <w:szCs w:val="21"/>
              </w:rPr>
              <w:t>2021</w:t>
            </w:r>
          </w:p>
        </w:tc>
        <w:tc>
          <w:tcPr>
            <w:tcW w:w="3260" w:type="dxa"/>
            <w:vAlign w:val="center"/>
          </w:tcPr>
          <w:p>
            <w:pPr>
              <w:jc w:val="center"/>
              <w:rPr>
                <w:rFonts w:ascii="Times New Roman" w:hAnsi="Times New Roman"/>
                <w:bCs/>
                <w:szCs w:val="21"/>
              </w:rPr>
            </w:pPr>
            <w:r>
              <w:rPr>
                <w:rFonts w:hint="eastAsia" w:ascii="Times New Roman" w:hAnsi="Times New Roman"/>
                <w:bCs/>
                <w:szCs w:val="21"/>
              </w:rPr>
              <w:t>162.98</w:t>
            </w:r>
          </w:p>
        </w:tc>
        <w:tc>
          <w:tcPr>
            <w:tcW w:w="3010" w:type="dxa"/>
            <w:vAlign w:val="center"/>
          </w:tcPr>
          <w:p>
            <w:pPr>
              <w:jc w:val="center"/>
              <w:rPr>
                <w:rFonts w:ascii="Times New Roman" w:hAnsi="Times New Roman"/>
                <w:bCs/>
                <w:szCs w:val="21"/>
              </w:rPr>
            </w:pPr>
            <w:r>
              <w:rPr>
                <w:rFonts w:hint="eastAsia" w:ascii="Times New Roman" w:hAnsi="Times New Roman"/>
                <w:bCs/>
                <w:szCs w:val="21"/>
              </w:rPr>
              <w:t>8.8</w:t>
            </w:r>
          </w:p>
        </w:tc>
      </w:tr>
    </w:tbl>
    <w:p>
      <w:pPr>
        <w:adjustRightInd w:val="0"/>
        <w:snapToGrid w:val="0"/>
        <w:spacing w:line="360" w:lineRule="auto"/>
        <w:ind w:firstLine="560" w:firstLineChars="200"/>
        <w:rPr>
          <w:rFonts w:ascii="仿宋_GB2312" w:eastAsia="仿宋_GB2312"/>
          <w:sz w:val="28"/>
          <w:szCs w:val="28"/>
        </w:rPr>
      </w:pP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根据《盐池县国民经济和社会发展第十四个五年规划和二○三五年远景目标纲要》，“十四五”期间，盐池县地区生产总值年均增长8%左右，预测到2025年地区生产总值达到221.73亿元。</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（2）产业发展预测</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2021年</w:t>
      </w:r>
      <w:r>
        <w:rPr>
          <w:rFonts w:ascii="仿宋_GB2312" w:hAnsi="宋体" w:eastAsia="仿宋_GB2312" w:cs="宋体"/>
          <w:kern w:val="0"/>
          <w:sz w:val="28"/>
          <w:szCs w:val="28"/>
        </w:rPr>
        <w:t>，盐池县</w:t>
      </w:r>
      <w:r>
        <w:rPr>
          <w:rFonts w:hint="eastAsia" w:ascii="仿宋_GB2312" w:eastAsia="仿宋_GB2312"/>
          <w:sz w:val="28"/>
          <w:szCs w:val="28"/>
        </w:rPr>
        <w:t>第一产业实现增加值119676万元，增长8.3%；第二产业实现增加值1036305万元，增长8.7%；第三产业实现增加值473808万元，增长9.1%。从三次产业的构成看，三次产业增加值结构由上年的8.6：53.7：37.7调整为7.3：63.6：29.1。第一产业比重下降1.3个百分点，第二产业比重上升9.9个百分点，第三产业比重下降8.6个百分点。从三次产业的贡献拉动来看，一、二、三产业对经济增长的贡献率为7.3%、59.6%、33.1%，一产拉动经济增长0.6个百分点，二产拉动经济增长5.3个百分点，三产拉动经济增长2.9个百分点。</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十四五”期间，第一产业将聚焦建设高质量的“1+4+X”特色产业体系；第二产业坚持高端化、智能化、绿色化、融合化发展方向，构建绿色、低碳、循环发展的新型工业体系，完成规模以上工业总产值240亿元，工业增加值年均增长11%；第三产业坚持紧跟消费需求、紧贴生产需要，推进服务标准化、品牌化建设，扩大服务业规模，提升服务业质量，促进服务业提档升级，服务业增加值占GDP比重达到45%以上。</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⑶人口发展趋势</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2016-2020年盐池县户籍人口从16.82万人增加到17.28万人，基本维持稳定，常住人口由15.57万人增加到15.92万人，变化情况见表6-2。</w:t>
      </w:r>
    </w:p>
    <w:p>
      <w:pPr>
        <w:adjustRightInd w:val="0"/>
        <w:snapToGrid w:val="0"/>
        <w:spacing w:line="360" w:lineRule="auto"/>
        <w:jc w:val="center"/>
        <w:rPr>
          <w:rFonts w:ascii="Times New Roman" w:hAnsi="Times New Roman"/>
          <w:b/>
        </w:rPr>
      </w:pPr>
      <w:r>
        <w:rPr>
          <w:rFonts w:hint="eastAsia" w:ascii="Times New Roman" w:hAnsi="Times New Roman"/>
          <w:b/>
        </w:rPr>
        <w:t>表6-2</w:t>
      </w:r>
      <w:r>
        <w:rPr>
          <w:rFonts w:ascii="Times New Roman" w:hAnsi="Times New Roman"/>
          <w:b/>
        </w:rPr>
        <w:t xml:space="preserve">   </w:t>
      </w:r>
      <w:r>
        <w:rPr>
          <w:rFonts w:hint="eastAsia" w:ascii="Times New Roman" w:hAnsi="Times New Roman"/>
          <w:b/>
        </w:rPr>
        <w:t>盐池县2016-2020年人口变化情况（单位：万人）</w:t>
      </w:r>
    </w:p>
    <w:tbl>
      <w:tblPr>
        <w:tblStyle w:val="14"/>
        <w:tblW w:w="807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18"/>
        <w:gridCol w:w="1815"/>
        <w:gridCol w:w="1871"/>
        <w:gridCol w:w="1984"/>
        <w:gridCol w:w="148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8" w:type="dxa"/>
            <w:vAlign w:val="center"/>
          </w:tcPr>
          <w:p>
            <w:pPr>
              <w:jc w:val="center"/>
              <w:rPr>
                <w:rFonts w:ascii="Times New Roman" w:hAnsi="Times New Roman"/>
                <w:b/>
                <w:bCs/>
                <w:szCs w:val="21"/>
              </w:rPr>
            </w:pPr>
            <w:r>
              <w:rPr>
                <w:rFonts w:ascii="Times New Roman" w:hAnsi="Times New Roman"/>
                <w:b/>
                <w:bCs/>
                <w:szCs w:val="21"/>
              </w:rPr>
              <w:t>年度</w:t>
            </w:r>
          </w:p>
        </w:tc>
        <w:tc>
          <w:tcPr>
            <w:tcW w:w="1815" w:type="dxa"/>
            <w:vAlign w:val="center"/>
          </w:tcPr>
          <w:p>
            <w:pPr>
              <w:jc w:val="center"/>
              <w:rPr>
                <w:rFonts w:ascii="Times New Roman" w:hAnsi="Times New Roman"/>
                <w:b/>
                <w:bCs/>
                <w:szCs w:val="21"/>
              </w:rPr>
            </w:pPr>
            <w:r>
              <w:rPr>
                <w:rFonts w:ascii="Times New Roman" w:hAnsi="Times New Roman"/>
                <w:b/>
                <w:bCs/>
                <w:szCs w:val="21"/>
              </w:rPr>
              <w:t>户籍人口</w:t>
            </w:r>
          </w:p>
        </w:tc>
        <w:tc>
          <w:tcPr>
            <w:tcW w:w="1871" w:type="dxa"/>
            <w:vAlign w:val="center"/>
          </w:tcPr>
          <w:p>
            <w:pPr>
              <w:jc w:val="center"/>
              <w:rPr>
                <w:rFonts w:ascii="Times New Roman" w:hAnsi="Times New Roman"/>
                <w:b/>
                <w:bCs/>
                <w:szCs w:val="21"/>
              </w:rPr>
            </w:pPr>
            <w:r>
              <w:rPr>
                <w:rFonts w:ascii="Times New Roman" w:hAnsi="Times New Roman"/>
                <w:b/>
                <w:bCs/>
                <w:szCs w:val="21"/>
              </w:rPr>
              <w:t>常住人口</w:t>
            </w:r>
          </w:p>
        </w:tc>
        <w:tc>
          <w:tcPr>
            <w:tcW w:w="1984" w:type="dxa"/>
            <w:vAlign w:val="center"/>
          </w:tcPr>
          <w:p>
            <w:pPr>
              <w:jc w:val="center"/>
              <w:rPr>
                <w:rFonts w:ascii="Times New Roman" w:hAnsi="Times New Roman"/>
                <w:b/>
                <w:bCs/>
                <w:szCs w:val="21"/>
              </w:rPr>
            </w:pPr>
            <w:r>
              <w:rPr>
                <w:rFonts w:ascii="Times New Roman" w:hAnsi="Times New Roman"/>
                <w:b/>
                <w:bCs/>
                <w:szCs w:val="21"/>
              </w:rPr>
              <w:t>人口自然增长率</w:t>
            </w:r>
            <w:r>
              <w:rPr>
                <w:rFonts w:hint="eastAsia" w:ascii="Times New Roman" w:hAnsi="Times New Roman"/>
                <w:b/>
                <w:bCs/>
                <w:szCs w:val="21"/>
              </w:rPr>
              <w:t>‰</w:t>
            </w:r>
          </w:p>
        </w:tc>
        <w:tc>
          <w:tcPr>
            <w:tcW w:w="1484" w:type="dxa"/>
            <w:vAlign w:val="center"/>
          </w:tcPr>
          <w:p>
            <w:pPr>
              <w:jc w:val="center"/>
              <w:rPr>
                <w:rFonts w:ascii="Times New Roman" w:hAnsi="Times New Roman"/>
                <w:b/>
                <w:bCs/>
                <w:szCs w:val="21"/>
              </w:rPr>
            </w:pPr>
            <w:r>
              <w:rPr>
                <w:rFonts w:ascii="Times New Roman" w:hAnsi="Times New Roman"/>
                <w:b/>
                <w:bCs/>
                <w:szCs w:val="21"/>
              </w:rPr>
              <w:t>城镇化率%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8" w:type="dxa"/>
            <w:vAlign w:val="center"/>
          </w:tcPr>
          <w:p>
            <w:pPr>
              <w:jc w:val="center"/>
              <w:rPr>
                <w:rFonts w:ascii="Times New Roman" w:hAnsi="Times New Roman"/>
                <w:bCs/>
                <w:szCs w:val="21"/>
              </w:rPr>
            </w:pPr>
            <w:r>
              <w:rPr>
                <w:rFonts w:hint="eastAsia" w:ascii="Times New Roman" w:hAnsi="Times New Roman"/>
                <w:bCs/>
                <w:szCs w:val="21"/>
              </w:rPr>
              <w:t>2016</w:t>
            </w:r>
          </w:p>
        </w:tc>
        <w:tc>
          <w:tcPr>
            <w:tcW w:w="1815" w:type="dxa"/>
            <w:vAlign w:val="center"/>
          </w:tcPr>
          <w:p>
            <w:pPr>
              <w:jc w:val="center"/>
              <w:rPr>
                <w:rFonts w:ascii="Times New Roman" w:hAnsi="Times New Roman"/>
                <w:bCs/>
                <w:szCs w:val="21"/>
              </w:rPr>
            </w:pPr>
            <w:r>
              <w:rPr>
                <w:rFonts w:hint="eastAsia" w:ascii="Times New Roman" w:hAnsi="Times New Roman"/>
                <w:bCs/>
                <w:szCs w:val="21"/>
              </w:rPr>
              <w:t>16.82</w:t>
            </w:r>
          </w:p>
        </w:tc>
        <w:tc>
          <w:tcPr>
            <w:tcW w:w="1871" w:type="dxa"/>
            <w:vAlign w:val="center"/>
          </w:tcPr>
          <w:p>
            <w:pPr>
              <w:jc w:val="center"/>
              <w:rPr>
                <w:rFonts w:ascii="Times New Roman" w:hAnsi="Times New Roman"/>
                <w:bCs/>
                <w:szCs w:val="21"/>
              </w:rPr>
            </w:pPr>
            <w:r>
              <w:rPr>
                <w:rFonts w:hint="eastAsia" w:ascii="Times New Roman" w:hAnsi="Times New Roman"/>
                <w:bCs/>
                <w:szCs w:val="21"/>
              </w:rPr>
              <w:t>15.57</w:t>
            </w:r>
          </w:p>
        </w:tc>
        <w:tc>
          <w:tcPr>
            <w:tcW w:w="1984" w:type="dxa"/>
            <w:vAlign w:val="center"/>
          </w:tcPr>
          <w:p>
            <w:pPr>
              <w:jc w:val="center"/>
              <w:rPr>
                <w:rFonts w:ascii="Times New Roman" w:hAnsi="Times New Roman"/>
                <w:bCs/>
                <w:szCs w:val="21"/>
              </w:rPr>
            </w:pPr>
            <w:r>
              <w:rPr>
                <w:rFonts w:hint="eastAsia" w:ascii="Times New Roman" w:hAnsi="Times New Roman"/>
                <w:bCs/>
                <w:szCs w:val="21"/>
              </w:rPr>
              <w:t>8.59</w:t>
            </w:r>
          </w:p>
        </w:tc>
        <w:tc>
          <w:tcPr>
            <w:tcW w:w="1484" w:type="dxa"/>
            <w:vAlign w:val="center"/>
          </w:tcPr>
          <w:p>
            <w:pPr>
              <w:jc w:val="center"/>
              <w:rPr>
                <w:rFonts w:ascii="Times New Roman" w:hAnsi="Times New Roman"/>
                <w:bCs/>
                <w:szCs w:val="21"/>
              </w:rPr>
            </w:pPr>
            <w:r>
              <w:rPr>
                <w:rFonts w:hint="eastAsia" w:ascii="Times New Roman" w:hAnsi="Times New Roman"/>
                <w:bCs/>
                <w:szCs w:val="21"/>
              </w:rPr>
              <w:t>45.03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8" w:type="dxa"/>
            <w:vAlign w:val="center"/>
          </w:tcPr>
          <w:p>
            <w:pPr>
              <w:jc w:val="center"/>
              <w:rPr>
                <w:rFonts w:ascii="Times New Roman" w:hAnsi="Times New Roman"/>
                <w:bCs/>
                <w:szCs w:val="21"/>
              </w:rPr>
            </w:pPr>
            <w:r>
              <w:rPr>
                <w:rFonts w:hint="eastAsia" w:ascii="Times New Roman" w:hAnsi="Times New Roman"/>
                <w:bCs/>
                <w:szCs w:val="21"/>
              </w:rPr>
              <w:t>2017</w:t>
            </w:r>
          </w:p>
        </w:tc>
        <w:tc>
          <w:tcPr>
            <w:tcW w:w="1815" w:type="dxa"/>
            <w:vAlign w:val="center"/>
          </w:tcPr>
          <w:p>
            <w:pPr>
              <w:jc w:val="center"/>
              <w:rPr>
                <w:rFonts w:ascii="Times New Roman" w:hAnsi="Times New Roman"/>
                <w:bCs/>
                <w:szCs w:val="21"/>
              </w:rPr>
            </w:pPr>
            <w:r>
              <w:rPr>
                <w:rFonts w:hint="eastAsia" w:ascii="Times New Roman" w:hAnsi="Times New Roman"/>
                <w:bCs/>
                <w:szCs w:val="21"/>
              </w:rPr>
              <w:t>16.97</w:t>
            </w:r>
          </w:p>
        </w:tc>
        <w:tc>
          <w:tcPr>
            <w:tcW w:w="1871" w:type="dxa"/>
            <w:vAlign w:val="center"/>
          </w:tcPr>
          <w:p>
            <w:pPr>
              <w:jc w:val="center"/>
              <w:rPr>
                <w:rFonts w:ascii="Times New Roman" w:hAnsi="Times New Roman"/>
                <w:bCs/>
                <w:szCs w:val="21"/>
              </w:rPr>
            </w:pPr>
            <w:r>
              <w:rPr>
                <w:rFonts w:hint="eastAsia" w:ascii="Times New Roman" w:hAnsi="Times New Roman"/>
                <w:bCs/>
                <w:szCs w:val="21"/>
              </w:rPr>
              <w:t>15.74</w:t>
            </w:r>
          </w:p>
        </w:tc>
        <w:tc>
          <w:tcPr>
            <w:tcW w:w="1984" w:type="dxa"/>
            <w:vAlign w:val="center"/>
          </w:tcPr>
          <w:p>
            <w:pPr>
              <w:jc w:val="center"/>
              <w:rPr>
                <w:rFonts w:ascii="Times New Roman" w:hAnsi="Times New Roman"/>
                <w:bCs/>
                <w:szCs w:val="21"/>
              </w:rPr>
            </w:pPr>
            <w:r>
              <w:rPr>
                <w:rFonts w:hint="eastAsia" w:ascii="Times New Roman" w:hAnsi="Times New Roman"/>
                <w:bCs/>
                <w:szCs w:val="21"/>
              </w:rPr>
              <w:t>10.88</w:t>
            </w:r>
          </w:p>
        </w:tc>
        <w:tc>
          <w:tcPr>
            <w:tcW w:w="1484" w:type="dxa"/>
            <w:vAlign w:val="center"/>
          </w:tcPr>
          <w:p>
            <w:pPr>
              <w:jc w:val="center"/>
              <w:rPr>
                <w:rFonts w:ascii="Times New Roman" w:hAnsi="Times New Roman"/>
                <w:bCs/>
                <w:szCs w:val="21"/>
              </w:rPr>
            </w:pPr>
            <w:r>
              <w:rPr>
                <w:rFonts w:hint="eastAsia" w:ascii="Times New Roman" w:hAnsi="Times New Roman"/>
                <w:bCs/>
                <w:szCs w:val="21"/>
              </w:rPr>
              <w:t>46.18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8" w:type="dxa"/>
            <w:vAlign w:val="center"/>
          </w:tcPr>
          <w:p>
            <w:pPr>
              <w:jc w:val="center"/>
              <w:rPr>
                <w:rFonts w:ascii="Times New Roman" w:hAnsi="Times New Roman"/>
                <w:bCs/>
                <w:szCs w:val="21"/>
              </w:rPr>
            </w:pPr>
            <w:r>
              <w:rPr>
                <w:rFonts w:hint="eastAsia" w:ascii="Times New Roman" w:hAnsi="Times New Roman"/>
                <w:bCs/>
                <w:szCs w:val="21"/>
              </w:rPr>
              <w:t>2018</w:t>
            </w:r>
          </w:p>
        </w:tc>
        <w:tc>
          <w:tcPr>
            <w:tcW w:w="1815" w:type="dxa"/>
            <w:vAlign w:val="center"/>
          </w:tcPr>
          <w:p>
            <w:pPr>
              <w:jc w:val="center"/>
              <w:rPr>
                <w:rFonts w:ascii="Times New Roman" w:hAnsi="Times New Roman"/>
                <w:bCs/>
                <w:szCs w:val="21"/>
              </w:rPr>
            </w:pPr>
            <w:r>
              <w:rPr>
                <w:rFonts w:hint="eastAsia" w:ascii="Times New Roman" w:hAnsi="Times New Roman"/>
                <w:bCs/>
                <w:szCs w:val="21"/>
              </w:rPr>
              <w:t>17.16</w:t>
            </w:r>
          </w:p>
        </w:tc>
        <w:tc>
          <w:tcPr>
            <w:tcW w:w="1871" w:type="dxa"/>
            <w:vAlign w:val="center"/>
          </w:tcPr>
          <w:p>
            <w:pPr>
              <w:jc w:val="center"/>
              <w:rPr>
                <w:rFonts w:ascii="Times New Roman" w:hAnsi="Times New Roman"/>
                <w:bCs/>
                <w:szCs w:val="21"/>
              </w:rPr>
            </w:pPr>
            <w:r>
              <w:rPr>
                <w:rFonts w:hint="eastAsia" w:ascii="Times New Roman" w:hAnsi="Times New Roman"/>
                <w:bCs/>
                <w:szCs w:val="21"/>
              </w:rPr>
              <w:t>15.85</w:t>
            </w:r>
          </w:p>
        </w:tc>
        <w:tc>
          <w:tcPr>
            <w:tcW w:w="1984" w:type="dxa"/>
            <w:vAlign w:val="center"/>
          </w:tcPr>
          <w:p>
            <w:pPr>
              <w:jc w:val="center"/>
              <w:rPr>
                <w:rFonts w:ascii="Times New Roman" w:hAnsi="Times New Roman"/>
                <w:bCs/>
                <w:szCs w:val="21"/>
              </w:rPr>
            </w:pPr>
            <w:r>
              <w:rPr>
                <w:rFonts w:hint="eastAsia" w:ascii="Times New Roman" w:hAnsi="Times New Roman"/>
                <w:bCs/>
                <w:szCs w:val="21"/>
              </w:rPr>
              <w:t>7.02</w:t>
            </w:r>
          </w:p>
        </w:tc>
        <w:tc>
          <w:tcPr>
            <w:tcW w:w="1484" w:type="dxa"/>
            <w:vAlign w:val="center"/>
          </w:tcPr>
          <w:p>
            <w:pPr>
              <w:jc w:val="center"/>
              <w:rPr>
                <w:rFonts w:ascii="Times New Roman" w:hAnsi="Times New Roman"/>
                <w:bCs/>
                <w:szCs w:val="21"/>
              </w:rPr>
            </w:pPr>
            <w:r>
              <w:rPr>
                <w:rFonts w:hint="eastAsia" w:ascii="Times New Roman" w:hAnsi="Times New Roman"/>
                <w:bCs/>
                <w:szCs w:val="21"/>
              </w:rPr>
              <w:t>50.42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8" w:type="dxa"/>
            <w:vAlign w:val="center"/>
          </w:tcPr>
          <w:p>
            <w:pPr>
              <w:jc w:val="center"/>
              <w:rPr>
                <w:rFonts w:ascii="Times New Roman" w:hAnsi="Times New Roman"/>
                <w:bCs/>
                <w:szCs w:val="21"/>
              </w:rPr>
            </w:pPr>
            <w:r>
              <w:rPr>
                <w:rFonts w:hint="eastAsia" w:ascii="Times New Roman" w:hAnsi="Times New Roman"/>
                <w:bCs/>
                <w:szCs w:val="21"/>
              </w:rPr>
              <w:t>2019</w:t>
            </w:r>
          </w:p>
        </w:tc>
        <w:tc>
          <w:tcPr>
            <w:tcW w:w="1815" w:type="dxa"/>
            <w:vAlign w:val="center"/>
          </w:tcPr>
          <w:p>
            <w:pPr>
              <w:jc w:val="center"/>
              <w:rPr>
                <w:rFonts w:ascii="Times New Roman" w:hAnsi="Times New Roman"/>
                <w:bCs/>
                <w:szCs w:val="21"/>
              </w:rPr>
            </w:pPr>
            <w:r>
              <w:rPr>
                <w:rFonts w:ascii="Times New Roman" w:hAnsi="Times New Roman"/>
                <w:bCs/>
                <w:szCs w:val="21"/>
              </w:rPr>
              <w:t>17</w:t>
            </w:r>
            <w:r>
              <w:rPr>
                <w:rFonts w:hint="eastAsia" w:ascii="Times New Roman" w:hAnsi="Times New Roman"/>
                <w:bCs/>
                <w:szCs w:val="21"/>
              </w:rPr>
              <w:t>.30</w:t>
            </w:r>
          </w:p>
        </w:tc>
        <w:tc>
          <w:tcPr>
            <w:tcW w:w="1871" w:type="dxa"/>
            <w:vAlign w:val="center"/>
          </w:tcPr>
          <w:p>
            <w:pPr>
              <w:jc w:val="center"/>
              <w:rPr>
                <w:rFonts w:ascii="Times New Roman" w:hAnsi="Times New Roman"/>
                <w:bCs/>
                <w:szCs w:val="21"/>
              </w:rPr>
            </w:pPr>
            <w:r>
              <w:rPr>
                <w:rFonts w:ascii="Times New Roman" w:hAnsi="Times New Roman"/>
                <w:bCs/>
                <w:szCs w:val="21"/>
              </w:rPr>
              <w:t>15</w:t>
            </w:r>
            <w:r>
              <w:rPr>
                <w:rFonts w:hint="eastAsia" w:ascii="Times New Roman" w:hAnsi="Times New Roman"/>
                <w:bCs/>
                <w:szCs w:val="21"/>
              </w:rPr>
              <w:t>.</w:t>
            </w:r>
            <w:r>
              <w:rPr>
                <w:rFonts w:ascii="Times New Roman" w:hAnsi="Times New Roman"/>
                <w:bCs/>
                <w:szCs w:val="21"/>
              </w:rPr>
              <w:t>91</w:t>
            </w:r>
          </w:p>
        </w:tc>
        <w:tc>
          <w:tcPr>
            <w:tcW w:w="1984" w:type="dxa"/>
            <w:vAlign w:val="center"/>
          </w:tcPr>
          <w:p>
            <w:pPr>
              <w:jc w:val="center"/>
              <w:rPr>
                <w:rFonts w:ascii="Times New Roman" w:hAnsi="Times New Roman"/>
                <w:bCs/>
                <w:szCs w:val="21"/>
              </w:rPr>
            </w:pPr>
            <w:r>
              <w:rPr>
                <w:rFonts w:hint="eastAsia" w:ascii="Times New Roman" w:hAnsi="Times New Roman"/>
                <w:bCs/>
                <w:szCs w:val="21"/>
              </w:rPr>
              <w:t>8.01</w:t>
            </w:r>
          </w:p>
        </w:tc>
        <w:tc>
          <w:tcPr>
            <w:tcW w:w="1484" w:type="dxa"/>
            <w:vAlign w:val="center"/>
          </w:tcPr>
          <w:p>
            <w:pPr>
              <w:jc w:val="center"/>
              <w:rPr>
                <w:rFonts w:ascii="Times New Roman" w:hAnsi="Times New Roman"/>
                <w:bCs/>
                <w:szCs w:val="21"/>
              </w:rPr>
            </w:pPr>
            <w:r>
              <w:rPr>
                <w:rFonts w:hint="eastAsia" w:ascii="Times New Roman" w:hAnsi="Times New Roman"/>
                <w:bCs/>
                <w:szCs w:val="21"/>
              </w:rPr>
              <w:t>51.42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8" w:type="dxa"/>
            <w:vAlign w:val="center"/>
          </w:tcPr>
          <w:p>
            <w:pPr>
              <w:jc w:val="center"/>
              <w:rPr>
                <w:rFonts w:ascii="Times New Roman" w:hAnsi="Times New Roman"/>
                <w:bCs/>
                <w:szCs w:val="21"/>
              </w:rPr>
            </w:pPr>
            <w:r>
              <w:rPr>
                <w:rFonts w:hint="eastAsia" w:ascii="Times New Roman" w:hAnsi="Times New Roman"/>
                <w:bCs/>
                <w:szCs w:val="21"/>
              </w:rPr>
              <w:t>2020</w:t>
            </w:r>
          </w:p>
        </w:tc>
        <w:tc>
          <w:tcPr>
            <w:tcW w:w="1815" w:type="dxa"/>
            <w:vAlign w:val="center"/>
          </w:tcPr>
          <w:p>
            <w:pPr>
              <w:jc w:val="center"/>
              <w:rPr>
                <w:rFonts w:ascii="Times New Roman" w:hAnsi="Times New Roman"/>
                <w:bCs/>
                <w:szCs w:val="21"/>
              </w:rPr>
            </w:pPr>
            <w:r>
              <w:rPr>
                <w:rFonts w:hint="eastAsia" w:ascii="Times New Roman" w:hAnsi="Times New Roman"/>
                <w:bCs/>
                <w:szCs w:val="21"/>
              </w:rPr>
              <w:t>17.28</w:t>
            </w:r>
          </w:p>
        </w:tc>
        <w:tc>
          <w:tcPr>
            <w:tcW w:w="1871" w:type="dxa"/>
            <w:vAlign w:val="center"/>
          </w:tcPr>
          <w:p>
            <w:pPr>
              <w:jc w:val="center"/>
              <w:rPr>
                <w:rFonts w:ascii="Times New Roman" w:hAnsi="Times New Roman"/>
                <w:bCs/>
                <w:szCs w:val="21"/>
              </w:rPr>
            </w:pPr>
            <w:r>
              <w:rPr>
                <w:rFonts w:hint="eastAsia" w:ascii="Times New Roman" w:hAnsi="Times New Roman"/>
                <w:bCs/>
                <w:szCs w:val="21"/>
              </w:rPr>
              <w:t>15.92</w:t>
            </w:r>
          </w:p>
        </w:tc>
        <w:tc>
          <w:tcPr>
            <w:tcW w:w="1984" w:type="dxa"/>
            <w:vAlign w:val="center"/>
          </w:tcPr>
          <w:p>
            <w:pPr>
              <w:jc w:val="center"/>
              <w:rPr>
                <w:rFonts w:ascii="Times New Roman" w:hAnsi="Times New Roman"/>
                <w:bCs/>
                <w:szCs w:val="21"/>
              </w:rPr>
            </w:pPr>
            <w:r>
              <w:rPr>
                <w:rFonts w:hint="eastAsia" w:ascii="Times New Roman" w:hAnsi="Times New Roman"/>
                <w:bCs/>
                <w:szCs w:val="21"/>
              </w:rPr>
              <w:t>5.31</w:t>
            </w:r>
          </w:p>
        </w:tc>
        <w:tc>
          <w:tcPr>
            <w:tcW w:w="1484" w:type="dxa"/>
            <w:vAlign w:val="center"/>
          </w:tcPr>
          <w:p>
            <w:pPr>
              <w:jc w:val="center"/>
              <w:rPr>
                <w:rFonts w:ascii="Times New Roman" w:hAnsi="Times New Roman"/>
                <w:bCs/>
                <w:szCs w:val="21"/>
              </w:rPr>
            </w:pPr>
            <w:r>
              <w:rPr>
                <w:rFonts w:hint="eastAsia" w:ascii="Times New Roman" w:hAnsi="Times New Roman"/>
                <w:bCs/>
                <w:szCs w:val="21"/>
              </w:rPr>
              <w:t>52.30</w:t>
            </w:r>
          </w:p>
        </w:tc>
      </w:tr>
    </w:tbl>
    <w:p>
      <w:pPr>
        <w:widowControl/>
        <w:adjustRightInd w:val="0"/>
        <w:snapToGrid w:val="0"/>
        <w:spacing w:line="360" w:lineRule="auto"/>
        <w:ind w:firstLine="560" w:firstLineChars="200"/>
        <w:rPr>
          <w:rFonts w:ascii="仿宋_GB2312" w:hAnsi="宋体" w:eastAsia="仿宋_GB2312" w:cs="宋体"/>
          <w:kern w:val="0"/>
          <w:sz w:val="28"/>
          <w:szCs w:val="28"/>
        </w:rPr>
      </w:pP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盐池县2016-2020年人口自然增长率平均值为7.96</w:t>
      </w:r>
      <w:r>
        <w:rPr>
          <w:rFonts w:hint="eastAsia" w:ascii="Times New Roman" w:hAnsi="Times New Roman"/>
          <w:bCs/>
          <w:szCs w:val="21"/>
        </w:rPr>
        <w:t>‰</w:t>
      </w:r>
      <w:r>
        <w:rPr>
          <w:rFonts w:hint="eastAsia" w:ascii="Times New Roman" w:hAnsi="Times New Roman"/>
          <w:b/>
          <w:bCs/>
          <w:szCs w:val="21"/>
        </w:rPr>
        <w:t>，</w:t>
      </w:r>
      <w:r>
        <w:rPr>
          <w:rFonts w:hint="eastAsia" w:ascii="仿宋_GB2312" w:hAnsi="宋体" w:eastAsia="仿宋_GB2312" w:cs="宋体"/>
          <w:kern w:val="0"/>
          <w:sz w:val="28"/>
          <w:szCs w:val="28"/>
        </w:rPr>
        <w:t xml:space="preserve"> 2020户籍人口17.28万，由此预测2025年盐池县常住人口约17.98万人。“十四五”期间，盐池将进一步加快城乡一体化发展，实现城乡和谐共生、 融合发展、共同繁荣，常住人口城镇化率增加到59.8%。</w:t>
      </w:r>
    </w:p>
    <w:p>
      <w:pPr>
        <w:pStyle w:val="3"/>
        <w:adjustRightInd w:val="0"/>
        <w:snapToGrid w:val="0"/>
        <w:spacing w:before="120" w:after="120" w:line="360" w:lineRule="auto"/>
        <w:rPr>
          <w:rFonts w:ascii="黑体" w:hAnsi="黑体" w:eastAsia="黑体"/>
          <w:kern w:val="0"/>
          <w:sz w:val="30"/>
          <w:szCs w:val="30"/>
        </w:rPr>
      </w:pPr>
      <w:bookmarkStart w:id="23" w:name="_Toc111980880"/>
      <w:r>
        <w:rPr>
          <w:rFonts w:hint="eastAsia" w:ascii="黑体" w:hAnsi="黑体" w:eastAsia="黑体"/>
          <w:kern w:val="0"/>
          <w:sz w:val="30"/>
          <w:szCs w:val="30"/>
        </w:rPr>
        <w:t>6.2资源能源消耗预测分析</w:t>
      </w:r>
      <w:bookmarkEnd w:id="23"/>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⑴水资源消耗趋势</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根据盐池县2016-2021年人均用水量变化趋势，年均增长率为4.14%，预测2025年盐池人均用水量将增加到718立方米。根据人口预测结果，2025年盐池县常住人口约16.56万人，水资源消耗量达到1.19亿立方米。</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根据《盐池县人民政府办公室关于印发盐池县用水权确权成果报告的通知》（盐政办发〔2022〕18号），盐池县“十四五”用水权管控指标：取水总量指标1.085亿立方米。分水源取水指标:黄河水9800万立方米,地表水200万立方米,地下水550万立方米,非常规水300万立方米。分行业取水指标:农业用水8100万立方米,工业用水400万立方米,生活用水1850万立方米(含规模化养殖业用水指标),生态用水500万立方米。</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因此，2025年盐池县用水总量将超过自治区2025年取水总量控制指标表中1.085亿立方米的标准，也超过耗水总量0.99亿立方米的指标要求。盐池县必须把节约用水贯穿于经济社会发展和国民经济，严格按照县域节水型社会达标建设工作要求，全面巩固提升节水型社会建设工作成果，虚心学习借鉴先进地区的好经验好做法，坚定信心，再鼓干劲，扎实推动节水型社会建设工作再上新台阶。</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⑵土地资源消耗趋势</w:t>
      </w:r>
    </w:p>
    <w:p>
      <w:pPr>
        <w:widowControl/>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盐池县划定永久基本农田保护面积104.43万亩，空间规划用地平衡情况见表6-3。</w:t>
      </w:r>
    </w:p>
    <w:p>
      <w:pPr>
        <w:adjustRightInd w:val="0"/>
        <w:snapToGrid w:val="0"/>
        <w:spacing w:line="360" w:lineRule="auto"/>
        <w:jc w:val="center"/>
        <w:rPr>
          <w:rFonts w:ascii="Times New Roman" w:hAnsi="Times New Roman"/>
          <w:b/>
        </w:rPr>
      </w:pPr>
      <w:r>
        <w:rPr>
          <w:rFonts w:hint="eastAsia" w:ascii="Times New Roman" w:hAnsi="Times New Roman"/>
          <w:b/>
        </w:rPr>
        <w:t>表6-3</w:t>
      </w:r>
      <w:r>
        <w:rPr>
          <w:rFonts w:ascii="Times New Roman" w:hAnsi="Times New Roman"/>
          <w:b/>
        </w:rPr>
        <w:t xml:space="preserve">   </w:t>
      </w:r>
      <w:r>
        <w:rPr>
          <w:rFonts w:hint="eastAsia" w:ascii="Times New Roman" w:hAnsi="Times New Roman"/>
          <w:b/>
        </w:rPr>
        <w:t>盐池县空间规划用地平衡表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86"/>
        <w:gridCol w:w="2831"/>
        <w:gridCol w:w="2445"/>
        <w:gridCol w:w="265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476" w:type="pct"/>
            <w:gridSpan w:val="3"/>
            <w:vAlign w:val="center"/>
          </w:tcPr>
          <w:p>
            <w:pPr>
              <w:jc w:val="center"/>
              <w:rPr>
                <w:rFonts w:ascii="Times New Roman" w:hAnsi="Times New Roman"/>
                <w:b/>
                <w:bCs/>
                <w:szCs w:val="21"/>
              </w:rPr>
            </w:pPr>
            <w:r>
              <w:rPr>
                <w:rFonts w:ascii="Times New Roman" w:hAnsi="Times New Roman"/>
                <w:b/>
                <w:bCs/>
                <w:szCs w:val="21"/>
              </w:rPr>
              <w:t>类别</w:t>
            </w:r>
          </w:p>
        </w:tc>
        <w:tc>
          <w:tcPr>
            <w:tcW w:w="1524" w:type="pct"/>
            <w:vAlign w:val="center"/>
          </w:tcPr>
          <w:p>
            <w:pPr>
              <w:jc w:val="center"/>
              <w:rPr>
                <w:rFonts w:ascii="Times New Roman" w:hAnsi="Times New Roman"/>
                <w:b/>
                <w:bCs/>
                <w:szCs w:val="21"/>
              </w:rPr>
            </w:pPr>
            <w:r>
              <w:rPr>
                <w:rFonts w:ascii="Times New Roman" w:hAnsi="Times New Roman"/>
                <w:b/>
                <w:bCs/>
                <w:szCs w:val="21"/>
              </w:rPr>
              <w:t>现状面积（公顷）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restart"/>
            <w:vAlign w:val="center"/>
          </w:tcPr>
          <w:p>
            <w:pPr>
              <w:jc w:val="center"/>
              <w:rPr>
                <w:rFonts w:ascii="Times New Roman" w:hAnsi="Times New Roman"/>
                <w:bCs/>
                <w:szCs w:val="21"/>
              </w:rPr>
            </w:pPr>
            <w:r>
              <w:rPr>
                <w:rFonts w:ascii="Times New Roman" w:hAnsi="Times New Roman"/>
                <w:bCs/>
                <w:szCs w:val="21"/>
              </w:rPr>
              <w:t>建设用地</w:t>
            </w:r>
          </w:p>
        </w:tc>
        <w:tc>
          <w:tcPr>
            <w:tcW w:w="3025" w:type="pct"/>
            <w:gridSpan w:val="2"/>
            <w:vAlign w:val="center"/>
          </w:tcPr>
          <w:p>
            <w:pPr>
              <w:jc w:val="center"/>
              <w:rPr>
                <w:rFonts w:ascii="Times New Roman" w:hAnsi="Times New Roman"/>
                <w:bCs/>
                <w:szCs w:val="21"/>
              </w:rPr>
            </w:pPr>
            <w:r>
              <w:rPr>
                <w:rFonts w:ascii="Times New Roman" w:hAnsi="Times New Roman"/>
                <w:bCs/>
                <w:szCs w:val="21"/>
              </w:rPr>
              <w:t>城镇建设用地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3123.04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3025" w:type="pct"/>
            <w:gridSpan w:val="2"/>
            <w:vAlign w:val="center"/>
          </w:tcPr>
          <w:p>
            <w:pPr>
              <w:jc w:val="center"/>
              <w:rPr>
                <w:rFonts w:ascii="Times New Roman" w:hAnsi="Times New Roman"/>
                <w:bCs/>
                <w:szCs w:val="21"/>
              </w:rPr>
            </w:pPr>
            <w:r>
              <w:rPr>
                <w:rFonts w:ascii="Times New Roman" w:hAnsi="Times New Roman"/>
                <w:bCs/>
                <w:szCs w:val="21"/>
              </w:rPr>
              <w:t>村庄建设用地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12361.38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restart"/>
            <w:vAlign w:val="center"/>
          </w:tcPr>
          <w:p>
            <w:pPr>
              <w:jc w:val="center"/>
              <w:rPr>
                <w:rFonts w:ascii="Times New Roman" w:hAnsi="Times New Roman"/>
                <w:bCs/>
                <w:szCs w:val="21"/>
              </w:rPr>
            </w:pPr>
            <w:r>
              <w:rPr>
                <w:rFonts w:ascii="Times New Roman" w:hAnsi="Times New Roman"/>
                <w:bCs/>
                <w:szCs w:val="21"/>
              </w:rPr>
              <w:t>独立产业园区用地</w:t>
            </w:r>
          </w:p>
        </w:tc>
        <w:tc>
          <w:tcPr>
            <w:tcW w:w="1402" w:type="pct"/>
            <w:vAlign w:val="center"/>
          </w:tcPr>
          <w:p>
            <w:pPr>
              <w:jc w:val="center"/>
              <w:rPr>
                <w:rFonts w:ascii="Times New Roman" w:hAnsi="Times New Roman"/>
                <w:bCs/>
                <w:szCs w:val="21"/>
              </w:rPr>
            </w:pPr>
            <w:r>
              <w:rPr>
                <w:rFonts w:ascii="Times New Roman" w:hAnsi="Times New Roman"/>
                <w:bCs/>
                <w:szCs w:val="21"/>
              </w:rPr>
              <w:t>独立工业用地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独立旅游用地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配套设施用地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区域交通设施用地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4759.51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区域公用设施用地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特殊用地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469.33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采矿用地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3613.89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其他建设用地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106.25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
                <w:bCs/>
                <w:szCs w:val="21"/>
              </w:rPr>
            </w:pPr>
            <w:r>
              <w:rPr>
                <w:rFonts w:hint="eastAsia" w:ascii="Times New Roman" w:hAnsi="Times New Roman"/>
                <w:b/>
                <w:bCs/>
                <w:szCs w:val="21"/>
              </w:rPr>
              <w:t>小计</w:t>
            </w:r>
          </w:p>
        </w:tc>
        <w:tc>
          <w:tcPr>
            <w:tcW w:w="1524" w:type="pct"/>
            <w:vAlign w:val="center"/>
          </w:tcPr>
          <w:p>
            <w:pPr>
              <w:jc w:val="center"/>
              <w:rPr>
                <w:rFonts w:ascii="Times New Roman" w:hAnsi="Times New Roman"/>
                <w:b/>
                <w:bCs/>
                <w:szCs w:val="21"/>
              </w:rPr>
            </w:pPr>
            <w:r>
              <w:rPr>
                <w:rFonts w:hint="eastAsia" w:ascii="Times New Roman" w:hAnsi="Times New Roman"/>
                <w:b/>
                <w:bCs/>
                <w:szCs w:val="21"/>
              </w:rPr>
              <w:t>24433.40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restart"/>
            <w:vAlign w:val="center"/>
          </w:tcPr>
          <w:p>
            <w:pPr>
              <w:jc w:val="center"/>
              <w:rPr>
                <w:rFonts w:ascii="Times New Roman" w:hAnsi="Times New Roman"/>
                <w:bCs/>
                <w:szCs w:val="21"/>
              </w:rPr>
            </w:pPr>
            <w:r>
              <w:rPr>
                <w:rFonts w:ascii="Times New Roman" w:hAnsi="Times New Roman"/>
                <w:bCs/>
                <w:szCs w:val="21"/>
              </w:rPr>
              <w:t>非建设用地</w:t>
            </w:r>
          </w:p>
        </w:tc>
        <w:tc>
          <w:tcPr>
            <w:tcW w:w="1623" w:type="pct"/>
            <w:vMerge w:val="restart"/>
            <w:vAlign w:val="center"/>
          </w:tcPr>
          <w:p>
            <w:pPr>
              <w:jc w:val="center"/>
              <w:rPr>
                <w:rFonts w:ascii="Times New Roman" w:hAnsi="Times New Roman"/>
                <w:bCs/>
                <w:szCs w:val="21"/>
              </w:rPr>
            </w:pPr>
            <w:r>
              <w:rPr>
                <w:rFonts w:ascii="Times New Roman" w:hAnsi="Times New Roman"/>
                <w:bCs/>
                <w:szCs w:val="21"/>
              </w:rPr>
              <w:t>农用地</w:t>
            </w:r>
          </w:p>
        </w:tc>
        <w:tc>
          <w:tcPr>
            <w:tcW w:w="1402" w:type="pct"/>
            <w:vAlign w:val="center"/>
          </w:tcPr>
          <w:p>
            <w:pPr>
              <w:jc w:val="center"/>
              <w:rPr>
                <w:rFonts w:ascii="Times New Roman" w:hAnsi="Times New Roman"/>
                <w:bCs/>
                <w:szCs w:val="21"/>
              </w:rPr>
            </w:pPr>
            <w:r>
              <w:rPr>
                <w:rFonts w:ascii="Times New Roman" w:hAnsi="Times New Roman"/>
                <w:bCs/>
                <w:szCs w:val="21"/>
              </w:rPr>
              <w:t>耕地</w:t>
            </w:r>
          </w:p>
        </w:tc>
        <w:tc>
          <w:tcPr>
            <w:tcW w:w="1524" w:type="pct"/>
            <w:vAlign w:val="center"/>
          </w:tcPr>
          <w:p>
            <w:pPr>
              <w:jc w:val="center"/>
              <w:rPr>
                <w:rFonts w:ascii="Times New Roman" w:hAnsi="Times New Roman"/>
                <w:bCs/>
                <w:szCs w:val="21"/>
              </w:rPr>
            </w:pPr>
            <w:r>
              <w:rPr>
                <w:rFonts w:hint="eastAsia" w:ascii="Times New Roman" w:hAnsi="Times New Roman"/>
                <w:bCs/>
                <w:szCs w:val="21"/>
              </w:rPr>
              <w:t>109879.7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园地</w:t>
            </w:r>
          </w:p>
        </w:tc>
        <w:tc>
          <w:tcPr>
            <w:tcW w:w="1524" w:type="pct"/>
            <w:vAlign w:val="center"/>
          </w:tcPr>
          <w:p>
            <w:pPr>
              <w:jc w:val="center"/>
              <w:rPr>
                <w:rFonts w:ascii="Times New Roman" w:hAnsi="Times New Roman"/>
                <w:bCs/>
                <w:szCs w:val="21"/>
              </w:rPr>
            </w:pPr>
            <w:r>
              <w:rPr>
                <w:rFonts w:hint="eastAsia" w:ascii="Times New Roman" w:hAnsi="Times New Roman"/>
                <w:bCs/>
                <w:szCs w:val="21"/>
              </w:rPr>
              <w:t>1648.4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林地</w:t>
            </w:r>
          </w:p>
        </w:tc>
        <w:tc>
          <w:tcPr>
            <w:tcW w:w="1524" w:type="pct"/>
            <w:vAlign w:val="center"/>
          </w:tcPr>
          <w:p>
            <w:pPr>
              <w:jc w:val="center"/>
              <w:rPr>
                <w:rFonts w:ascii="Times New Roman" w:hAnsi="Times New Roman"/>
                <w:bCs/>
                <w:szCs w:val="21"/>
              </w:rPr>
            </w:pPr>
            <w:r>
              <w:rPr>
                <w:rFonts w:hint="eastAsia" w:ascii="Times New Roman" w:hAnsi="Times New Roman"/>
                <w:bCs/>
                <w:szCs w:val="21"/>
              </w:rPr>
              <w:t>138200.1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牧草地</w:t>
            </w:r>
          </w:p>
        </w:tc>
        <w:tc>
          <w:tcPr>
            <w:tcW w:w="1524" w:type="pct"/>
            <w:vAlign w:val="center"/>
          </w:tcPr>
          <w:p>
            <w:pPr>
              <w:jc w:val="center"/>
              <w:rPr>
                <w:rFonts w:ascii="Times New Roman" w:hAnsi="Times New Roman"/>
                <w:bCs/>
                <w:szCs w:val="21"/>
              </w:rPr>
            </w:pPr>
            <w:r>
              <w:rPr>
                <w:rFonts w:hint="eastAsia" w:ascii="Times New Roman" w:hAnsi="Times New Roman"/>
                <w:bCs/>
                <w:szCs w:val="21"/>
              </w:rPr>
              <w:t>316581.49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1623" w:type="pct"/>
            <w:vMerge w:val="continue"/>
            <w:vAlign w:val="center"/>
          </w:tcPr>
          <w:p>
            <w:pPr>
              <w:jc w:val="center"/>
              <w:rPr>
                <w:rFonts w:ascii="Times New Roman" w:hAnsi="Times New Roman"/>
                <w:bCs/>
                <w:szCs w:val="21"/>
              </w:rPr>
            </w:pPr>
          </w:p>
        </w:tc>
        <w:tc>
          <w:tcPr>
            <w:tcW w:w="1402" w:type="pct"/>
            <w:vAlign w:val="center"/>
          </w:tcPr>
          <w:p>
            <w:pPr>
              <w:jc w:val="center"/>
              <w:rPr>
                <w:rFonts w:ascii="Times New Roman" w:hAnsi="Times New Roman"/>
                <w:bCs/>
                <w:szCs w:val="21"/>
              </w:rPr>
            </w:pPr>
            <w:r>
              <w:rPr>
                <w:rFonts w:ascii="Times New Roman" w:hAnsi="Times New Roman"/>
                <w:bCs/>
                <w:szCs w:val="21"/>
              </w:rPr>
              <w:t>其他用地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14098.25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3025" w:type="pct"/>
            <w:gridSpan w:val="2"/>
            <w:vAlign w:val="center"/>
          </w:tcPr>
          <w:p>
            <w:pPr>
              <w:jc w:val="center"/>
              <w:rPr>
                <w:rFonts w:ascii="Times New Roman" w:hAnsi="Times New Roman"/>
                <w:bCs/>
                <w:szCs w:val="21"/>
              </w:rPr>
            </w:pPr>
            <w:r>
              <w:rPr>
                <w:rFonts w:ascii="Times New Roman" w:hAnsi="Times New Roman"/>
                <w:bCs/>
                <w:szCs w:val="21"/>
              </w:rPr>
              <w:t>湿地</w:t>
            </w:r>
          </w:p>
        </w:tc>
        <w:tc>
          <w:tcPr>
            <w:tcW w:w="1524" w:type="pct"/>
            <w:vAlign w:val="center"/>
          </w:tcPr>
          <w:p>
            <w:pPr>
              <w:jc w:val="center"/>
              <w:rPr>
                <w:rFonts w:ascii="Times New Roman" w:hAnsi="Times New Roman"/>
                <w:bCs/>
                <w:szCs w:val="21"/>
              </w:rPr>
            </w:pPr>
            <w:r>
              <w:rPr>
                <w:rFonts w:hint="eastAsia" w:ascii="Times New Roman" w:hAnsi="Times New Roman"/>
                <w:bCs/>
                <w:szCs w:val="21"/>
              </w:rPr>
              <w:t>1123.8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3025" w:type="pct"/>
            <w:gridSpan w:val="2"/>
            <w:vAlign w:val="center"/>
          </w:tcPr>
          <w:p>
            <w:pPr>
              <w:jc w:val="center"/>
              <w:rPr>
                <w:rFonts w:ascii="Times New Roman" w:hAnsi="Times New Roman"/>
                <w:bCs/>
                <w:szCs w:val="21"/>
              </w:rPr>
            </w:pPr>
            <w:r>
              <w:rPr>
                <w:rFonts w:ascii="Times New Roman" w:hAnsi="Times New Roman"/>
                <w:bCs/>
                <w:szCs w:val="21"/>
              </w:rPr>
              <w:t>未利用地</w:t>
            </w:r>
          </w:p>
        </w:tc>
        <w:tc>
          <w:tcPr>
            <w:tcW w:w="1524" w:type="pct"/>
            <w:vAlign w:val="center"/>
          </w:tcPr>
          <w:p>
            <w:pPr>
              <w:jc w:val="center"/>
              <w:rPr>
                <w:rFonts w:ascii="Times New Roman" w:hAnsi="Times New Roman"/>
                <w:bCs/>
                <w:szCs w:val="21"/>
              </w:rPr>
            </w:pPr>
            <w:r>
              <w:rPr>
                <w:rFonts w:hint="eastAsia" w:ascii="Times New Roman" w:hAnsi="Times New Roman"/>
                <w:bCs/>
                <w:szCs w:val="21"/>
              </w:rPr>
              <w:t>49420.29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1" w:type="pct"/>
            <w:vMerge w:val="continue"/>
            <w:vAlign w:val="center"/>
          </w:tcPr>
          <w:p>
            <w:pPr>
              <w:jc w:val="center"/>
              <w:rPr>
                <w:rFonts w:ascii="Times New Roman" w:hAnsi="Times New Roman"/>
                <w:bCs/>
                <w:szCs w:val="21"/>
              </w:rPr>
            </w:pPr>
          </w:p>
        </w:tc>
        <w:tc>
          <w:tcPr>
            <w:tcW w:w="3025" w:type="pct"/>
            <w:gridSpan w:val="2"/>
            <w:vAlign w:val="center"/>
          </w:tcPr>
          <w:p>
            <w:pPr>
              <w:jc w:val="center"/>
              <w:rPr>
                <w:rFonts w:ascii="Times New Roman" w:hAnsi="Times New Roman"/>
                <w:b/>
                <w:bCs/>
                <w:szCs w:val="21"/>
              </w:rPr>
            </w:pPr>
            <w:r>
              <w:rPr>
                <w:rFonts w:ascii="Times New Roman" w:hAnsi="Times New Roman"/>
                <w:b/>
                <w:bCs/>
                <w:szCs w:val="21"/>
              </w:rPr>
              <w:t>小计</w:t>
            </w:r>
          </w:p>
        </w:tc>
        <w:tc>
          <w:tcPr>
            <w:tcW w:w="1524" w:type="pct"/>
            <w:vAlign w:val="center"/>
          </w:tcPr>
          <w:p>
            <w:pPr>
              <w:jc w:val="center"/>
              <w:rPr>
                <w:rFonts w:ascii="Times New Roman" w:hAnsi="Times New Roman"/>
                <w:b/>
                <w:bCs/>
                <w:szCs w:val="21"/>
              </w:rPr>
            </w:pPr>
            <w:r>
              <w:rPr>
                <w:rFonts w:hint="eastAsia" w:ascii="Times New Roman" w:hAnsi="Times New Roman"/>
                <w:b/>
                <w:bCs/>
                <w:szCs w:val="21"/>
              </w:rPr>
              <w:t>630952.04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476" w:type="pct"/>
            <w:gridSpan w:val="3"/>
            <w:vAlign w:val="center"/>
          </w:tcPr>
          <w:p>
            <w:pPr>
              <w:jc w:val="center"/>
              <w:rPr>
                <w:rFonts w:ascii="Times New Roman" w:hAnsi="Times New Roman"/>
                <w:b/>
                <w:bCs/>
                <w:szCs w:val="21"/>
              </w:rPr>
            </w:pPr>
            <w:r>
              <w:rPr>
                <w:rFonts w:ascii="Times New Roman" w:hAnsi="Times New Roman"/>
                <w:b/>
                <w:bCs/>
                <w:szCs w:val="21"/>
              </w:rPr>
              <w:t>合计</w:t>
            </w:r>
          </w:p>
        </w:tc>
        <w:tc>
          <w:tcPr>
            <w:tcW w:w="1524" w:type="pct"/>
            <w:vAlign w:val="center"/>
          </w:tcPr>
          <w:p>
            <w:pPr>
              <w:jc w:val="center"/>
              <w:rPr>
                <w:rFonts w:ascii="Times New Roman" w:hAnsi="Times New Roman"/>
                <w:b/>
                <w:bCs/>
                <w:szCs w:val="21"/>
              </w:rPr>
            </w:pPr>
            <w:r>
              <w:rPr>
                <w:rFonts w:hint="eastAsia" w:ascii="Times New Roman" w:hAnsi="Times New Roman"/>
                <w:b/>
                <w:bCs/>
                <w:szCs w:val="21"/>
              </w:rPr>
              <w:t>655385.44</w:t>
            </w:r>
          </w:p>
        </w:tc>
      </w:tr>
    </w:tbl>
    <w:p>
      <w:pPr>
        <w:widowControl/>
        <w:adjustRightInd w:val="0"/>
        <w:snapToGrid w:val="0"/>
        <w:spacing w:before="156" w:beforeLines="50" w:line="360" w:lineRule="auto"/>
        <w:ind w:firstLine="560" w:firstLineChars="200"/>
        <w:rPr>
          <w:rFonts w:ascii="仿宋_GB2312" w:hAnsi="宋体" w:eastAsia="仿宋_GB2312" w:cs="宋体"/>
          <w:kern w:val="0"/>
          <w:sz w:val="28"/>
          <w:szCs w:val="28"/>
        </w:rPr>
      </w:pPr>
      <w:r>
        <w:rPr>
          <w:rFonts w:ascii="仿宋_GB2312" w:hAnsi="宋体" w:eastAsia="仿宋_GB2312" w:cs="宋体"/>
          <w:kern w:val="0"/>
          <w:sz w:val="28"/>
          <w:szCs w:val="28"/>
        </w:rPr>
        <w:t>整体而言，盐池县作为全区</w:t>
      </w:r>
      <w:r>
        <w:rPr>
          <w:rFonts w:hint="eastAsia" w:ascii="仿宋_GB2312" w:hAnsi="宋体" w:eastAsia="仿宋_GB2312" w:cs="宋体"/>
          <w:kern w:val="0"/>
          <w:sz w:val="28"/>
          <w:szCs w:val="28"/>
        </w:rPr>
        <w:t>国土</w:t>
      </w:r>
      <w:r>
        <w:rPr>
          <w:rFonts w:ascii="仿宋_GB2312" w:hAnsi="宋体" w:eastAsia="仿宋_GB2312" w:cs="宋体"/>
          <w:kern w:val="0"/>
          <w:sz w:val="28"/>
          <w:szCs w:val="28"/>
        </w:rPr>
        <w:t>面积最大的县，地广人稀，“十四五”期间，土地资源压力较小。</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⑶能源消耗趋势</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盐池县共有宁鲁石化、金裕海等8家重点用能企业，制定了《盐池县十四五新能源发展规划（2021年-2025年）》，壮大清洁能源产业，减少煤炭消耗，认真落实《关于印发北方地区冬季清洁取暖规划》（2017-2021）。</w:t>
      </w:r>
      <w:r>
        <w:rPr>
          <w:rFonts w:ascii="仿宋_GB2312" w:hAnsi="宋体" w:eastAsia="仿宋_GB2312" w:cs="宋体"/>
          <w:kern w:val="0"/>
          <w:sz w:val="28"/>
          <w:szCs w:val="28"/>
        </w:rPr>
        <w:t xml:space="preserve"> </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①煤炭资源消耗趋势</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盐池县规上企业煤炭消费历史数据及“十四五”需求预测见表6-4。由表可知，煤炭消费在一定时间内仍呈增长趋势。</w:t>
      </w:r>
    </w:p>
    <w:p>
      <w:pPr>
        <w:adjustRightInd w:val="0"/>
        <w:snapToGrid w:val="0"/>
        <w:spacing w:line="360" w:lineRule="auto"/>
        <w:jc w:val="center"/>
        <w:rPr>
          <w:rFonts w:ascii="Times New Roman" w:hAnsi="Times New Roman"/>
          <w:b/>
        </w:rPr>
      </w:pPr>
      <w:r>
        <w:rPr>
          <w:rFonts w:hint="eastAsia" w:ascii="Times New Roman" w:hAnsi="Times New Roman"/>
          <w:b/>
        </w:rPr>
        <w:t>表6-4</w:t>
      </w:r>
      <w:r>
        <w:rPr>
          <w:rFonts w:ascii="Times New Roman" w:hAnsi="Times New Roman"/>
          <w:b/>
        </w:rPr>
        <w:t xml:space="preserve">  </w:t>
      </w:r>
      <w:r>
        <w:rPr>
          <w:rFonts w:hint="eastAsia" w:ascii="Times New Roman" w:hAnsi="Times New Roman"/>
          <w:b/>
        </w:rPr>
        <w:t>煤炭</w:t>
      </w:r>
      <w:r>
        <w:rPr>
          <w:rFonts w:ascii="Times New Roman" w:hAnsi="Times New Roman"/>
          <w:b/>
        </w:rPr>
        <w:t>消费历史数据及需求预测</w:t>
      </w:r>
    </w:p>
    <w:tbl>
      <w:tblPr>
        <w:tblStyle w:val="14"/>
        <w:tblW w:w="807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194"/>
        <w:gridCol w:w="992"/>
        <w:gridCol w:w="993"/>
        <w:gridCol w:w="992"/>
        <w:gridCol w:w="992"/>
        <w:gridCol w:w="992"/>
        <w:gridCol w:w="91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194" w:type="dxa"/>
            <w:vAlign w:val="center"/>
          </w:tcPr>
          <w:p>
            <w:pPr>
              <w:jc w:val="center"/>
              <w:rPr>
                <w:rFonts w:ascii="Times New Roman" w:hAnsi="Times New Roman"/>
                <w:b/>
                <w:bCs/>
                <w:szCs w:val="21"/>
              </w:rPr>
            </w:pPr>
            <w:r>
              <w:rPr>
                <w:rFonts w:ascii="Times New Roman" w:hAnsi="Times New Roman"/>
                <w:b/>
                <w:bCs/>
                <w:szCs w:val="21"/>
              </w:rPr>
              <w:t>分类</w:t>
            </w:r>
          </w:p>
        </w:tc>
        <w:tc>
          <w:tcPr>
            <w:tcW w:w="992" w:type="dxa"/>
            <w:vAlign w:val="center"/>
          </w:tcPr>
          <w:p>
            <w:pPr>
              <w:jc w:val="center"/>
              <w:rPr>
                <w:rFonts w:ascii="Times New Roman" w:hAnsi="Times New Roman"/>
                <w:b/>
                <w:bCs/>
                <w:szCs w:val="21"/>
              </w:rPr>
            </w:pPr>
            <w:r>
              <w:rPr>
                <w:rFonts w:hint="eastAsia" w:ascii="Times New Roman" w:hAnsi="Times New Roman"/>
                <w:b/>
                <w:bCs/>
                <w:szCs w:val="21"/>
              </w:rPr>
              <w:t>2016</w:t>
            </w:r>
          </w:p>
        </w:tc>
        <w:tc>
          <w:tcPr>
            <w:tcW w:w="993" w:type="dxa"/>
            <w:vAlign w:val="center"/>
          </w:tcPr>
          <w:p>
            <w:pPr>
              <w:jc w:val="center"/>
              <w:rPr>
                <w:rFonts w:ascii="Times New Roman" w:hAnsi="Times New Roman"/>
                <w:b/>
                <w:bCs/>
                <w:szCs w:val="21"/>
              </w:rPr>
            </w:pPr>
            <w:r>
              <w:rPr>
                <w:rFonts w:hint="eastAsia" w:ascii="Times New Roman" w:hAnsi="Times New Roman"/>
                <w:b/>
                <w:bCs/>
                <w:szCs w:val="21"/>
              </w:rPr>
              <w:t>2017</w:t>
            </w:r>
          </w:p>
        </w:tc>
        <w:tc>
          <w:tcPr>
            <w:tcW w:w="992" w:type="dxa"/>
            <w:vAlign w:val="center"/>
          </w:tcPr>
          <w:p>
            <w:pPr>
              <w:jc w:val="center"/>
              <w:rPr>
                <w:rFonts w:ascii="Times New Roman" w:hAnsi="Times New Roman"/>
                <w:b/>
                <w:bCs/>
                <w:szCs w:val="21"/>
              </w:rPr>
            </w:pPr>
            <w:r>
              <w:rPr>
                <w:rFonts w:hint="eastAsia" w:ascii="Times New Roman" w:hAnsi="Times New Roman"/>
                <w:b/>
                <w:bCs/>
                <w:szCs w:val="21"/>
              </w:rPr>
              <w:t>2018</w:t>
            </w:r>
          </w:p>
        </w:tc>
        <w:tc>
          <w:tcPr>
            <w:tcW w:w="992" w:type="dxa"/>
            <w:tcBorders>
              <w:righ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2019</w:t>
            </w:r>
          </w:p>
        </w:tc>
        <w:tc>
          <w:tcPr>
            <w:tcW w:w="992" w:type="dxa"/>
            <w:tcBorders>
              <w:left w:val="single" w:color="auto" w:sz="4" w:space="0"/>
              <w:righ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2020</w:t>
            </w:r>
          </w:p>
        </w:tc>
        <w:tc>
          <w:tcPr>
            <w:tcW w:w="917" w:type="dxa"/>
            <w:tcBorders>
              <w:lef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194" w:type="dxa"/>
            <w:vAlign w:val="center"/>
          </w:tcPr>
          <w:p>
            <w:pPr>
              <w:jc w:val="center"/>
              <w:rPr>
                <w:rFonts w:ascii="Times New Roman" w:hAnsi="Times New Roman"/>
                <w:bCs/>
                <w:szCs w:val="21"/>
              </w:rPr>
            </w:pPr>
            <w:r>
              <w:rPr>
                <w:rFonts w:ascii="Times New Roman" w:hAnsi="Times New Roman"/>
                <w:bCs/>
                <w:szCs w:val="21"/>
              </w:rPr>
              <w:t>煤炭消费总量</w:t>
            </w:r>
          </w:p>
        </w:tc>
        <w:tc>
          <w:tcPr>
            <w:tcW w:w="992" w:type="dxa"/>
            <w:vAlign w:val="center"/>
          </w:tcPr>
          <w:p>
            <w:pPr>
              <w:jc w:val="center"/>
              <w:rPr>
                <w:rFonts w:ascii="Times New Roman" w:hAnsi="Times New Roman"/>
                <w:bCs/>
                <w:szCs w:val="21"/>
              </w:rPr>
            </w:pPr>
            <w:r>
              <w:rPr>
                <w:rFonts w:hint="eastAsia" w:ascii="Times New Roman" w:hAnsi="Times New Roman"/>
                <w:bCs/>
                <w:szCs w:val="21"/>
              </w:rPr>
              <w:t>/</w:t>
            </w:r>
          </w:p>
        </w:tc>
        <w:tc>
          <w:tcPr>
            <w:tcW w:w="993" w:type="dxa"/>
            <w:vAlign w:val="center"/>
          </w:tcPr>
          <w:p>
            <w:pPr>
              <w:jc w:val="center"/>
              <w:rPr>
                <w:rFonts w:ascii="Times New Roman" w:hAnsi="Times New Roman"/>
                <w:bCs/>
                <w:szCs w:val="21"/>
              </w:rPr>
            </w:pPr>
            <w:r>
              <w:rPr>
                <w:rFonts w:hint="eastAsia" w:ascii="Times New Roman" w:hAnsi="Times New Roman"/>
                <w:bCs/>
                <w:szCs w:val="21"/>
              </w:rPr>
              <w:t>/</w:t>
            </w:r>
          </w:p>
        </w:tc>
        <w:tc>
          <w:tcPr>
            <w:tcW w:w="992" w:type="dxa"/>
            <w:vAlign w:val="center"/>
          </w:tcPr>
          <w:p>
            <w:pPr>
              <w:jc w:val="center"/>
              <w:rPr>
                <w:rFonts w:ascii="Times New Roman" w:hAnsi="Times New Roman"/>
                <w:bCs/>
                <w:szCs w:val="21"/>
              </w:rPr>
            </w:pPr>
            <w:r>
              <w:rPr>
                <w:rFonts w:hint="eastAsia" w:ascii="Times New Roman" w:hAnsi="Times New Roman"/>
                <w:bCs/>
                <w:szCs w:val="21"/>
              </w:rPr>
              <w:t>44.66</w:t>
            </w:r>
          </w:p>
        </w:tc>
        <w:tc>
          <w:tcPr>
            <w:tcW w:w="992" w:type="dxa"/>
            <w:tcBorders>
              <w:righ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43.84</w:t>
            </w:r>
          </w:p>
        </w:tc>
        <w:tc>
          <w:tcPr>
            <w:tcW w:w="992" w:type="dxa"/>
            <w:tcBorders>
              <w:left w:val="single" w:color="auto" w:sz="4" w:space="0"/>
              <w:righ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54.79</w:t>
            </w:r>
          </w:p>
        </w:tc>
        <w:tc>
          <w:tcPr>
            <w:tcW w:w="917" w:type="dxa"/>
            <w:tcBorders>
              <w:lef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88.24</w:t>
            </w:r>
          </w:p>
        </w:tc>
      </w:tr>
    </w:tbl>
    <w:p>
      <w:pPr>
        <w:widowControl/>
        <w:adjustRightInd w:val="0"/>
        <w:snapToGrid w:val="0"/>
        <w:spacing w:line="360" w:lineRule="auto"/>
        <w:rPr>
          <w:rFonts w:ascii="仿宋_GB2312" w:hAnsi="宋体" w:eastAsia="仿宋_GB2312" w:cs="宋体"/>
          <w:kern w:val="0"/>
          <w:sz w:val="28"/>
          <w:szCs w:val="28"/>
        </w:rPr>
      </w:pP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②盐池县天然气消费趋势分析</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盐池县天然气消费历史数据及“十四五”需求预测见表6-5。</w:t>
      </w:r>
    </w:p>
    <w:p>
      <w:pPr>
        <w:adjustRightInd w:val="0"/>
        <w:snapToGrid w:val="0"/>
        <w:spacing w:line="360" w:lineRule="auto"/>
        <w:jc w:val="center"/>
        <w:rPr>
          <w:rFonts w:ascii="Times New Roman" w:hAnsi="Times New Roman"/>
          <w:b/>
        </w:rPr>
      </w:pPr>
      <w:r>
        <w:rPr>
          <w:rFonts w:hint="eastAsia" w:ascii="Times New Roman" w:hAnsi="Times New Roman"/>
          <w:b/>
        </w:rPr>
        <w:t>表6-5</w:t>
      </w:r>
      <w:r>
        <w:rPr>
          <w:rFonts w:ascii="Times New Roman" w:hAnsi="Times New Roman"/>
          <w:b/>
        </w:rPr>
        <w:t xml:space="preserve">  </w:t>
      </w:r>
      <w:r>
        <w:rPr>
          <w:rFonts w:hint="eastAsia" w:ascii="Times New Roman" w:hAnsi="Times New Roman"/>
          <w:b/>
        </w:rPr>
        <w:t>天然气</w:t>
      </w:r>
      <w:r>
        <w:rPr>
          <w:rFonts w:ascii="Times New Roman" w:hAnsi="Times New Roman"/>
          <w:b/>
        </w:rPr>
        <w:t>消费历史数据及需求预测</w:t>
      </w:r>
      <w:r>
        <w:rPr>
          <w:rFonts w:hint="eastAsia" w:ascii="Times New Roman" w:hAnsi="Times New Roman"/>
          <w:b/>
        </w:rPr>
        <w:t xml:space="preserve">     单位：万立方米</w:t>
      </w:r>
    </w:p>
    <w:tbl>
      <w:tblPr>
        <w:tblStyle w:val="14"/>
        <w:tblW w:w="807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194"/>
        <w:gridCol w:w="992"/>
        <w:gridCol w:w="993"/>
        <w:gridCol w:w="992"/>
        <w:gridCol w:w="992"/>
        <w:gridCol w:w="992"/>
        <w:gridCol w:w="91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194" w:type="dxa"/>
            <w:vAlign w:val="center"/>
          </w:tcPr>
          <w:p>
            <w:pPr>
              <w:jc w:val="center"/>
              <w:rPr>
                <w:rFonts w:ascii="Times New Roman" w:hAnsi="Times New Roman"/>
                <w:b/>
                <w:bCs/>
                <w:szCs w:val="21"/>
              </w:rPr>
            </w:pPr>
            <w:r>
              <w:rPr>
                <w:rFonts w:ascii="Times New Roman" w:hAnsi="Times New Roman"/>
                <w:b/>
                <w:bCs/>
                <w:szCs w:val="21"/>
              </w:rPr>
              <w:t>分类</w:t>
            </w:r>
          </w:p>
        </w:tc>
        <w:tc>
          <w:tcPr>
            <w:tcW w:w="992" w:type="dxa"/>
            <w:vAlign w:val="center"/>
          </w:tcPr>
          <w:p>
            <w:pPr>
              <w:jc w:val="center"/>
              <w:rPr>
                <w:rFonts w:ascii="Times New Roman" w:hAnsi="Times New Roman"/>
                <w:b/>
                <w:bCs/>
                <w:szCs w:val="21"/>
              </w:rPr>
            </w:pPr>
            <w:r>
              <w:rPr>
                <w:rFonts w:hint="eastAsia" w:ascii="Times New Roman" w:hAnsi="Times New Roman"/>
                <w:b/>
                <w:bCs/>
                <w:szCs w:val="21"/>
              </w:rPr>
              <w:t>2016</w:t>
            </w:r>
          </w:p>
        </w:tc>
        <w:tc>
          <w:tcPr>
            <w:tcW w:w="993" w:type="dxa"/>
            <w:vAlign w:val="center"/>
          </w:tcPr>
          <w:p>
            <w:pPr>
              <w:jc w:val="center"/>
              <w:rPr>
                <w:rFonts w:ascii="Times New Roman" w:hAnsi="Times New Roman"/>
                <w:b/>
                <w:bCs/>
                <w:szCs w:val="21"/>
              </w:rPr>
            </w:pPr>
            <w:r>
              <w:rPr>
                <w:rFonts w:hint="eastAsia" w:ascii="Times New Roman" w:hAnsi="Times New Roman"/>
                <w:b/>
                <w:bCs/>
                <w:szCs w:val="21"/>
              </w:rPr>
              <w:t>2017</w:t>
            </w:r>
          </w:p>
        </w:tc>
        <w:tc>
          <w:tcPr>
            <w:tcW w:w="992" w:type="dxa"/>
            <w:vAlign w:val="center"/>
          </w:tcPr>
          <w:p>
            <w:pPr>
              <w:jc w:val="center"/>
              <w:rPr>
                <w:rFonts w:ascii="Times New Roman" w:hAnsi="Times New Roman"/>
                <w:b/>
                <w:bCs/>
                <w:szCs w:val="21"/>
              </w:rPr>
            </w:pPr>
            <w:r>
              <w:rPr>
                <w:rFonts w:hint="eastAsia" w:ascii="Times New Roman" w:hAnsi="Times New Roman"/>
                <w:b/>
                <w:bCs/>
                <w:szCs w:val="21"/>
              </w:rPr>
              <w:t>2018</w:t>
            </w:r>
          </w:p>
        </w:tc>
        <w:tc>
          <w:tcPr>
            <w:tcW w:w="992" w:type="dxa"/>
            <w:tcBorders>
              <w:righ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2019</w:t>
            </w:r>
          </w:p>
        </w:tc>
        <w:tc>
          <w:tcPr>
            <w:tcW w:w="992" w:type="dxa"/>
            <w:tcBorders>
              <w:left w:val="single" w:color="auto" w:sz="4" w:space="0"/>
              <w:righ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2020</w:t>
            </w:r>
          </w:p>
        </w:tc>
        <w:tc>
          <w:tcPr>
            <w:tcW w:w="917" w:type="dxa"/>
            <w:tcBorders>
              <w:lef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194" w:type="dxa"/>
            <w:vAlign w:val="center"/>
          </w:tcPr>
          <w:p>
            <w:pPr>
              <w:jc w:val="center"/>
              <w:rPr>
                <w:rFonts w:ascii="Times New Roman" w:hAnsi="Times New Roman"/>
                <w:bCs/>
                <w:szCs w:val="21"/>
              </w:rPr>
            </w:pPr>
            <w:r>
              <w:rPr>
                <w:rFonts w:hint="eastAsia" w:ascii="Times New Roman" w:hAnsi="Times New Roman"/>
                <w:bCs/>
                <w:szCs w:val="21"/>
              </w:rPr>
              <w:t>天然气</w:t>
            </w:r>
            <w:r>
              <w:rPr>
                <w:rFonts w:ascii="Times New Roman" w:hAnsi="Times New Roman"/>
                <w:bCs/>
                <w:szCs w:val="21"/>
              </w:rPr>
              <w:t>消费总量</w:t>
            </w:r>
          </w:p>
        </w:tc>
        <w:tc>
          <w:tcPr>
            <w:tcW w:w="992" w:type="dxa"/>
            <w:vAlign w:val="center"/>
          </w:tcPr>
          <w:p>
            <w:pPr>
              <w:jc w:val="center"/>
              <w:rPr>
                <w:rFonts w:ascii="Times New Roman" w:hAnsi="Times New Roman"/>
                <w:bCs/>
                <w:szCs w:val="21"/>
              </w:rPr>
            </w:pPr>
            <w:r>
              <w:rPr>
                <w:rFonts w:hint="eastAsia" w:ascii="Times New Roman" w:hAnsi="Times New Roman"/>
                <w:bCs/>
                <w:szCs w:val="21"/>
              </w:rPr>
              <w:t>/</w:t>
            </w:r>
          </w:p>
        </w:tc>
        <w:tc>
          <w:tcPr>
            <w:tcW w:w="993" w:type="dxa"/>
            <w:vAlign w:val="center"/>
          </w:tcPr>
          <w:p>
            <w:pPr>
              <w:jc w:val="center"/>
              <w:rPr>
                <w:rFonts w:ascii="Times New Roman" w:hAnsi="Times New Roman"/>
                <w:bCs/>
                <w:szCs w:val="21"/>
              </w:rPr>
            </w:pPr>
            <w:r>
              <w:rPr>
                <w:rFonts w:hint="eastAsia" w:ascii="Times New Roman" w:hAnsi="Times New Roman"/>
                <w:bCs/>
                <w:szCs w:val="21"/>
              </w:rPr>
              <w:t>/</w:t>
            </w:r>
          </w:p>
        </w:tc>
        <w:tc>
          <w:tcPr>
            <w:tcW w:w="992" w:type="dxa"/>
            <w:vAlign w:val="center"/>
          </w:tcPr>
          <w:p>
            <w:pPr>
              <w:jc w:val="center"/>
              <w:rPr>
                <w:rFonts w:ascii="Times New Roman" w:hAnsi="Times New Roman"/>
                <w:bCs/>
                <w:szCs w:val="21"/>
              </w:rPr>
            </w:pPr>
            <w:r>
              <w:rPr>
                <w:rFonts w:hint="eastAsia" w:ascii="Times New Roman" w:hAnsi="Times New Roman"/>
                <w:bCs/>
                <w:szCs w:val="21"/>
              </w:rPr>
              <w:t>3.92</w:t>
            </w:r>
          </w:p>
        </w:tc>
        <w:tc>
          <w:tcPr>
            <w:tcW w:w="992" w:type="dxa"/>
            <w:tcBorders>
              <w:righ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4.19</w:t>
            </w:r>
          </w:p>
        </w:tc>
        <w:tc>
          <w:tcPr>
            <w:tcW w:w="992" w:type="dxa"/>
            <w:tcBorders>
              <w:left w:val="single" w:color="auto" w:sz="4" w:space="0"/>
              <w:righ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5.62</w:t>
            </w:r>
          </w:p>
        </w:tc>
        <w:tc>
          <w:tcPr>
            <w:tcW w:w="917" w:type="dxa"/>
            <w:tcBorders>
              <w:lef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9.05</w:t>
            </w:r>
          </w:p>
        </w:tc>
      </w:tr>
    </w:tbl>
    <w:p>
      <w:pPr>
        <w:widowControl/>
        <w:adjustRightInd w:val="0"/>
        <w:snapToGrid w:val="0"/>
        <w:spacing w:line="360" w:lineRule="auto"/>
        <w:ind w:firstLine="560" w:firstLineChars="200"/>
        <w:rPr>
          <w:rFonts w:ascii="仿宋_GB2312" w:hAnsi="宋体" w:eastAsia="仿宋_GB2312" w:cs="宋体"/>
          <w:kern w:val="0"/>
          <w:sz w:val="28"/>
          <w:szCs w:val="28"/>
        </w:rPr>
      </w:pP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③电力消费趋势分析</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盐池县电力消费历史数据及“十四五”需求预测见表6-6。</w:t>
      </w:r>
    </w:p>
    <w:p>
      <w:pPr>
        <w:widowControl/>
        <w:adjustRightInd w:val="0"/>
        <w:snapToGrid w:val="0"/>
        <w:spacing w:line="360" w:lineRule="auto"/>
        <w:ind w:firstLine="422" w:firstLineChars="200"/>
        <w:rPr>
          <w:rFonts w:ascii="Times New Roman" w:hAnsi="Times New Roman"/>
          <w:b/>
        </w:rPr>
      </w:pPr>
      <w:r>
        <w:rPr>
          <w:rFonts w:hint="eastAsia" w:ascii="Times New Roman" w:hAnsi="Times New Roman"/>
          <w:b/>
        </w:rPr>
        <w:t xml:space="preserve">表6-6 </w:t>
      </w:r>
      <w:r>
        <w:rPr>
          <w:rFonts w:ascii="Times New Roman" w:hAnsi="Times New Roman"/>
          <w:b/>
        </w:rPr>
        <w:t xml:space="preserve"> </w:t>
      </w:r>
      <w:r>
        <w:rPr>
          <w:rFonts w:hint="eastAsia" w:ascii="Times New Roman" w:hAnsi="Times New Roman"/>
          <w:b/>
        </w:rPr>
        <w:t>电力</w:t>
      </w:r>
      <w:r>
        <w:rPr>
          <w:rFonts w:ascii="Times New Roman" w:hAnsi="Times New Roman"/>
          <w:b/>
        </w:rPr>
        <w:t>消费历史数据及需求预测</w:t>
      </w:r>
      <w:r>
        <w:rPr>
          <w:rFonts w:hint="eastAsia" w:ascii="Times New Roman" w:hAnsi="Times New Roman"/>
          <w:b/>
        </w:rPr>
        <w:t xml:space="preserve">     单位：万千瓦时</w:t>
      </w:r>
    </w:p>
    <w:tbl>
      <w:tblPr>
        <w:tblStyle w:val="14"/>
        <w:tblW w:w="807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194"/>
        <w:gridCol w:w="992"/>
        <w:gridCol w:w="993"/>
        <w:gridCol w:w="992"/>
        <w:gridCol w:w="992"/>
        <w:gridCol w:w="992"/>
        <w:gridCol w:w="91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194" w:type="dxa"/>
            <w:vAlign w:val="center"/>
          </w:tcPr>
          <w:p>
            <w:pPr>
              <w:jc w:val="center"/>
              <w:rPr>
                <w:rFonts w:ascii="Times New Roman" w:hAnsi="Times New Roman"/>
                <w:b/>
                <w:bCs/>
                <w:szCs w:val="21"/>
              </w:rPr>
            </w:pPr>
            <w:r>
              <w:rPr>
                <w:rFonts w:ascii="Times New Roman" w:hAnsi="Times New Roman"/>
                <w:b/>
                <w:bCs/>
                <w:szCs w:val="21"/>
              </w:rPr>
              <w:t>分类</w:t>
            </w:r>
          </w:p>
        </w:tc>
        <w:tc>
          <w:tcPr>
            <w:tcW w:w="992" w:type="dxa"/>
            <w:vAlign w:val="center"/>
          </w:tcPr>
          <w:p>
            <w:pPr>
              <w:jc w:val="center"/>
              <w:rPr>
                <w:rFonts w:ascii="Times New Roman" w:hAnsi="Times New Roman"/>
                <w:b/>
                <w:bCs/>
                <w:szCs w:val="21"/>
              </w:rPr>
            </w:pPr>
            <w:r>
              <w:rPr>
                <w:rFonts w:hint="eastAsia" w:ascii="Times New Roman" w:hAnsi="Times New Roman"/>
                <w:b/>
                <w:bCs/>
                <w:szCs w:val="21"/>
              </w:rPr>
              <w:t>2016</w:t>
            </w:r>
          </w:p>
        </w:tc>
        <w:tc>
          <w:tcPr>
            <w:tcW w:w="993" w:type="dxa"/>
            <w:vAlign w:val="center"/>
          </w:tcPr>
          <w:p>
            <w:pPr>
              <w:jc w:val="center"/>
              <w:rPr>
                <w:rFonts w:ascii="Times New Roman" w:hAnsi="Times New Roman"/>
                <w:b/>
                <w:bCs/>
                <w:szCs w:val="21"/>
              </w:rPr>
            </w:pPr>
            <w:r>
              <w:rPr>
                <w:rFonts w:hint="eastAsia" w:ascii="Times New Roman" w:hAnsi="Times New Roman"/>
                <w:b/>
                <w:bCs/>
                <w:szCs w:val="21"/>
              </w:rPr>
              <w:t>2017</w:t>
            </w:r>
          </w:p>
        </w:tc>
        <w:tc>
          <w:tcPr>
            <w:tcW w:w="992" w:type="dxa"/>
            <w:vAlign w:val="center"/>
          </w:tcPr>
          <w:p>
            <w:pPr>
              <w:jc w:val="center"/>
              <w:rPr>
                <w:rFonts w:ascii="Times New Roman" w:hAnsi="Times New Roman"/>
                <w:b/>
                <w:bCs/>
                <w:szCs w:val="21"/>
              </w:rPr>
            </w:pPr>
            <w:r>
              <w:rPr>
                <w:rFonts w:hint="eastAsia" w:ascii="Times New Roman" w:hAnsi="Times New Roman"/>
                <w:b/>
                <w:bCs/>
                <w:szCs w:val="21"/>
              </w:rPr>
              <w:t>2018</w:t>
            </w:r>
          </w:p>
        </w:tc>
        <w:tc>
          <w:tcPr>
            <w:tcW w:w="992" w:type="dxa"/>
            <w:tcBorders>
              <w:righ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2019</w:t>
            </w:r>
          </w:p>
        </w:tc>
        <w:tc>
          <w:tcPr>
            <w:tcW w:w="992" w:type="dxa"/>
            <w:tcBorders>
              <w:left w:val="single" w:color="auto" w:sz="4" w:space="0"/>
              <w:righ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2020</w:t>
            </w:r>
          </w:p>
        </w:tc>
        <w:tc>
          <w:tcPr>
            <w:tcW w:w="917" w:type="dxa"/>
            <w:tcBorders>
              <w:left w:val="single" w:color="auto" w:sz="4" w:space="0"/>
            </w:tcBorders>
            <w:vAlign w:val="center"/>
          </w:tcPr>
          <w:p>
            <w:pPr>
              <w:jc w:val="center"/>
              <w:rPr>
                <w:rFonts w:ascii="Times New Roman" w:hAnsi="Times New Roman"/>
                <w:b/>
                <w:bCs/>
                <w:szCs w:val="21"/>
              </w:rPr>
            </w:pPr>
            <w:r>
              <w:rPr>
                <w:rFonts w:hint="eastAsia" w:ascii="Times New Roman" w:hAnsi="Times New Roman"/>
                <w:b/>
                <w:bCs/>
                <w:szCs w:val="21"/>
              </w:rPr>
              <w:t>2025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194" w:type="dxa"/>
            <w:vAlign w:val="center"/>
          </w:tcPr>
          <w:p>
            <w:pPr>
              <w:jc w:val="center"/>
              <w:rPr>
                <w:rFonts w:ascii="Times New Roman" w:hAnsi="Times New Roman"/>
                <w:bCs/>
                <w:szCs w:val="21"/>
              </w:rPr>
            </w:pPr>
            <w:r>
              <w:rPr>
                <w:rFonts w:hint="eastAsia" w:ascii="Times New Roman" w:hAnsi="Times New Roman"/>
                <w:bCs/>
                <w:szCs w:val="21"/>
              </w:rPr>
              <w:t>规上企业用电量</w:t>
            </w:r>
          </w:p>
        </w:tc>
        <w:tc>
          <w:tcPr>
            <w:tcW w:w="992" w:type="dxa"/>
            <w:vAlign w:val="center"/>
          </w:tcPr>
          <w:p>
            <w:pPr>
              <w:jc w:val="center"/>
              <w:rPr>
                <w:rFonts w:ascii="Times New Roman" w:hAnsi="Times New Roman"/>
                <w:bCs/>
                <w:szCs w:val="21"/>
              </w:rPr>
            </w:pPr>
            <w:r>
              <w:rPr>
                <w:rFonts w:hint="eastAsia" w:ascii="Times New Roman" w:hAnsi="Times New Roman"/>
                <w:bCs/>
                <w:szCs w:val="21"/>
              </w:rPr>
              <w:t>/</w:t>
            </w:r>
          </w:p>
        </w:tc>
        <w:tc>
          <w:tcPr>
            <w:tcW w:w="993" w:type="dxa"/>
            <w:vAlign w:val="center"/>
          </w:tcPr>
          <w:p>
            <w:pPr>
              <w:jc w:val="center"/>
              <w:rPr>
                <w:rFonts w:ascii="Times New Roman" w:hAnsi="Times New Roman"/>
                <w:bCs/>
                <w:szCs w:val="21"/>
              </w:rPr>
            </w:pPr>
            <w:r>
              <w:rPr>
                <w:rFonts w:hint="eastAsia" w:ascii="Times New Roman" w:hAnsi="Times New Roman"/>
                <w:bCs/>
                <w:szCs w:val="21"/>
              </w:rPr>
              <w:t>/</w:t>
            </w:r>
          </w:p>
        </w:tc>
        <w:tc>
          <w:tcPr>
            <w:tcW w:w="992" w:type="dxa"/>
            <w:vAlign w:val="center"/>
          </w:tcPr>
          <w:p>
            <w:pPr>
              <w:jc w:val="center"/>
              <w:rPr>
                <w:rFonts w:ascii="Times New Roman" w:hAnsi="Times New Roman"/>
                <w:bCs/>
                <w:szCs w:val="21"/>
              </w:rPr>
            </w:pPr>
            <w:r>
              <w:rPr>
                <w:rFonts w:hint="eastAsia" w:ascii="Times New Roman" w:hAnsi="Times New Roman"/>
                <w:bCs/>
                <w:szCs w:val="21"/>
              </w:rPr>
              <w:t>5.08</w:t>
            </w:r>
          </w:p>
        </w:tc>
        <w:tc>
          <w:tcPr>
            <w:tcW w:w="992" w:type="dxa"/>
            <w:tcBorders>
              <w:righ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5.72</w:t>
            </w:r>
          </w:p>
        </w:tc>
        <w:tc>
          <w:tcPr>
            <w:tcW w:w="992" w:type="dxa"/>
            <w:tcBorders>
              <w:left w:val="single" w:color="auto" w:sz="4" w:space="0"/>
              <w:righ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6.63</w:t>
            </w:r>
          </w:p>
        </w:tc>
        <w:tc>
          <w:tcPr>
            <w:tcW w:w="917" w:type="dxa"/>
            <w:tcBorders>
              <w:left w:val="single" w:color="auto" w:sz="4" w:space="0"/>
            </w:tcBorders>
            <w:vAlign w:val="center"/>
          </w:tcPr>
          <w:p>
            <w:pPr>
              <w:jc w:val="center"/>
              <w:rPr>
                <w:rFonts w:ascii="Times New Roman" w:hAnsi="Times New Roman"/>
                <w:bCs/>
                <w:szCs w:val="21"/>
              </w:rPr>
            </w:pPr>
            <w:r>
              <w:rPr>
                <w:rFonts w:hint="eastAsia" w:ascii="Times New Roman" w:hAnsi="Times New Roman"/>
                <w:bCs/>
                <w:szCs w:val="21"/>
              </w:rPr>
              <w:t>10.68</w:t>
            </w:r>
          </w:p>
        </w:tc>
      </w:tr>
    </w:tbl>
    <w:p/>
    <w:p>
      <w:pPr>
        <w:pStyle w:val="3"/>
        <w:adjustRightInd w:val="0"/>
        <w:snapToGrid w:val="0"/>
        <w:spacing w:before="120" w:after="120" w:line="360" w:lineRule="auto"/>
        <w:rPr>
          <w:rFonts w:ascii="黑体" w:hAnsi="黑体" w:eastAsia="黑体"/>
          <w:kern w:val="0"/>
          <w:sz w:val="30"/>
          <w:szCs w:val="30"/>
        </w:rPr>
      </w:pPr>
      <w:bookmarkStart w:id="24" w:name="_Toc111980881"/>
      <w:r>
        <w:rPr>
          <w:rFonts w:hint="eastAsia" w:ascii="黑体" w:hAnsi="黑体" w:eastAsia="黑体"/>
          <w:kern w:val="0"/>
          <w:sz w:val="30"/>
          <w:szCs w:val="30"/>
        </w:rPr>
        <w:t>6.3污染物排放预测</w:t>
      </w:r>
      <w:bookmarkEnd w:id="24"/>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对不同规划阶段区域生态系统质量、生态环境质量变化、主要污染物排放、新型生态环境问题等方面进行预测分析，研判生态环境质量变化</w:t>
      </w:r>
      <w:r>
        <w:rPr>
          <w:rFonts w:hint="eastAsia" w:ascii="仿宋_GB2312" w:hAnsi="宋体" w:eastAsia="仿宋_GB2312" w:cs="宋体"/>
          <w:kern w:val="0"/>
          <w:sz w:val="28"/>
          <w:szCs w:val="28"/>
          <w:lang w:val="en-US" w:eastAsia="zh-CN"/>
        </w:rPr>
        <w:t>给</w:t>
      </w:r>
      <w:r>
        <w:rPr>
          <w:rFonts w:hint="eastAsia" w:ascii="仿宋_GB2312" w:hAnsi="宋体" w:eastAsia="仿宋_GB2312" w:cs="宋体"/>
          <w:kern w:val="0"/>
          <w:sz w:val="28"/>
          <w:szCs w:val="28"/>
        </w:rPr>
        <w:t>区域生态文明建设带来的挑战。</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⑴污染物排放趋势</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根据统计年鉴及2025年经济社会和人口发展预测</w:t>
      </w:r>
      <w:r>
        <w:rPr>
          <w:rFonts w:hint="eastAsia" w:ascii="仿宋_GB2312" w:hAnsi="宋体" w:eastAsia="仿宋_GB2312" w:cs="宋体"/>
          <w:kern w:val="0"/>
          <w:sz w:val="28"/>
          <w:szCs w:val="28"/>
        </w:rPr>
        <w:t>，</w:t>
      </w:r>
      <w:r>
        <w:rPr>
          <w:rFonts w:hint="eastAsia" w:ascii="仿宋_GB2312" w:hAnsi="宋体" w:eastAsia="仿宋_GB2312" w:cs="宋体"/>
          <w:kern w:val="0"/>
          <w:sz w:val="28"/>
          <w:szCs w:val="28"/>
        </w:rPr>
        <w:t>至“十四五”末期盐池县废水排放量变化趋势见图6-1。</w:t>
      </w:r>
    </w:p>
    <w:p>
      <w:pPr>
        <w:widowControl/>
        <w:adjustRightInd w:val="0"/>
        <w:snapToGrid w:val="0"/>
        <w:spacing w:line="360" w:lineRule="auto"/>
        <w:jc w:val="center"/>
        <w:rPr>
          <w:rFonts w:ascii="仿宋_GB2312" w:hAnsi="宋体" w:eastAsia="仿宋_GB2312" w:cs="宋体"/>
          <w:kern w:val="0"/>
          <w:sz w:val="28"/>
          <w:szCs w:val="28"/>
        </w:rPr>
      </w:pPr>
      <w:r>
        <w:drawing>
          <wp:inline distT="0" distB="0" distL="0" distR="0">
            <wp:extent cx="4572000" cy="2743200"/>
            <wp:effectExtent l="0" t="0" r="19050" b="1905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widowControl/>
        <w:adjustRightInd w:val="0"/>
        <w:snapToGrid w:val="0"/>
        <w:spacing w:line="360" w:lineRule="auto"/>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图6-1 污水排放量预测趋势图</w:t>
      </w:r>
    </w:p>
    <w:p>
      <w:pPr>
        <w:widowControl/>
        <w:adjustRightInd w:val="0"/>
        <w:snapToGrid w:val="0"/>
        <w:spacing w:line="360" w:lineRule="auto"/>
        <w:rPr>
          <w:rFonts w:ascii="仿宋_GB2312" w:hAnsi="宋体" w:eastAsia="仿宋_GB2312" w:cs="宋体"/>
          <w:kern w:val="0"/>
          <w:sz w:val="28"/>
          <w:szCs w:val="28"/>
        </w:rPr>
      </w:pPr>
      <w:r>
        <w:rPr>
          <w:rFonts w:hint="eastAsia" w:ascii="仿宋_GB2312" w:hAnsi="宋体" w:eastAsia="仿宋_GB2312" w:cs="宋体"/>
          <w:kern w:val="0"/>
          <w:sz w:val="28"/>
          <w:szCs w:val="28"/>
        </w:rPr>
        <w:t>经预测，到“十四五”末期，盐池县化学需氧量排放量见图6-2。</w:t>
      </w:r>
    </w:p>
    <w:p>
      <w:pPr>
        <w:widowControl/>
        <w:adjustRightInd w:val="0"/>
        <w:snapToGrid w:val="0"/>
        <w:spacing w:line="360" w:lineRule="auto"/>
        <w:jc w:val="center"/>
        <w:rPr>
          <w:rFonts w:ascii="仿宋_GB2312" w:hAnsi="宋体" w:eastAsia="仿宋_GB2312" w:cs="宋体"/>
          <w:kern w:val="0"/>
          <w:sz w:val="28"/>
          <w:szCs w:val="28"/>
        </w:rPr>
      </w:pPr>
      <w:r>
        <w:drawing>
          <wp:inline distT="0" distB="0" distL="0" distR="0">
            <wp:extent cx="4572000" cy="2743200"/>
            <wp:effectExtent l="0" t="0" r="19050" b="1905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widowControl/>
        <w:adjustRightInd w:val="0"/>
        <w:snapToGrid w:val="0"/>
        <w:spacing w:line="360" w:lineRule="auto"/>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图6-2 化学需氧量排放量预测趋势图</w:t>
      </w:r>
    </w:p>
    <w:p>
      <w:pPr>
        <w:widowControl/>
        <w:adjustRightInd w:val="0"/>
        <w:snapToGrid w:val="0"/>
        <w:spacing w:line="360" w:lineRule="auto"/>
        <w:jc w:val="center"/>
        <w:rPr>
          <w:rFonts w:ascii="仿宋_GB2312" w:hAnsi="宋体" w:eastAsia="仿宋_GB2312" w:cs="宋体"/>
          <w:kern w:val="0"/>
          <w:sz w:val="28"/>
          <w:szCs w:val="28"/>
        </w:rPr>
      </w:pPr>
    </w:p>
    <w:p>
      <w:pPr>
        <w:widowControl/>
        <w:adjustRightInd w:val="0"/>
        <w:snapToGrid w:val="0"/>
        <w:spacing w:line="360" w:lineRule="auto"/>
        <w:jc w:val="center"/>
        <w:rPr>
          <w:rFonts w:ascii="仿宋_GB2312" w:hAnsi="宋体" w:eastAsia="仿宋_GB2312" w:cs="宋体"/>
          <w:kern w:val="0"/>
          <w:sz w:val="28"/>
          <w:szCs w:val="28"/>
        </w:rPr>
      </w:pPr>
    </w:p>
    <w:p>
      <w:pPr>
        <w:widowControl/>
        <w:adjustRightInd w:val="0"/>
        <w:snapToGrid w:val="0"/>
        <w:spacing w:line="360" w:lineRule="auto"/>
        <w:jc w:val="center"/>
        <w:rPr>
          <w:rFonts w:ascii="仿宋_GB2312" w:hAnsi="宋体" w:eastAsia="仿宋_GB2312" w:cs="宋体"/>
          <w:kern w:val="0"/>
          <w:sz w:val="28"/>
          <w:szCs w:val="28"/>
        </w:rPr>
      </w:pPr>
      <w:r>
        <w:drawing>
          <wp:inline distT="0" distB="0" distL="0" distR="0">
            <wp:extent cx="4572000" cy="2743200"/>
            <wp:effectExtent l="0" t="0" r="19050" b="1905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widowControl/>
        <w:adjustRightInd w:val="0"/>
        <w:snapToGrid w:val="0"/>
        <w:spacing w:line="360" w:lineRule="auto"/>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图6-3 氨氮排放量预测趋势图</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根据大气环境质量底线目标，模拟不同情景下污染物排放总量与环境空气质量的响应关系，预测2025年大气污染物允许排放量。在PM2.5浓度目标约束下，盐池县二氧化硫、氮氧化物、颗粒物、挥发性有机物相比2020年，需重点削减氮氧化物、颗粒物和挥发性有机物的排放量，大幅降低上述污染物的排放量，才能保证顺利完成大气污染物减排目标。</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二氧化硫排放量基本保持稳定，随着清洁生产工艺的持续改造和实施二氧化硫排放量不会明显增加（具体见图6-4）。</w:t>
      </w:r>
    </w:p>
    <w:p>
      <w:pPr>
        <w:widowControl/>
        <w:adjustRightInd w:val="0"/>
        <w:snapToGrid w:val="0"/>
        <w:spacing w:line="360" w:lineRule="auto"/>
        <w:jc w:val="center"/>
        <w:rPr>
          <w:rFonts w:ascii="仿宋_GB2312" w:hAnsi="宋体" w:eastAsia="仿宋_GB2312" w:cs="宋体"/>
          <w:kern w:val="0"/>
          <w:sz w:val="28"/>
          <w:szCs w:val="28"/>
        </w:rPr>
      </w:pPr>
      <w:r>
        <w:drawing>
          <wp:inline distT="0" distB="0" distL="0" distR="0">
            <wp:extent cx="4572000" cy="2743200"/>
            <wp:effectExtent l="0" t="0" r="19050" b="1905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widowControl/>
        <w:adjustRightInd w:val="0"/>
        <w:snapToGrid w:val="0"/>
        <w:spacing w:line="360" w:lineRule="auto"/>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图6-4  二氧化硫排放量变化趋势</w:t>
      </w:r>
    </w:p>
    <w:p>
      <w:pPr>
        <w:widowControl/>
        <w:adjustRightInd w:val="0"/>
        <w:snapToGrid w:val="0"/>
        <w:spacing w:line="360" w:lineRule="auto"/>
        <w:ind w:firstLine="420" w:firstLineChars="200"/>
        <w:jc w:val="center"/>
        <w:rPr>
          <w:rFonts w:ascii="仿宋_GB2312" w:hAnsi="宋体" w:eastAsia="仿宋_GB2312" w:cs="宋体"/>
          <w:kern w:val="0"/>
          <w:sz w:val="28"/>
          <w:szCs w:val="28"/>
        </w:rPr>
      </w:pPr>
      <w:r>
        <w:drawing>
          <wp:inline distT="0" distB="0" distL="0" distR="0">
            <wp:extent cx="4572000" cy="2743200"/>
            <wp:effectExtent l="0" t="0" r="19050" b="1905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widowControl/>
        <w:adjustRightInd w:val="0"/>
        <w:snapToGrid w:val="0"/>
        <w:spacing w:line="360" w:lineRule="auto"/>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图6-5  氮氧化物排放量变化趋势</w:t>
      </w:r>
    </w:p>
    <w:p>
      <w:pPr>
        <w:widowControl/>
        <w:adjustRightInd w:val="0"/>
        <w:snapToGrid w:val="0"/>
        <w:spacing w:line="360" w:lineRule="auto"/>
        <w:jc w:val="center"/>
        <w:rPr>
          <w:rFonts w:ascii="仿宋_GB2312" w:hAnsi="宋体" w:eastAsia="仿宋_GB2312" w:cs="宋体"/>
          <w:kern w:val="0"/>
          <w:sz w:val="28"/>
          <w:szCs w:val="28"/>
        </w:rPr>
      </w:pPr>
    </w:p>
    <w:p>
      <w:pPr>
        <w:widowControl/>
        <w:adjustRightInd w:val="0"/>
        <w:snapToGrid w:val="0"/>
        <w:spacing w:line="360" w:lineRule="auto"/>
        <w:jc w:val="center"/>
        <w:rPr>
          <w:rFonts w:ascii="仿宋_GB2312" w:hAnsi="宋体" w:eastAsia="仿宋_GB2312" w:cs="宋体"/>
          <w:kern w:val="0"/>
          <w:sz w:val="28"/>
          <w:szCs w:val="28"/>
        </w:rPr>
      </w:pPr>
      <w:r>
        <w:drawing>
          <wp:inline distT="0" distB="0" distL="0" distR="0">
            <wp:extent cx="4572000" cy="2743200"/>
            <wp:effectExtent l="0" t="0" r="19050" b="1905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widowControl/>
        <w:adjustRightInd w:val="0"/>
        <w:snapToGrid w:val="0"/>
        <w:spacing w:line="360" w:lineRule="auto"/>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图6-6  烟粉尘排放量变化趋势</w:t>
      </w:r>
    </w:p>
    <w:p>
      <w:pPr>
        <w:widowControl/>
        <w:adjustRightInd w:val="0"/>
        <w:snapToGrid w:val="0"/>
        <w:spacing w:line="360" w:lineRule="auto"/>
        <w:jc w:val="center"/>
        <w:rPr>
          <w:rFonts w:ascii="仿宋_GB2312" w:hAnsi="宋体" w:eastAsia="仿宋_GB2312" w:cs="宋体"/>
          <w:kern w:val="0"/>
          <w:sz w:val="28"/>
          <w:szCs w:val="28"/>
        </w:rPr>
      </w:pPr>
      <w:r>
        <w:drawing>
          <wp:inline distT="0" distB="0" distL="0" distR="0">
            <wp:extent cx="4572000" cy="2743200"/>
            <wp:effectExtent l="0" t="0" r="19050" b="1905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adjustRightInd w:val="0"/>
        <w:snapToGrid w:val="0"/>
        <w:spacing w:line="360" w:lineRule="auto"/>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图6-7  挥发性有机物排放量变化趋势</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⑵生态环境质量改善趋势</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①大气环境质量趋势分析</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盐池县近三年大气环境质量变化情况见表3-7至3-9。由表可知，PM</w:t>
      </w:r>
      <w:r>
        <w:rPr>
          <w:rFonts w:hint="eastAsia" w:ascii="仿宋_GB2312" w:hAnsi="宋体" w:eastAsia="仿宋_GB2312" w:cs="宋体"/>
          <w:kern w:val="0"/>
          <w:sz w:val="28"/>
          <w:szCs w:val="28"/>
          <w:vertAlign w:val="subscript"/>
        </w:rPr>
        <w:t>10</w:t>
      </w:r>
      <w:r>
        <w:rPr>
          <w:rFonts w:hint="eastAsia" w:ascii="仿宋_GB2312" w:hAnsi="宋体" w:eastAsia="仿宋_GB2312" w:cs="宋体"/>
          <w:kern w:val="0"/>
          <w:sz w:val="28"/>
          <w:szCs w:val="28"/>
        </w:rPr>
        <w:t>和PM</w:t>
      </w:r>
      <w:r>
        <w:rPr>
          <w:rFonts w:hint="eastAsia" w:ascii="仿宋_GB2312" w:hAnsi="宋体" w:eastAsia="仿宋_GB2312" w:cs="宋体"/>
          <w:kern w:val="0"/>
          <w:sz w:val="28"/>
          <w:szCs w:val="28"/>
          <w:vertAlign w:val="subscript"/>
        </w:rPr>
        <w:t>2.5</w:t>
      </w:r>
      <w:r>
        <w:rPr>
          <w:rFonts w:hint="eastAsia" w:ascii="仿宋_GB2312" w:hAnsi="宋体" w:eastAsia="仿宋_GB2312" w:cs="宋体"/>
          <w:kern w:val="0"/>
          <w:sz w:val="28"/>
          <w:szCs w:val="28"/>
        </w:rPr>
        <w:t>总体呈下降趋势，PM</w:t>
      </w:r>
      <w:r>
        <w:rPr>
          <w:rFonts w:hint="eastAsia" w:ascii="仿宋_GB2312" w:hAnsi="宋体" w:eastAsia="仿宋_GB2312" w:cs="宋体"/>
          <w:kern w:val="0"/>
          <w:sz w:val="28"/>
          <w:szCs w:val="28"/>
          <w:vertAlign w:val="subscript"/>
        </w:rPr>
        <w:t>10</w:t>
      </w:r>
      <w:r>
        <w:rPr>
          <w:rFonts w:hint="eastAsia" w:ascii="仿宋_GB2312" w:hAnsi="宋体" w:eastAsia="仿宋_GB2312" w:cs="宋体"/>
          <w:kern w:val="0"/>
          <w:sz w:val="28"/>
          <w:szCs w:val="28"/>
        </w:rPr>
        <w:t>由74微克/立方米下降到62微克/立方米，下降比例为16.2%；PM</w:t>
      </w:r>
      <w:r>
        <w:rPr>
          <w:rFonts w:hint="eastAsia" w:ascii="仿宋_GB2312" w:hAnsi="宋体" w:eastAsia="仿宋_GB2312" w:cs="宋体"/>
          <w:kern w:val="0"/>
          <w:sz w:val="28"/>
          <w:szCs w:val="28"/>
          <w:vertAlign w:val="subscript"/>
        </w:rPr>
        <w:t>2.5</w:t>
      </w:r>
      <w:r>
        <w:rPr>
          <w:rFonts w:hint="eastAsia" w:ascii="仿宋_GB2312" w:hAnsi="宋体" w:eastAsia="仿宋_GB2312" w:cs="宋体"/>
          <w:kern w:val="0"/>
          <w:sz w:val="28"/>
          <w:szCs w:val="28"/>
        </w:rPr>
        <w:t>由38微克/立方米下降到32微克/立方米，下降比例为1.5%；优良天数比例波动变化。</w:t>
      </w:r>
    </w:p>
    <w:p>
      <w:pPr>
        <w:adjustRightInd w:val="0"/>
        <w:snapToGrid w:val="0"/>
        <w:spacing w:line="360" w:lineRule="auto"/>
        <w:ind w:firstLine="560" w:firstLineChars="200"/>
        <w:rPr>
          <w:rFonts w:ascii="仿宋_GB2312" w:eastAsia="仿宋_GB2312"/>
          <w:sz w:val="28"/>
          <w:szCs w:val="28"/>
        </w:rPr>
      </w:pPr>
      <w:r>
        <w:rPr>
          <w:rFonts w:hint="eastAsia" w:ascii="仿宋_GB2312" w:hAnsi="宋体" w:eastAsia="仿宋_GB2312" w:cs="宋体"/>
          <w:kern w:val="0"/>
          <w:sz w:val="28"/>
          <w:szCs w:val="28"/>
        </w:rPr>
        <w:t>2016-2021年之间，NO</w:t>
      </w:r>
      <w:r>
        <w:rPr>
          <w:rFonts w:hint="eastAsia" w:ascii="仿宋_GB2312" w:hAnsi="宋体" w:eastAsia="仿宋_GB2312" w:cs="宋体"/>
          <w:kern w:val="0"/>
          <w:sz w:val="28"/>
          <w:szCs w:val="28"/>
          <w:vertAlign w:val="subscript"/>
        </w:rPr>
        <w:t>2</w:t>
      </w:r>
      <w:r>
        <w:rPr>
          <w:rFonts w:hint="eastAsia" w:ascii="仿宋_GB2312" w:hAnsi="宋体" w:eastAsia="仿宋_GB2312" w:cs="宋体"/>
          <w:kern w:val="0"/>
          <w:sz w:val="28"/>
          <w:szCs w:val="28"/>
        </w:rPr>
        <w:t>和O</w:t>
      </w:r>
      <w:r>
        <w:rPr>
          <w:rFonts w:hint="eastAsia" w:ascii="仿宋_GB2312" w:hAnsi="宋体" w:eastAsia="仿宋_GB2312" w:cs="宋体"/>
          <w:kern w:val="0"/>
          <w:sz w:val="28"/>
          <w:szCs w:val="28"/>
          <w:vertAlign w:val="subscript"/>
        </w:rPr>
        <w:t>3</w:t>
      </w:r>
      <w:r>
        <w:rPr>
          <w:rFonts w:hint="eastAsia" w:ascii="仿宋_GB2312" w:hAnsi="宋体" w:eastAsia="仿宋_GB2312" w:cs="宋体"/>
          <w:kern w:val="0"/>
          <w:sz w:val="28"/>
          <w:szCs w:val="28"/>
        </w:rPr>
        <w:t>总体呈升高趋势，上升比例分别为：18.2%和14.0%。因此，“十四五”期间，PM</w:t>
      </w:r>
      <w:r>
        <w:rPr>
          <w:rFonts w:hint="eastAsia" w:ascii="仿宋_GB2312" w:hAnsi="宋体" w:eastAsia="仿宋_GB2312" w:cs="宋体"/>
          <w:kern w:val="0"/>
          <w:sz w:val="28"/>
          <w:szCs w:val="28"/>
          <w:vertAlign w:val="subscript"/>
        </w:rPr>
        <w:t>10</w:t>
      </w:r>
      <w:r>
        <w:rPr>
          <w:rFonts w:hint="eastAsia" w:ascii="仿宋_GB2312" w:hAnsi="宋体" w:eastAsia="仿宋_GB2312" w:cs="宋体"/>
          <w:kern w:val="0"/>
          <w:sz w:val="28"/>
          <w:szCs w:val="28"/>
        </w:rPr>
        <w:t>和PM</w:t>
      </w:r>
      <w:r>
        <w:rPr>
          <w:rFonts w:hint="eastAsia" w:ascii="仿宋_GB2312" w:hAnsi="宋体" w:eastAsia="仿宋_GB2312" w:cs="宋体"/>
          <w:kern w:val="0"/>
          <w:sz w:val="28"/>
          <w:szCs w:val="28"/>
          <w:vertAlign w:val="subscript"/>
        </w:rPr>
        <w:t>2.5</w:t>
      </w:r>
      <w:r>
        <w:rPr>
          <w:rFonts w:hint="eastAsia" w:ascii="仿宋_GB2312" w:hAnsi="宋体" w:eastAsia="仿宋_GB2312" w:cs="宋体"/>
          <w:kern w:val="0"/>
          <w:sz w:val="28"/>
          <w:szCs w:val="28"/>
        </w:rPr>
        <w:t>进一步下降的难度较大，减排空间有限；而NO</w:t>
      </w:r>
      <w:r>
        <w:rPr>
          <w:rFonts w:hint="eastAsia" w:ascii="仿宋_GB2312" w:hAnsi="宋体" w:eastAsia="仿宋_GB2312" w:cs="宋体"/>
          <w:kern w:val="0"/>
          <w:sz w:val="28"/>
          <w:szCs w:val="28"/>
          <w:vertAlign w:val="subscript"/>
        </w:rPr>
        <w:t>2</w:t>
      </w:r>
      <w:r>
        <w:rPr>
          <w:rFonts w:hint="eastAsia" w:ascii="仿宋_GB2312" w:hAnsi="宋体" w:eastAsia="仿宋_GB2312" w:cs="宋体"/>
          <w:kern w:val="0"/>
          <w:sz w:val="28"/>
          <w:szCs w:val="28"/>
        </w:rPr>
        <w:t>和O</w:t>
      </w:r>
      <w:r>
        <w:rPr>
          <w:rFonts w:hint="eastAsia" w:ascii="仿宋_GB2312" w:hAnsi="宋体" w:eastAsia="仿宋_GB2312" w:cs="宋体"/>
          <w:kern w:val="0"/>
          <w:sz w:val="28"/>
          <w:szCs w:val="28"/>
          <w:vertAlign w:val="subscript"/>
        </w:rPr>
        <w:t>3</w:t>
      </w:r>
      <w:r>
        <w:rPr>
          <w:rFonts w:hint="eastAsia" w:ascii="仿宋_GB2312" w:hAnsi="宋体" w:eastAsia="仿宋_GB2312" w:cs="宋体"/>
          <w:kern w:val="0"/>
          <w:sz w:val="28"/>
          <w:szCs w:val="28"/>
        </w:rPr>
        <w:t>浓度呈上升趋势，已成为当前需要重点关注的污染物。</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②水环境质量趋势分析</w:t>
      </w:r>
    </w:p>
    <w:p>
      <w:pPr>
        <w:widowControl/>
        <w:adjustRightInd w:val="0"/>
        <w:snapToGrid w:val="0"/>
        <w:spacing w:line="360" w:lineRule="auto"/>
        <w:ind w:firstLine="560" w:firstLineChars="200"/>
        <w:rPr>
          <w:rFonts w:ascii="仿宋_GB2312" w:hAnsi="宋体" w:eastAsia="仿宋_GB2312" w:cs="宋体"/>
          <w:kern w:val="0"/>
          <w:sz w:val="28"/>
          <w:szCs w:val="28"/>
        </w:rPr>
      </w:pPr>
      <w:r>
        <w:rPr>
          <w:rFonts w:ascii="仿宋_GB2312" w:hAnsi="宋体" w:eastAsia="仿宋_GB2312" w:cs="宋体"/>
          <w:kern w:val="0"/>
          <w:sz w:val="28"/>
          <w:szCs w:val="28"/>
        </w:rPr>
        <w:t>根据盐池县水源地公开监测数据，骆驼井水源地和刘家沟水源地水质保持稳定，达到目标要求（见表</w:t>
      </w:r>
      <w:r>
        <w:rPr>
          <w:rFonts w:hint="eastAsia" w:ascii="仿宋_GB2312" w:hAnsi="宋体" w:eastAsia="仿宋_GB2312" w:cs="宋体"/>
          <w:kern w:val="0"/>
          <w:sz w:val="28"/>
          <w:szCs w:val="28"/>
        </w:rPr>
        <w:t>6-7</w:t>
      </w:r>
      <w:r>
        <w:rPr>
          <w:rFonts w:ascii="仿宋_GB2312" w:hAnsi="宋体" w:eastAsia="仿宋_GB2312" w:cs="宋体"/>
          <w:kern w:val="0"/>
          <w:sz w:val="28"/>
          <w:szCs w:val="28"/>
        </w:rPr>
        <w:t>）。</w:t>
      </w:r>
    </w:p>
    <w:p>
      <w:pPr>
        <w:widowControl/>
        <w:adjustRightInd w:val="0"/>
        <w:snapToGrid w:val="0"/>
        <w:spacing w:line="360" w:lineRule="auto"/>
        <w:jc w:val="center"/>
        <w:rPr>
          <w:rFonts w:ascii="Times New Roman" w:hAnsi="Times New Roman" w:eastAsiaTheme="majorEastAsia"/>
          <w:b/>
          <w:kern w:val="0"/>
          <w:sz w:val="24"/>
          <w:szCs w:val="24"/>
        </w:rPr>
      </w:pPr>
      <w:r>
        <w:rPr>
          <w:rFonts w:ascii="Times New Roman" w:hAnsi="Times New Roman" w:eastAsiaTheme="majorEastAsia"/>
          <w:kern w:val="0"/>
          <w:sz w:val="24"/>
          <w:szCs w:val="24"/>
        </w:rPr>
        <w:t>表</w:t>
      </w:r>
      <w:r>
        <w:rPr>
          <w:rFonts w:hint="eastAsia" w:ascii="Times New Roman" w:hAnsi="Times New Roman" w:eastAsiaTheme="majorEastAsia"/>
          <w:kern w:val="0"/>
          <w:sz w:val="24"/>
          <w:szCs w:val="24"/>
        </w:rPr>
        <w:t>6</w:t>
      </w:r>
      <w:r>
        <w:rPr>
          <w:rFonts w:ascii="Times New Roman" w:hAnsi="Times New Roman" w:eastAsiaTheme="majorEastAsia"/>
          <w:kern w:val="0"/>
          <w:sz w:val="24"/>
          <w:szCs w:val="24"/>
        </w:rPr>
        <w:t>-</w:t>
      </w:r>
      <w:r>
        <w:rPr>
          <w:rFonts w:hint="eastAsia" w:ascii="Times New Roman" w:hAnsi="Times New Roman" w:eastAsiaTheme="majorEastAsia"/>
          <w:kern w:val="0"/>
          <w:sz w:val="24"/>
          <w:szCs w:val="24"/>
        </w:rPr>
        <w:t>7</w:t>
      </w:r>
      <w:r>
        <w:rPr>
          <w:rFonts w:ascii="Times New Roman" w:hAnsi="Times New Roman" w:eastAsiaTheme="majorEastAsia"/>
          <w:kern w:val="0"/>
          <w:sz w:val="24"/>
          <w:szCs w:val="24"/>
        </w:rPr>
        <w:t xml:space="preserve"> </w:t>
      </w:r>
      <w:r>
        <w:rPr>
          <w:rFonts w:ascii="Times New Roman" w:hAnsi="Times New Roman" w:eastAsiaTheme="majorEastAsia"/>
          <w:b/>
          <w:kern w:val="0"/>
          <w:sz w:val="24"/>
          <w:szCs w:val="24"/>
        </w:rPr>
        <w:t xml:space="preserve">  盐池县集中式饮用水源地水质状况</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9"/>
        <w:gridCol w:w="888"/>
        <w:gridCol w:w="821"/>
        <w:gridCol w:w="1194"/>
        <w:gridCol w:w="1260"/>
        <w:gridCol w:w="1261"/>
        <w:gridCol w:w="1194"/>
        <w:gridCol w:w="11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26" w:type="dxa"/>
            <w:vAlign w:val="center"/>
          </w:tcPr>
          <w:p>
            <w:pPr>
              <w:jc w:val="center"/>
              <w:rPr>
                <w:rFonts w:ascii="Times New Roman" w:hAnsi="Times New Roman" w:eastAsiaTheme="majorEastAsia"/>
                <w:b/>
                <w:kern w:val="0"/>
                <w:sz w:val="20"/>
                <w:szCs w:val="20"/>
              </w:rPr>
            </w:pPr>
            <w:r>
              <w:rPr>
                <w:rFonts w:ascii="Times New Roman" w:hAnsi="Times New Roman" w:eastAsiaTheme="majorEastAsia"/>
                <w:b/>
                <w:kern w:val="0"/>
                <w:sz w:val="20"/>
                <w:szCs w:val="20"/>
              </w:rPr>
              <w:t>水源地名称</w:t>
            </w:r>
          </w:p>
        </w:tc>
        <w:tc>
          <w:tcPr>
            <w:tcW w:w="1417" w:type="dxa"/>
            <w:vAlign w:val="center"/>
          </w:tcPr>
          <w:p>
            <w:pPr>
              <w:jc w:val="center"/>
              <w:rPr>
                <w:rFonts w:ascii="Times New Roman" w:hAnsi="Times New Roman" w:eastAsiaTheme="majorEastAsia"/>
                <w:b/>
                <w:kern w:val="0"/>
                <w:sz w:val="20"/>
                <w:szCs w:val="20"/>
              </w:rPr>
            </w:pPr>
            <w:r>
              <w:rPr>
                <w:rFonts w:ascii="Times New Roman" w:hAnsi="Times New Roman" w:eastAsiaTheme="majorEastAsia"/>
                <w:b/>
                <w:kern w:val="0"/>
                <w:sz w:val="20"/>
                <w:szCs w:val="20"/>
              </w:rPr>
              <w:t>水源地类型</w:t>
            </w:r>
          </w:p>
        </w:tc>
        <w:tc>
          <w:tcPr>
            <w:tcW w:w="1276" w:type="dxa"/>
            <w:vAlign w:val="center"/>
          </w:tcPr>
          <w:p>
            <w:pPr>
              <w:jc w:val="center"/>
              <w:rPr>
                <w:rFonts w:ascii="Times New Roman" w:hAnsi="Times New Roman" w:eastAsiaTheme="majorEastAsia"/>
                <w:b/>
                <w:kern w:val="0"/>
                <w:sz w:val="20"/>
                <w:szCs w:val="20"/>
              </w:rPr>
            </w:pPr>
            <w:r>
              <w:rPr>
                <w:rFonts w:ascii="Times New Roman" w:hAnsi="Times New Roman" w:eastAsiaTheme="majorEastAsia"/>
                <w:b/>
                <w:kern w:val="0"/>
                <w:sz w:val="20"/>
                <w:szCs w:val="20"/>
              </w:rPr>
              <w:t>考核目标</w:t>
            </w:r>
          </w:p>
        </w:tc>
        <w:tc>
          <w:tcPr>
            <w:tcW w:w="1843" w:type="dxa"/>
            <w:vAlign w:val="center"/>
          </w:tcPr>
          <w:p>
            <w:pPr>
              <w:jc w:val="center"/>
              <w:rPr>
                <w:rFonts w:ascii="Times New Roman" w:hAnsi="Times New Roman" w:eastAsiaTheme="majorEastAsia"/>
                <w:b/>
                <w:kern w:val="0"/>
                <w:sz w:val="20"/>
                <w:szCs w:val="20"/>
              </w:rPr>
            </w:pPr>
            <w:r>
              <w:rPr>
                <w:rFonts w:hint="eastAsia" w:ascii="Times New Roman" w:hAnsi="Times New Roman" w:eastAsiaTheme="majorEastAsia"/>
                <w:b/>
                <w:kern w:val="0"/>
                <w:sz w:val="20"/>
                <w:szCs w:val="20"/>
              </w:rPr>
              <w:t>2016年水质现状</w:t>
            </w:r>
          </w:p>
        </w:tc>
        <w:tc>
          <w:tcPr>
            <w:tcW w:w="1984" w:type="dxa"/>
            <w:vAlign w:val="center"/>
          </w:tcPr>
          <w:p>
            <w:pPr>
              <w:jc w:val="center"/>
              <w:rPr>
                <w:rFonts w:ascii="Times New Roman" w:hAnsi="Times New Roman" w:eastAsiaTheme="majorEastAsia"/>
                <w:b/>
                <w:kern w:val="0"/>
                <w:sz w:val="20"/>
                <w:szCs w:val="20"/>
              </w:rPr>
            </w:pPr>
            <w:r>
              <w:rPr>
                <w:rFonts w:hint="eastAsia" w:ascii="Times New Roman" w:hAnsi="Times New Roman" w:eastAsiaTheme="majorEastAsia"/>
                <w:b/>
                <w:kern w:val="0"/>
                <w:sz w:val="20"/>
                <w:szCs w:val="20"/>
              </w:rPr>
              <w:t>2017年水质现状</w:t>
            </w:r>
          </w:p>
        </w:tc>
        <w:tc>
          <w:tcPr>
            <w:tcW w:w="1985" w:type="dxa"/>
            <w:vAlign w:val="center"/>
          </w:tcPr>
          <w:p>
            <w:pPr>
              <w:jc w:val="center"/>
              <w:rPr>
                <w:rFonts w:ascii="Times New Roman" w:hAnsi="Times New Roman"/>
                <w:b/>
                <w:kern w:val="0"/>
                <w:sz w:val="20"/>
                <w:szCs w:val="20"/>
              </w:rPr>
            </w:pPr>
            <w:r>
              <w:rPr>
                <w:rFonts w:hint="eastAsia" w:ascii="Times New Roman" w:hAnsi="Times New Roman" w:eastAsiaTheme="majorEastAsia"/>
                <w:b/>
                <w:kern w:val="0"/>
                <w:sz w:val="20"/>
                <w:szCs w:val="20"/>
              </w:rPr>
              <w:t>2018年水质现状</w:t>
            </w:r>
          </w:p>
        </w:tc>
        <w:tc>
          <w:tcPr>
            <w:tcW w:w="1843" w:type="dxa"/>
            <w:vAlign w:val="center"/>
          </w:tcPr>
          <w:p>
            <w:pPr>
              <w:jc w:val="center"/>
              <w:rPr>
                <w:rFonts w:ascii="Times New Roman" w:hAnsi="Times New Roman"/>
                <w:b/>
                <w:kern w:val="0"/>
                <w:sz w:val="20"/>
                <w:szCs w:val="20"/>
              </w:rPr>
            </w:pPr>
            <w:r>
              <w:rPr>
                <w:rFonts w:hint="eastAsia" w:ascii="Times New Roman" w:hAnsi="Times New Roman" w:eastAsiaTheme="majorEastAsia"/>
                <w:b/>
                <w:kern w:val="0"/>
                <w:sz w:val="20"/>
                <w:szCs w:val="20"/>
              </w:rPr>
              <w:t>2019年水质现状</w:t>
            </w:r>
          </w:p>
        </w:tc>
        <w:tc>
          <w:tcPr>
            <w:tcW w:w="1778" w:type="dxa"/>
            <w:vAlign w:val="center"/>
          </w:tcPr>
          <w:p>
            <w:pPr>
              <w:jc w:val="center"/>
              <w:rPr>
                <w:rFonts w:ascii="Times New Roman" w:hAnsi="Times New Roman"/>
                <w:b/>
                <w:kern w:val="0"/>
                <w:sz w:val="20"/>
                <w:szCs w:val="20"/>
              </w:rPr>
            </w:pPr>
            <w:r>
              <w:rPr>
                <w:rFonts w:hint="eastAsia" w:ascii="Times New Roman" w:hAnsi="Times New Roman" w:eastAsiaTheme="majorEastAsia"/>
                <w:b/>
                <w:kern w:val="0"/>
                <w:sz w:val="20"/>
                <w:szCs w:val="20"/>
              </w:rPr>
              <w:t>2020年水质现状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26" w:type="dxa"/>
            <w:vAlign w:val="center"/>
          </w:tcPr>
          <w:p>
            <w:pPr>
              <w:jc w:val="center"/>
              <w:rPr>
                <w:rFonts w:ascii="Times New Roman" w:hAnsi="Times New Roman" w:eastAsiaTheme="majorEastAsia"/>
                <w:kern w:val="0"/>
                <w:sz w:val="20"/>
                <w:szCs w:val="20"/>
              </w:rPr>
            </w:pPr>
            <w:r>
              <w:rPr>
                <w:rFonts w:ascii="Times New Roman" w:hAnsi="Times New Roman" w:eastAsiaTheme="majorEastAsia"/>
                <w:kern w:val="0"/>
                <w:sz w:val="20"/>
                <w:szCs w:val="20"/>
              </w:rPr>
              <w:t>刘家沟水源地</w:t>
            </w:r>
          </w:p>
        </w:tc>
        <w:tc>
          <w:tcPr>
            <w:tcW w:w="1417" w:type="dxa"/>
            <w:vAlign w:val="center"/>
          </w:tcPr>
          <w:p>
            <w:pPr>
              <w:jc w:val="center"/>
              <w:rPr>
                <w:rFonts w:ascii="Times New Roman" w:hAnsi="Times New Roman" w:eastAsiaTheme="majorEastAsia"/>
                <w:kern w:val="0"/>
                <w:sz w:val="20"/>
                <w:szCs w:val="20"/>
              </w:rPr>
            </w:pPr>
            <w:r>
              <w:rPr>
                <w:rFonts w:ascii="Times New Roman" w:hAnsi="Times New Roman" w:eastAsiaTheme="majorEastAsia"/>
                <w:kern w:val="0"/>
                <w:sz w:val="20"/>
                <w:szCs w:val="20"/>
              </w:rPr>
              <w:t>湖库型</w:t>
            </w:r>
          </w:p>
        </w:tc>
        <w:tc>
          <w:tcPr>
            <w:tcW w:w="1276" w:type="dxa"/>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Ⅲ类</w:t>
            </w:r>
          </w:p>
        </w:tc>
        <w:tc>
          <w:tcPr>
            <w:tcW w:w="1843" w:type="dxa"/>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Ⅲ类</w:t>
            </w:r>
          </w:p>
        </w:tc>
        <w:tc>
          <w:tcPr>
            <w:tcW w:w="1984" w:type="dxa"/>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Ⅲ类</w:t>
            </w:r>
          </w:p>
        </w:tc>
        <w:tc>
          <w:tcPr>
            <w:tcW w:w="1985" w:type="dxa"/>
            <w:vAlign w:val="center"/>
          </w:tcPr>
          <w:p>
            <w:pPr>
              <w:jc w:val="center"/>
              <w:rPr>
                <w:rFonts w:ascii="Times New Roman" w:hAnsi="Times New Roman"/>
                <w:kern w:val="0"/>
                <w:sz w:val="20"/>
                <w:szCs w:val="20"/>
              </w:rPr>
            </w:pPr>
            <w:r>
              <w:rPr>
                <w:rFonts w:hint="eastAsia" w:ascii="Times New Roman" w:hAnsi="Times New Roman" w:eastAsiaTheme="majorEastAsia"/>
                <w:kern w:val="0"/>
                <w:sz w:val="20"/>
                <w:szCs w:val="20"/>
              </w:rPr>
              <w:t>Ⅲ类</w:t>
            </w:r>
          </w:p>
        </w:tc>
        <w:tc>
          <w:tcPr>
            <w:tcW w:w="1843" w:type="dxa"/>
            <w:vAlign w:val="center"/>
          </w:tcPr>
          <w:p>
            <w:pPr>
              <w:jc w:val="center"/>
              <w:rPr>
                <w:rFonts w:ascii="Times New Roman" w:hAnsi="Times New Roman"/>
                <w:kern w:val="0"/>
                <w:sz w:val="20"/>
                <w:szCs w:val="20"/>
              </w:rPr>
            </w:pPr>
            <w:r>
              <w:rPr>
                <w:rFonts w:hint="eastAsia" w:ascii="Times New Roman" w:hAnsi="Times New Roman" w:eastAsiaTheme="majorEastAsia"/>
                <w:kern w:val="0"/>
                <w:sz w:val="20"/>
                <w:szCs w:val="20"/>
              </w:rPr>
              <w:t>Ⅲ类</w:t>
            </w:r>
          </w:p>
        </w:tc>
        <w:tc>
          <w:tcPr>
            <w:tcW w:w="1778" w:type="dxa"/>
            <w:vAlign w:val="center"/>
          </w:tcPr>
          <w:p>
            <w:pPr>
              <w:jc w:val="center"/>
              <w:rPr>
                <w:rFonts w:ascii="Times New Roman" w:hAnsi="Times New Roman"/>
                <w:kern w:val="0"/>
                <w:sz w:val="20"/>
                <w:szCs w:val="20"/>
              </w:rPr>
            </w:pPr>
            <w:r>
              <w:rPr>
                <w:rFonts w:hint="eastAsia" w:ascii="Times New Roman" w:hAnsi="Times New Roman"/>
                <w:kern w:val="0"/>
                <w:sz w:val="20"/>
                <w:szCs w:val="20"/>
              </w:rPr>
              <w:t>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26" w:type="dxa"/>
            <w:vAlign w:val="center"/>
          </w:tcPr>
          <w:p>
            <w:pPr>
              <w:jc w:val="center"/>
              <w:rPr>
                <w:rFonts w:ascii="Times New Roman" w:hAnsi="Times New Roman" w:eastAsiaTheme="majorEastAsia"/>
                <w:kern w:val="0"/>
                <w:sz w:val="20"/>
                <w:szCs w:val="20"/>
              </w:rPr>
            </w:pPr>
            <w:r>
              <w:rPr>
                <w:rFonts w:ascii="Times New Roman" w:hAnsi="Times New Roman" w:eastAsiaTheme="majorEastAsia"/>
                <w:kern w:val="0"/>
                <w:sz w:val="20"/>
                <w:szCs w:val="20"/>
              </w:rPr>
              <w:t>骆驼井水源地</w:t>
            </w:r>
          </w:p>
        </w:tc>
        <w:tc>
          <w:tcPr>
            <w:tcW w:w="1417" w:type="dxa"/>
            <w:vAlign w:val="center"/>
          </w:tcPr>
          <w:p>
            <w:pPr>
              <w:jc w:val="center"/>
              <w:rPr>
                <w:rFonts w:ascii="Times New Roman" w:hAnsi="Times New Roman" w:eastAsiaTheme="majorEastAsia"/>
                <w:kern w:val="0"/>
                <w:sz w:val="20"/>
                <w:szCs w:val="20"/>
              </w:rPr>
            </w:pPr>
            <w:r>
              <w:rPr>
                <w:rFonts w:ascii="Times New Roman" w:hAnsi="Times New Roman" w:eastAsiaTheme="majorEastAsia"/>
                <w:kern w:val="0"/>
                <w:sz w:val="20"/>
                <w:szCs w:val="20"/>
              </w:rPr>
              <w:t>地下水型</w:t>
            </w:r>
          </w:p>
        </w:tc>
        <w:tc>
          <w:tcPr>
            <w:tcW w:w="1276" w:type="dxa"/>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Ⅲ类</w:t>
            </w:r>
          </w:p>
        </w:tc>
        <w:tc>
          <w:tcPr>
            <w:tcW w:w="1843" w:type="dxa"/>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Ⅲ类</w:t>
            </w:r>
          </w:p>
        </w:tc>
        <w:tc>
          <w:tcPr>
            <w:tcW w:w="1984" w:type="dxa"/>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Ⅲ类</w:t>
            </w:r>
          </w:p>
        </w:tc>
        <w:tc>
          <w:tcPr>
            <w:tcW w:w="1985" w:type="dxa"/>
            <w:vAlign w:val="center"/>
          </w:tcPr>
          <w:p>
            <w:pPr>
              <w:jc w:val="center"/>
              <w:rPr>
                <w:rFonts w:ascii="Times New Roman" w:hAnsi="Times New Roman"/>
                <w:kern w:val="0"/>
                <w:sz w:val="20"/>
                <w:szCs w:val="20"/>
              </w:rPr>
            </w:pPr>
            <w:r>
              <w:rPr>
                <w:rFonts w:hint="eastAsia" w:ascii="Times New Roman" w:hAnsi="Times New Roman" w:eastAsiaTheme="majorEastAsia"/>
                <w:kern w:val="0"/>
                <w:sz w:val="20"/>
                <w:szCs w:val="20"/>
              </w:rPr>
              <w:t>Ⅲ类</w:t>
            </w:r>
          </w:p>
        </w:tc>
        <w:tc>
          <w:tcPr>
            <w:tcW w:w="1843" w:type="dxa"/>
            <w:vAlign w:val="center"/>
          </w:tcPr>
          <w:p>
            <w:pPr>
              <w:jc w:val="center"/>
              <w:rPr>
                <w:rFonts w:ascii="Times New Roman" w:hAnsi="Times New Roman"/>
                <w:kern w:val="0"/>
                <w:sz w:val="20"/>
                <w:szCs w:val="20"/>
              </w:rPr>
            </w:pPr>
            <w:r>
              <w:rPr>
                <w:rFonts w:hint="eastAsia" w:ascii="Times New Roman" w:hAnsi="Times New Roman" w:eastAsiaTheme="majorEastAsia"/>
                <w:kern w:val="0"/>
                <w:sz w:val="20"/>
                <w:szCs w:val="20"/>
              </w:rPr>
              <w:t>Ⅲ类</w:t>
            </w:r>
          </w:p>
        </w:tc>
        <w:tc>
          <w:tcPr>
            <w:tcW w:w="1778" w:type="dxa"/>
            <w:vAlign w:val="center"/>
          </w:tcPr>
          <w:p>
            <w:pPr>
              <w:jc w:val="center"/>
              <w:rPr>
                <w:rFonts w:ascii="Times New Roman" w:hAnsi="Times New Roman"/>
                <w:kern w:val="0"/>
                <w:sz w:val="20"/>
                <w:szCs w:val="20"/>
              </w:rPr>
            </w:pPr>
            <w:r>
              <w:rPr>
                <w:rFonts w:hint="eastAsia" w:ascii="Times New Roman" w:hAnsi="Times New Roman"/>
                <w:kern w:val="0"/>
                <w:sz w:val="20"/>
                <w:szCs w:val="20"/>
              </w:rPr>
              <w:t>Ⅱ类</w:t>
            </w:r>
          </w:p>
        </w:tc>
      </w:tr>
    </w:tbl>
    <w:p>
      <w:pPr>
        <w:widowControl/>
        <w:adjustRightInd w:val="0"/>
        <w:snapToGrid w:val="0"/>
        <w:spacing w:before="156" w:beforeLines="50" w:line="360" w:lineRule="auto"/>
        <w:ind w:firstLine="560" w:firstLineChars="200"/>
        <w:rPr>
          <w:rFonts w:ascii="仿宋_GB2312" w:hAnsi="宋体" w:eastAsia="仿宋_GB2312" w:cs="宋体"/>
          <w:kern w:val="0"/>
          <w:sz w:val="28"/>
          <w:szCs w:val="28"/>
        </w:rPr>
      </w:pPr>
      <w:r>
        <w:rPr>
          <w:rFonts w:hint="eastAsia" w:ascii="仿宋_GB2312" w:hAnsi="宋体" w:eastAsia="仿宋_GB2312" w:cs="宋体"/>
          <w:kern w:val="0"/>
          <w:sz w:val="28"/>
          <w:szCs w:val="28"/>
        </w:rPr>
        <w:t>根据《宁夏回族自治区水生态环境保护“十四五”规划》，盐池县苦水河孙家滩断面水质不达标，2025年水质目标为Ⅴ类（见表6-8）。</w:t>
      </w:r>
    </w:p>
    <w:p>
      <w:pPr>
        <w:widowControl/>
        <w:adjustRightInd w:val="0"/>
        <w:snapToGrid w:val="0"/>
        <w:spacing w:line="360" w:lineRule="auto"/>
        <w:jc w:val="center"/>
        <w:rPr>
          <w:rFonts w:ascii="Times New Roman" w:hAnsi="Times New Roman" w:eastAsiaTheme="majorEastAsia"/>
          <w:b/>
          <w:kern w:val="0"/>
          <w:sz w:val="24"/>
          <w:szCs w:val="24"/>
        </w:rPr>
      </w:pPr>
      <w:r>
        <w:rPr>
          <w:rFonts w:ascii="Times New Roman" w:hAnsi="Times New Roman" w:eastAsiaTheme="majorEastAsia"/>
          <w:kern w:val="0"/>
          <w:sz w:val="24"/>
          <w:szCs w:val="24"/>
        </w:rPr>
        <w:t>表</w:t>
      </w:r>
      <w:r>
        <w:rPr>
          <w:rFonts w:hint="eastAsia" w:ascii="Times New Roman" w:hAnsi="Times New Roman" w:eastAsiaTheme="majorEastAsia"/>
          <w:kern w:val="0"/>
          <w:sz w:val="24"/>
          <w:szCs w:val="24"/>
        </w:rPr>
        <w:t xml:space="preserve">6-8 </w:t>
      </w:r>
      <w:r>
        <w:rPr>
          <w:rFonts w:ascii="Times New Roman" w:hAnsi="Times New Roman" w:eastAsiaTheme="majorEastAsia"/>
          <w:b/>
          <w:kern w:val="0"/>
          <w:sz w:val="24"/>
          <w:szCs w:val="24"/>
        </w:rPr>
        <w:t xml:space="preserve">  盐池县</w:t>
      </w:r>
      <w:r>
        <w:rPr>
          <w:rFonts w:hint="eastAsia" w:ascii="Times New Roman" w:hAnsi="Times New Roman" w:eastAsiaTheme="majorEastAsia"/>
          <w:b/>
          <w:kern w:val="0"/>
          <w:sz w:val="24"/>
          <w:szCs w:val="24"/>
        </w:rPr>
        <w:t>水环境</w:t>
      </w:r>
      <w:r>
        <w:rPr>
          <w:rFonts w:ascii="Times New Roman" w:hAnsi="Times New Roman" w:eastAsiaTheme="majorEastAsia"/>
          <w:b/>
          <w:kern w:val="0"/>
          <w:sz w:val="24"/>
          <w:szCs w:val="24"/>
        </w:rPr>
        <w:t>质量底线目标</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95"/>
        <w:gridCol w:w="1577"/>
        <w:gridCol w:w="1420"/>
        <w:gridCol w:w="2050"/>
        <w:gridCol w:w="19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2" w:type="pct"/>
            <w:vAlign w:val="center"/>
          </w:tcPr>
          <w:p>
            <w:pPr>
              <w:jc w:val="center"/>
              <w:rPr>
                <w:rFonts w:ascii="Times New Roman" w:hAnsi="Times New Roman" w:eastAsiaTheme="majorEastAsia"/>
                <w:b/>
                <w:kern w:val="0"/>
                <w:sz w:val="20"/>
                <w:szCs w:val="20"/>
              </w:rPr>
            </w:pPr>
            <w:r>
              <w:rPr>
                <w:rFonts w:hint="eastAsia" w:ascii="Times New Roman" w:hAnsi="Times New Roman" w:eastAsiaTheme="majorEastAsia"/>
                <w:b/>
                <w:kern w:val="0"/>
                <w:sz w:val="20"/>
                <w:szCs w:val="20"/>
              </w:rPr>
              <w:t>水体</w:t>
            </w:r>
            <w:r>
              <w:rPr>
                <w:rFonts w:ascii="Times New Roman" w:hAnsi="Times New Roman" w:eastAsiaTheme="majorEastAsia"/>
                <w:b/>
                <w:kern w:val="0"/>
                <w:sz w:val="20"/>
                <w:szCs w:val="20"/>
              </w:rPr>
              <w:t>名称</w:t>
            </w:r>
          </w:p>
        </w:tc>
        <w:tc>
          <w:tcPr>
            <w:tcW w:w="904" w:type="pct"/>
            <w:vAlign w:val="center"/>
          </w:tcPr>
          <w:p>
            <w:pPr>
              <w:jc w:val="center"/>
              <w:rPr>
                <w:rFonts w:ascii="Times New Roman" w:hAnsi="Times New Roman" w:eastAsiaTheme="majorEastAsia"/>
                <w:b/>
                <w:kern w:val="0"/>
                <w:sz w:val="20"/>
                <w:szCs w:val="20"/>
              </w:rPr>
            </w:pPr>
            <w:r>
              <w:rPr>
                <w:rFonts w:hint="eastAsia" w:ascii="Times New Roman" w:hAnsi="Times New Roman" w:eastAsiaTheme="majorEastAsia"/>
                <w:b/>
                <w:kern w:val="0"/>
                <w:sz w:val="20"/>
                <w:szCs w:val="20"/>
              </w:rPr>
              <w:t>断面</w:t>
            </w:r>
            <w:r>
              <w:rPr>
                <w:rFonts w:ascii="Times New Roman" w:hAnsi="Times New Roman" w:eastAsiaTheme="majorEastAsia"/>
                <w:b/>
                <w:kern w:val="0"/>
                <w:sz w:val="20"/>
                <w:szCs w:val="20"/>
              </w:rPr>
              <w:t>名称</w:t>
            </w:r>
          </w:p>
        </w:tc>
        <w:tc>
          <w:tcPr>
            <w:tcW w:w="814" w:type="pct"/>
            <w:vAlign w:val="center"/>
          </w:tcPr>
          <w:p>
            <w:pPr>
              <w:jc w:val="center"/>
              <w:rPr>
                <w:rFonts w:ascii="Times New Roman" w:hAnsi="Times New Roman" w:eastAsiaTheme="majorEastAsia"/>
                <w:b/>
                <w:kern w:val="0"/>
                <w:sz w:val="20"/>
                <w:szCs w:val="20"/>
              </w:rPr>
            </w:pPr>
            <w:r>
              <w:rPr>
                <w:rFonts w:hint="eastAsia" w:ascii="Times New Roman" w:hAnsi="Times New Roman" w:eastAsiaTheme="majorEastAsia"/>
                <w:b/>
                <w:kern w:val="0"/>
                <w:sz w:val="20"/>
                <w:szCs w:val="20"/>
              </w:rPr>
              <w:t>类型</w:t>
            </w:r>
          </w:p>
        </w:tc>
        <w:tc>
          <w:tcPr>
            <w:tcW w:w="1175" w:type="pct"/>
            <w:vAlign w:val="center"/>
          </w:tcPr>
          <w:p>
            <w:pPr>
              <w:jc w:val="center"/>
              <w:rPr>
                <w:rFonts w:ascii="Times New Roman" w:hAnsi="Times New Roman"/>
                <w:b/>
                <w:kern w:val="0"/>
                <w:sz w:val="20"/>
                <w:szCs w:val="20"/>
              </w:rPr>
            </w:pPr>
            <w:r>
              <w:rPr>
                <w:rFonts w:hint="eastAsia" w:ascii="Times New Roman" w:hAnsi="Times New Roman" w:eastAsiaTheme="majorEastAsia"/>
                <w:b/>
                <w:kern w:val="0"/>
                <w:sz w:val="20"/>
                <w:szCs w:val="20"/>
              </w:rPr>
              <w:t>2020年水质现状</w:t>
            </w:r>
          </w:p>
        </w:tc>
        <w:tc>
          <w:tcPr>
            <w:tcW w:w="1134" w:type="pct"/>
            <w:vAlign w:val="center"/>
          </w:tcPr>
          <w:p>
            <w:pPr>
              <w:jc w:val="center"/>
              <w:rPr>
                <w:rFonts w:ascii="Times New Roman" w:hAnsi="Times New Roman"/>
                <w:b/>
                <w:kern w:val="0"/>
                <w:sz w:val="20"/>
                <w:szCs w:val="20"/>
              </w:rPr>
            </w:pPr>
            <w:r>
              <w:rPr>
                <w:rFonts w:hint="eastAsia" w:ascii="Times New Roman" w:hAnsi="Times New Roman" w:eastAsiaTheme="majorEastAsia"/>
                <w:b/>
                <w:kern w:val="0"/>
                <w:sz w:val="20"/>
                <w:szCs w:val="20"/>
              </w:rPr>
              <w:t>2025年考核目标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2" w:type="pct"/>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苦水河</w:t>
            </w:r>
          </w:p>
        </w:tc>
        <w:tc>
          <w:tcPr>
            <w:tcW w:w="904" w:type="pct"/>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孙家滩</w:t>
            </w:r>
          </w:p>
        </w:tc>
        <w:tc>
          <w:tcPr>
            <w:tcW w:w="814" w:type="pct"/>
            <w:vAlign w:val="center"/>
          </w:tcPr>
          <w:p>
            <w:pPr>
              <w:jc w:val="center"/>
              <w:rPr>
                <w:rFonts w:ascii="Times New Roman" w:hAnsi="Times New Roman" w:eastAsiaTheme="majorEastAsia"/>
                <w:kern w:val="0"/>
                <w:sz w:val="20"/>
                <w:szCs w:val="20"/>
              </w:rPr>
            </w:pPr>
            <w:r>
              <w:rPr>
                <w:rFonts w:hint="eastAsia" w:ascii="Times New Roman" w:hAnsi="Times New Roman" w:eastAsiaTheme="majorEastAsia"/>
                <w:kern w:val="0"/>
                <w:sz w:val="20"/>
                <w:szCs w:val="20"/>
              </w:rPr>
              <w:t>区控断面</w:t>
            </w:r>
          </w:p>
        </w:tc>
        <w:tc>
          <w:tcPr>
            <w:tcW w:w="1175" w:type="pct"/>
            <w:vAlign w:val="center"/>
          </w:tcPr>
          <w:p>
            <w:pPr>
              <w:jc w:val="center"/>
              <w:rPr>
                <w:rFonts w:ascii="Times New Roman" w:hAnsi="Times New Roman"/>
                <w:kern w:val="0"/>
                <w:sz w:val="20"/>
                <w:szCs w:val="20"/>
              </w:rPr>
            </w:pPr>
            <w:r>
              <w:rPr>
                <w:rFonts w:hint="eastAsia" w:ascii="Times New Roman" w:hAnsi="Times New Roman"/>
                <w:kern w:val="0"/>
                <w:sz w:val="20"/>
                <w:szCs w:val="20"/>
              </w:rPr>
              <w:t>劣Ⅴ类（氟化物）</w:t>
            </w:r>
          </w:p>
        </w:tc>
        <w:tc>
          <w:tcPr>
            <w:tcW w:w="1134" w:type="pct"/>
            <w:vAlign w:val="center"/>
          </w:tcPr>
          <w:p>
            <w:pPr>
              <w:jc w:val="center"/>
              <w:rPr>
                <w:rFonts w:ascii="Times New Roman" w:hAnsi="Times New Roman"/>
                <w:kern w:val="0"/>
                <w:sz w:val="20"/>
                <w:szCs w:val="20"/>
              </w:rPr>
            </w:pPr>
            <w:r>
              <w:rPr>
                <w:rFonts w:hint="eastAsia" w:ascii="Times New Roman" w:hAnsi="Times New Roman"/>
                <w:kern w:val="0"/>
                <w:sz w:val="20"/>
                <w:szCs w:val="20"/>
              </w:rPr>
              <w:t>Ⅴ类</w:t>
            </w:r>
          </w:p>
        </w:tc>
      </w:tr>
    </w:tbl>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6.3.1工业污染源</w:t>
      </w:r>
    </w:p>
    <w:p>
      <w:pPr>
        <w:adjustRightInd w:val="0"/>
        <w:snapToGrid w:val="0"/>
        <w:spacing w:line="360" w:lineRule="auto"/>
        <w:ind w:firstLine="560" w:firstLineChars="200"/>
        <w:rPr>
          <w:rFonts w:ascii="仿宋_GB2312" w:eastAsia="仿宋_GB2312"/>
          <w:sz w:val="28"/>
          <w:szCs w:val="28"/>
        </w:rPr>
      </w:pPr>
      <w:r>
        <w:rPr>
          <w:rFonts w:ascii="仿宋_GB2312" w:eastAsia="仿宋_GB2312"/>
          <w:sz w:val="28"/>
          <w:szCs w:val="28"/>
        </w:rPr>
        <w:t>根据盐池县国民经济发展规划，到</w:t>
      </w:r>
      <w:r>
        <w:rPr>
          <w:rFonts w:hint="eastAsia" w:ascii="仿宋_GB2312" w:eastAsia="仿宋_GB2312"/>
          <w:sz w:val="28"/>
          <w:szCs w:val="28"/>
        </w:rPr>
        <w:t>2025年，盐池县工业转型升级的重点工程项目包括：能矿资源高效利用项目、油气及煤化工延链项目、生物医药项目等。</w:t>
      </w:r>
    </w:p>
    <w:p>
      <w:pPr>
        <w:pStyle w:val="6"/>
        <w:adjustRightInd w:val="0"/>
        <w:snapToGrid w:val="0"/>
        <w:spacing w:after="0" w:line="360" w:lineRule="auto"/>
        <w:ind w:firstLine="560" w:firstLineChars="200"/>
        <w:rPr>
          <w:rFonts w:ascii="仿宋_GB2312" w:eastAsia="仿宋_GB2312"/>
          <w:sz w:val="28"/>
          <w:szCs w:val="28"/>
        </w:rPr>
      </w:pPr>
      <w:r>
        <w:rPr>
          <w:rFonts w:hint="eastAsia" w:ascii="仿宋_GB2312" w:eastAsia="仿宋_GB2312"/>
          <w:sz w:val="28"/>
          <w:szCs w:val="28"/>
        </w:rPr>
        <w:t>（1）大气污染物</w:t>
      </w:r>
    </w:p>
    <w:p>
      <w:pPr>
        <w:pStyle w:val="6"/>
        <w:adjustRightInd w:val="0"/>
        <w:snapToGrid w:val="0"/>
        <w:spacing w:after="0" w:line="360" w:lineRule="auto"/>
        <w:ind w:firstLine="560" w:firstLineChars="200"/>
        <w:rPr>
          <w:rFonts w:ascii="仿宋_GB2312" w:hAnsi="Times New Roman" w:eastAsia="仿宋_GB2312"/>
          <w:sz w:val="28"/>
          <w:szCs w:val="28"/>
        </w:rPr>
      </w:pPr>
      <w:r>
        <w:rPr>
          <w:rFonts w:hint="eastAsia" w:ascii="仿宋_GB2312" w:eastAsia="仿宋_GB2312"/>
          <w:sz w:val="28"/>
          <w:szCs w:val="28"/>
        </w:rPr>
        <w:t>大气污染物中主要常规污染物有：</w:t>
      </w:r>
      <w:r>
        <w:rPr>
          <w:rFonts w:hint="eastAsia" w:ascii="仿宋_GB2312" w:hAnsi="Times New Roman" w:eastAsia="仿宋_GB2312"/>
          <w:sz w:val="28"/>
          <w:szCs w:val="28"/>
        </w:rPr>
        <w:t>SO</w:t>
      </w:r>
      <w:r>
        <w:rPr>
          <w:rFonts w:hint="eastAsia" w:ascii="仿宋_GB2312" w:hAnsi="Times New Roman" w:eastAsia="仿宋_GB2312"/>
          <w:sz w:val="28"/>
          <w:szCs w:val="28"/>
          <w:vertAlign w:val="subscript"/>
        </w:rPr>
        <w:t>2</w:t>
      </w:r>
      <w:r>
        <w:rPr>
          <w:rFonts w:hint="eastAsia" w:ascii="仿宋_GB2312" w:eastAsia="仿宋_GB2312"/>
          <w:sz w:val="28"/>
          <w:szCs w:val="28"/>
        </w:rPr>
        <w:t>、</w:t>
      </w:r>
      <w:r>
        <w:rPr>
          <w:rFonts w:hint="eastAsia" w:ascii="仿宋_GB2312" w:hAnsi="Times New Roman" w:eastAsia="仿宋_GB2312"/>
          <w:sz w:val="28"/>
          <w:szCs w:val="28"/>
        </w:rPr>
        <w:t>NO</w:t>
      </w:r>
      <w:r>
        <w:rPr>
          <w:rFonts w:hint="eastAsia" w:ascii="仿宋_GB2312" w:hAnsi="Times New Roman" w:eastAsia="仿宋_GB2312"/>
          <w:sz w:val="28"/>
          <w:szCs w:val="28"/>
          <w:vertAlign w:val="subscript"/>
        </w:rPr>
        <w:t>X</w:t>
      </w:r>
      <w:r>
        <w:rPr>
          <w:rFonts w:hint="eastAsia" w:ascii="仿宋_GB2312" w:eastAsia="仿宋_GB2312"/>
          <w:sz w:val="28"/>
          <w:szCs w:val="28"/>
        </w:rPr>
        <w:t>、烟粉尘，大部分为有组织排放。</w:t>
      </w:r>
    </w:p>
    <w:p>
      <w:pPr>
        <w:pStyle w:val="6"/>
        <w:adjustRightInd w:val="0"/>
        <w:snapToGrid w:val="0"/>
        <w:spacing w:after="0" w:line="360" w:lineRule="auto"/>
        <w:ind w:firstLine="560" w:firstLineChars="200"/>
        <w:rPr>
          <w:rFonts w:ascii="仿宋_GB2312" w:eastAsia="仿宋_GB2312"/>
          <w:sz w:val="28"/>
          <w:szCs w:val="28"/>
        </w:rPr>
      </w:pPr>
      <w:r>
        <w:rPr>
          <w:rFonts w:hint="eastAsia" w:ascii="仿宋_GB2312" w:eastAsia="仿宋_GB2312"/>
          <w:sz w:val="28"/>
          <w:szCs w:val="28"/>
        </w:rPr>
        <w:t>特征污染物主要有：</w:t>
      </w:r>
      <w:r>
        <w:rPr>
          <w:rFonts w:hint="eastAsia" w:ascii="仿宋_GB2312" w:eastAsia="仿宋_GB2312"/>
          <w:sz w:val="28"/>
          <w:szCs w:val="28"/>
          <w:lang w:val="de-DE"/>
        </w:rPr>
        <w:t>非甲烷总烃</w:t>
      </w:r>
      <w:r>
        <w:rPr>
          <w:rFonts w:hint="eastAsia" w:ascii="仿宋_GB2312" w:eastAsia="仿宋_GB2312"/>
          <w:sz w:val="28"/>
          <w:szCs w:val="28"/>
        </w:rPr>
        <w:t>、VOCs、甲醇、苯、甲苯、二甲苯、硫酸、</w:t>
      </w:r>
      <w:r>
        <w:rPr>
          <w:rFonts w:hint="eastAsia" w:ascii="仿宋_GB2312" w:hAnsi="Times New Roman" w:eastAsia="仿宋_GB2312"/>
          <w:sz w:val="28"/>
          <w:szCs w:val="28"/>
          <w:lang w:val="de-DE"/>
        </w:rPr>
        <w:t>NH</w:t>
      </w:r>
      <w:r>
        <w:rPr>
          <w:rFonts w:hint="eastAsia" w:ascii="仿宋_GB2312" w:hAnsi="Times New Roman" w:eastAsia="仿宋_GB2312"/>
          <w:sz w:val="28"/>
          <w:szCs w:val="28"/>
          <w:vertAlign w:val="subscript"/>
          <w:lang w:val="de-DE"/>
        </w:rPr>
        <w:t>3</w:t>
      </w:r>
      <w:r>
        <w:rPr>
          <w:rFonts w:hint="eastAsia" w:ascii="仿宋_GB2312" w:eastAsia="仿宋_GB2312"/>
          <w:sz w:val="28"/>
          <w:szCs w:val="28"/>
          <w:lang w:val="de-DE"/>
        </w:rPr>
        <w:t>、</w:t>
      </w:r>
      <w:r>
        <w:rPr>
          <w:rFonts w:hint="eastAsia" w:ascii="仿宋_GB2312" w:hAnsi="Times New Roman" w:eastAsia="仿宋_GB2312"/>
          <w:sz w:val="28"/>
          <w:szCs w:val="28"/>
          <w:lang w:val="de-DE"/>
        </w:rPr>
        <w:t>H</w:t>
      </w:r>
      <w:r>
        <w:rPr>
          <w:rFonts w:hint="eastAsia" w:ascii="仿宋_GB2312" w:hAnsi="Times New Roman" w:eastAsia="仿宋_GB2312"/>
          <w:sz w:val="28"/>
          <w:szCs w:val="28"/>
          <w:vertAlign w:val="subscript"/>
          <w:lang w:val="de-DE"/>
        </w:rPr>
        <w:t>2</w:t>
      </w:r>
      <w:r>
        <w:rPr>
          <w:rFonts w:hint="eastAsia" w:ascii="仿宋_GB2312" w:hAnsi="Times New Roman" w:eastAsia="仿宋_GB2312"/>
          <w:sz w:val="28"/>
          <w:szCs w:val="28"/>
          <w:lang w:val="de-DE"/>
        </w:rPr>
        <w:t>S</w:t>
      </w:r>
      <w:r>
        <w:rPr>
          <w:rFonts w:hint="eastAsia" w:ascii="仿宋_GB2312" w:eastAsia="仿宋_GB2312"/>
          <w:sz w:val="28"/>
          <w:szCs w:val="28"/>
        </w:rPr>
        <w:t>等，主要来源于化工、石化等生产企业。</w:t>
      </w:r>
    </w:p>
    <w:p>
      <w:pPr>
        <w:pStyle w:val="6"/>
        <w:adjustRightInd w:val="0"/>
        <w:snapToGrid w:val="0"/>
        <w:spacing w:after="0" w:line="360" w:lineRule="auto"/>
        <w:ind w:firstLine="560" w:firstLineChars="200"/>
        <w:rPr>
          <w:rFonts w:ascii="仿宋_GB2312" w:eastAsia="仿宋_GB2312"/>
          <w:sz w:val="28"/>
          <w:szCs w:val="28"/>
        </w:rPr>
      </w:pPr>
      <w:r>
        <w:rPr>
          <w:rFonts w:hint="eastAsia" w:ascii="仿宋_GB2312" w:eastAsia="仿宋_GB2312"/>
          <w:sz w:val="28"/>
          <w:szCs w:val="28"/>
        </w:rPr>
        <w:t>2025年，重点污染物预测排放情况见表6-9。</w:t>
      </w:r>
    </w:p>
    <w:p>
      <w:pPr>
        <w:pStyle w:val="6"/>
        <w:adjustRightInd w:val="0"/>
        <w:snapToGrid w:val="0"/>
        <w:spacing w:after="0" w:line="360" w:lineRule="auto"/>
        <w:ind w:firstLine="560" w:firstLineChars="200"/>
        <w:rPr>
          <w:rFonts w:ascii="仿宋_GB2312" w:eastAsia="仿宋_GB2312"/>
          <w:sz w:val="28"/>
          <w:szCs w:val="28"/>
        </w:rPr>
        <w:sectPr>
          <w:pgSz w:w="11906" w:h="16838"/>
          <w:pgMar w:top="1701" w:right="1701" w:bottom="1701" w:left="1701" w:header="851" w:footer="992" w:gutter="0"/>
          <w:cols w:space="425" w:num="1"/>
          <w:docGrid w:type="lines" w:linePitch="312" w:charSpace="0"/>
        </w:sectPr>
      </w:pPr>
    </w:p>
    <w:p>
      <w:pPr>
        <w:pStyle w:val="6"/>
        <w:adjustRightInd w:val="0"/>
        <w:snapToGrid w:val="0"/>
        <w:spacing w:after="0" w:line="360" w:lineRule="auto"/>
        <w:jc w:val="center"/>
        <w:rPr>
          <w:rFonts w:ascii="仿宋_GB2312" w:eastAsia="仿宋_GB2312"/>
          <w:sz w:val="28"/>
          <w:szCs w:val="28"/>
        </w:rPr>
      </w:pPr>
      <w:r>
        <w:rPr>
          <w:rFonts w:hint="eastAsia" w:ascii="仿宋_GB2312" w:eastAsia="仿宋_GB2312"/>
          <w:sz w:val="28"/>
          <w:szCs w:val="28"/>
        </w:rPr>
        <w:t>表6-9  大气污染物排放预测结果</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6"/>
        <w:gridCol w:w="3828"/>
        <w:gridCol w:w="1843"/>
        <w:gridCol w:w="1417"/>
        <w:gridCol w:w="1559"/>
        <w:gridCol w:w="1275"/>
        <w:gridCol w:w="1417"/>
        <w:gridCol w:w="14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99" w:type="pct"/>
            <w:vMerge w:val="restart"/>
            <w:shd w:val="clear" w:color="auto" w:fill="auto"/>
            <w:vAlign w:val="center"/>
          </w:tcPr>
          <w:p>
            <w:pPr>
              <w:widowControl/>
              <w:adjustRightInd w:val="0"/>
              <w:snapToGrid w:val="0"/>
              <w:jc w:val="center"/>
              <w:rPr>
                <w:rFonts w:ascii="Times New Roman" w:hAnsi="Times New Roman" w:cs="Times New Roman"/>
                <w:b/>
                <w:szCs w:val="21"/>
              </w:rPr>
            </w:pPr>
            <w:r>
              <w:rPr>
                <w:rFonts w:ascii="Times New Roman" w:hAnsi="Times New Roman" w:cs="Times New Roman"/>
                <w:b/>
                <w:szCs w:val="21"/>
              </w:rPr>
              <w:t>序号</w:t>
            </w:r>
          </w:p>
        </w:tc>
        <w:tc>
          <w:tcPr>
            <w:tcW w:w="1402" w:type="pct"/>
            <w:vMerge w:val="restart"/>
            <w:shd w:val="clear" w:color="auto" w:fill="auto"/>
            <w:vAlign w:val="center"/>
          </w:tcPr>
          <w:p>
            <w:pPr>
              <w:widowControl/>
              <w:adjustRightInd w:val="0"/>
              <w:snapToGrid w:val="0"/>
              <w:jc w:val="center"/>
              <w:rPr>
                <w:rFonts w:ascii="Times New Roman" w:hAnsi="Times New Roman" w:cs="Times New Roman"/>
                <w:b/>
                <w:szCs w:val="21"/>
              </w:rPr>
            </w:pPr>
            <w:r>
              <w:rPr>
                <w:rFonts w:hint="eastAsia" w:ascii="Times New Roman" w:hAnsi="Times New Roman" w:cs="Times New Roman"/>
                <w:b/>
                <w:szCs w:val="21"/>
              </w:rPr>
              <w:t>主导</w:t>
            </w:r>
            <w:r>
              <w:rPr>
                <w:rFonts w:ascii="Times New Roman" w:hAnsi="Times New Roman" w:cs="Times New Roman"/>
                <w:b/>
                <w:szCs w:val="21"/>
              </w:rPr>
              <w:t>行业</w:t>
            </w:r>
          </w:p>
        </w:tc>
        <w:tc>
          <w:tcPr>
            <w:tcW w:w="3299" w:type="pct"/>
            <w:gridSpan w:val="6"/>
            <w:shd w:val="clear" w:color="auto" w:fill="auto"/>
            <w:vAlign w:val="center"/>
          </w:tcPr>
          <w:p>
            <w:pPr>
              <w:widowControl/>
              <w:adjustRightInd w:val="0"/>
              <w:snapToGrid w:val="0"/>
              <w:jc w:val="center"/>
              <w:rPr>
                <w:rFonts w:ascii="Times New Roman" w:hAnsi="Times New Roman" w:cs="Times New Roman"/>
                <w:b/>
                <w:szCs w:val="21"/>
              </w:rPr>
            </w:pPr>
            <w:r>
              <w:rPr>
                <w:rFonts w:ascii="Times New Roman" w:hAnsi="Times New Roman" w:cs="Times New Roman"/>
                <w:b/>
                <w:szCs w:val="21"/>
              </w:rPr>
              <w:t>大气污染物（t/a）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vMerge w:val="continue"/>
            <w:vAlign w:val="center"/>
          </w:tcPr>
          <w:p>
            <w:pPr>
              <w:widowControl/>
              <w:adjustRightInd w:val="0"/>
              <w:snapToGrid w:val="0"/>
              <w:rPr>
                <w:rFonts w:ascii="Times New Roman" w:hAnsi="Times New Roman" w:cs="Times New Roman"/>
                <w:b/>
                <w:szCs w:val="21"/>
              </w:rPr>
            </w:pPr>
          </w:p>
        </w:tc>
        <w:tc>
          <w:tcPr>
            <w:tcW w:w="1402" w:type="pct"/>
            <w:vMerge w:val="continue"/>
            <w:vAlign w:val="center"/>
          </w:tcPr>
          <w:p>
            <w:pPr>
              <w:widowControl/>
              <w:adjustRightInd w:val="0"/>
              <w:snapToGrid w:val="0"/>
              <w:rPr>
                <w:rFonts w:ascii="Times New Roman" w:hAnsi="Times New Roman" w:cs="Times New Roman"/>
                <w:b/>
                <w:szCs w:val="21"/>
              </w:rPr>
            </w:pPr>
          </w:p>
        </w:tc>
        <w:tc>
          <w:tcPr>
            <w:tcW w:w="675" w:type="pct"/>
            <w:shd w:val="clear" w:color="auto" w:fill="auto"/>
            <w:vAlign w:val="center"/>
          </w:tcPr>
          <w:p>
            <w:pPr>
              <w:widowControl/>
              <w:adjustRightInd w:val="0"/>
              <w:snapToGrid w:val="0"/>
              <w:jc w:val="center"/>
              <w:rPr>
                <w:rFonts w:ascii="Times New Roman" w:hAnsi="Times New Roman" w:cs="Times New Roman"/>
                <w:b/>
                <w:szCs w:val="21"/>
              </w:rPr>
            </w:pPr>
            <w:r>
              <w:rPr>
                <w:rFonts w:ascii="Times New Roman" w:hAnsi="Times New Roman" w:cs="Times New Roman"/>
                <w:b/>
                <w:szCs w:val="21"/>
              </w:rPr>
              <w:t>SO</w:t>
            </w:r>
            <w:r>
              <w:rPr>
                <w:rFonts w:ascii="Times New Roman" w:hAnsi="Times New Roman" w:cs="Times New Roman"/>
                <w:b/>
                <w:szCs w:val="21"/>
                <w:vertAlign w:val="subscript"/>
              </w:rPr>
              <w:t>2</w:t>
            </w:r>
          </w:p>
        </w:tc>
        <w:tc>
          <w:tcPr>
            <w:tcW w:w="519" w:type="pct"/>
            <w:shd w:val="clear" w:color="auto" w:fill="auto"/>
            <w:vAlign w:val="center"/>
          </w:tcPr>
          <w:p>
            <w:pPr>
              <w:widowControl/>
              <w:adjustRightInd w:val="0"/>
              <w:snapToGrid w:val="0"/>
              <w:jc w:val="center"/>
              <w:rPr>
                <w:rFonts w:ascii="Times New Roman" w:hAnsi="Times New Roman" w:cs="Times New Roman"/>
                <w:b/>
                <w:szCs w:val="21"/>
              </w:rPr>
            </w:pPr>
            <w:r>
              <w:rPr>
                <w:rFonts w:ascii="Times New Roman" w:hAnsi="Times New Roman" w:cs="Times New Roman"/>
                <w:b/>
                <w:szCs w:val="21"/>
              </w:rPr>
              <w:t>NO</w:t>
            </w:r>
            <w:r>
              <w:rPr>
                <w:rFonts w:ascii="Times New Roman" w:hAnsi="Times New Roman" w:cs="Times New Roman"/>
                <w:b/>
                <w:szCs w:val="21"/>
                <w:vertAlign w:val="subscript"/>
              </w:rPr>
              <w:t>X</w:t>
            </w:r>
          </w:p>
        </w:tc>
        <w:tc>
          <w:tcPr>
            <w:tcW w:w="571" w:type="pct"/>
            <w:shd w:val="clear" w:color="auto" w:fill="auto"/>
            <w:vAlign w:val="center"/>
          </w:tcPr>
          <w:p>
            <w:pPr>
              <w:widowControl/>
              <w:adjustRightInd w:val="0"/>
              <w:snapToGrid w:val="0"/>
              <w:jc w:val="center"/>
              <w:rPr>
                <w:rFonts w:ascii="Times New Roman" w:hAnsi="Times New Roman" w:cs="Times New Roman"/>
                <w:b/>
                <w:szCs w:val="21"/>
              </w:rPr>
            </w:pPr>
            <w:r>
              <w:rPr>
                <w:rFonts w:ascii="Times New Roman" w:hAnsi="Times New Roman" w:cs="Times New Roman"/>
                <w:b/>
                <w:szCs w:val="21"/>
              </w:rPr>
              <w:t>烟粉尘</w:t>
            </w:r>
          </w:p>
        </w:tc>
        <w:tc>
          <w:tcPr>
            <w:tcW w:w="467" w:type="pct"/>
            <w:shd w:val="clear" w:color="auto" w:fill="auto"/>
            <w:vAlign w:val="center"/>
          </w:tcPr>
          <w:p>
            <w:pPr>
              <w:widowControl/>
              <w:adjustRightInd w:val="0"/>
              <w:snapToGrid w:val="0"/>
              <w:jc w:val="center"/>
              <w:rPr>
                <w:rFonts w:ascii="Times New Roman" w:hAnsi="Times New Roman" w:cs="Times New Roman"/>
                <w:b/>
                <w:szCs w:val="21"/>
              </w:rPr>
            </w:pPr>
            <w:r>
              <w:rPr>
                <w:rFonts w:ascii="Times New Roman" w:hAnsi="Times New Roman" w:cs="Times New Roman"/>
                <w:b/>
                <w:szCs w:val="21"/>
              </w:rPr>
              <w:t>VOCs</w:t>
            </w:r>
          </w:p>
        </w:tc>
        <w:tc>
          <w:tcPr>
            <w:tcW w:w="519" w:type="pct"/>
            <w:shd w:val="clear" w:color="auto" w:fill="auto"/>
            <w:vAlign w:val="center"/>
          </w:tcPr>
          <w:p>
            <w:pPr>
              <w:widowControl/>
              <w:adjustRightInd w:val="0"/>
              <w:snapToGrid w:val="0"/>
              <w:jc w:val="center"/>
              <w:rPr>
                <w:rFonts w:ascii="Times New Roman" w:hAnsi="Times New Roman" w:cs="Times New Roman"/>
                <w:b/>
                <w:szCs w:val="21"/>
              </w:rPr>
            </w:pPr>
            <w:r>
              <w:rPr>
                <w:rFonts w:ascii="Times New Roman" w:hAnsi="Times New Roman" w:cs="Times New Roman"/>
                <w:b/>
                <w:szCs w:val="21"/>
              </w:rPr>
              <w:t>其他特征污染物</w:t>
            </w:r>
          </w:p>
        </w:tc>
        <w:tc>
          <w:tcPr>
            <w:tcW w:w="548" w:type="pct"/>
            <w:shd w:val="clear" w:color="auto" w:fill="auto"/>
            <w:vAlign w:val="center"/>
          </w:tcPr>
          <w:p>
            <w:pPr>
              <w:widowControl/>
              <w:adjustRightInd w:val="0"/>
              <w:snapToGrid w:val="0"/>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1</w:t>
            </w:r>
          </w:p>
        </w:tc>
        <w:tc>
          <w:tcPr>
            <w:tcW w:w="1402"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煤炭开采和洗选业</w:t>
            </w:r>
          </w:p>
        </w:tc>
        <w:tc>
          <w:tcPr>
            <w:tcW w:w="675" w:type="pct"/>
            <w:shd w:val="clear" w:color="auto" w:fill="auto"/>
            <w:vAlign w:val="center"/>
          </w:tcPr>
          <w:p>
            <w:pPr>
              <w:widowControl/>
              <w:spacing w:line="240" w:lineRule="atLeast"/>
              <w:jc w:val="center"/>
              <w:rPr>
                <w:rFonts w:ascii="Times New Roman" w:hAnsi="Times New Roman" w:cs="Times New Roman"/>
                <w:szCs w:val="21"/>
              </w:rPr>
            </w:pPr>
          </w:p>
        </w:tc>
        <w:tc>
          <w:tcPr>
            <w:tcW w:w="519" w:type="pct"/>
            <w:shd w:val="clear" w:color="auto" w:fill="auto"/>
            <w:vAlign w:val="center"/>
          </w:tcPr>
          <w:p>
            <w:pPr>
              <w:widowControl/>
              <w:spacing w:line="240" w:lineRule="atLeast"/>
              <w:jc w:val="center"/>
              <w:rPr>
                <w:rFonts w:ascii="Times New Roman" w:hAnsi="Times New Roman" w:cs="Times New Roman"/>
                <w:szCs w:val="21"/>
              </w:rPr>
            </w:pPr>
          </w:p>
        </w:tc>
        <w:tc>
          <w:tcPr>
            <w:tcW w:w="571" w:type="pct"/>
            <w:shd w:val="clear" w:color="auto" w:fill="auto"/>
            <w:vAlign w:val="center"/>
          </w:tcPr>
          <w:p>
            <w:pPr>
              <w:widowControl/>
              <w:spacing w:line="240" w:lineRule="atLeast"/>
              <w:jc w:val="center"/>
              <w:rPr>
                <w:rFonts w:ascii="Times New Roman" w:hAnsi="Times New Roman" w:cs="Times New Roman"/>
                <w:szCs w:val="21"/>
              </w:rPr>
            </w:pPr>
          </w:p>
        </w:tc>
        <w:tc>
          <w:tcPr>
            <w:tcW w:w="467" w:type="pct"/>
            <w:shd w:val="clear" w:color="auto" w:fill="auto"/>
            <w:vAlign w:val="center"/>
          </w:tcPr>
          <w:p>
            <w:pPr>
              <w:widowControl/>
              <w:spacing w:line="240" w:lineRule="atLeast"/>
              <w:jc w:val="center"/>
              <w:rPr>
                <w:rFonts w:ascii="Times New Roman" w:hAnsi="Times New Roman" w:cs="Times New Roman"/>
                <w:szCs w:val="21"/>
              </w:rPr>
            </w:pPr>
          </w:p>
        </w:tc>
        <w:tc>
          <w:tcPr>
            <w:tcW w:w="519" w:type="pct"/>
            <w:shd w:val="clear" w:color="auto" w:fill="auto"/>
            <w:vAlign w:val="center"/>
          </w:tcPr>
          <w:p>
            <w:pPr>
              <w:widowControl/>
              <w:spacing w:line="240" w:lineRule="atLeast"/>
              <w:jc w:val="center"/>
              <w:rPr>
                <w:rFonts w:ascii="Times New Roman" w:hAnsi="Times New Roman" w:cs="Times New Roman"/>
                <w:szCs w:val="21"/>
              </w:rPr>
            </w:pPr>
          </w:p>
        </w:tc>
        <w:tc>
          <w:tcPr>
            <w:tcW w:w="548" w:type="pct"/>
            <w:shd w:val="clear" w:color="auto" w:fill="auto"/>
            <w:vAlign w:val="center"/>
          </w:tcPr>
          <w:p>
            <w:pPr>
              <w:widowControl/>
              <w:spacing w:line="240" w:lineRule="atLeast"/>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2</w:t>
            </w:r>
          </w:p>
        </w:tc>
        <w:tc>
          <w:tcPr>
            <w:tcW w:w="1402" w:type="pct"/>
            <w:vAlign w:val="center"/>
          </w:tcPr>
          <w:p>
            <w:pPr>
              <w:spacing w:line="240" w:lineRule="atLeast"/>
              <w:jc w:val="center"/>
              <w:rPr>
                <w:rFonts w:ascii="Times New Roman" w:hAnsi="Times New Roman" w:cs="Times New Roman"/>
                <w:szCs w:val="21"/>
              </w:rPr>
            </w:pPr>
            <w:r>
              <w:rPr>
                <w:rFonts w:hint="eastAsia" w:ascii="Times New Roman" w:hAnsi="Times New Roman" w:cs="Times New Roman"/>
                <w:szCs w:val="21"/>
              </w:rPr>
              <w:t>石油</w:t>
            </w:r>
            <w:r>
              <w:rPr>
                <w:rFonts w:ascii="Times New Roman" w:hAnsi="Times New Roman" w:cs="Times New Roman"/>
                <w:szCs w:val="21"/>
              </w:rPr>
              <w:t>、煤炭及其他燃料加工业</w:t>
            </w:r>
          </w:p>
        </w:tc>
        <w:tc>
          <w:tcPr>
            <w:tcW w:w="675" w:type="pct"/>
            <w:shd w:val="clear" w:color="auto" w:fill="auto"/>
            <w:vAlign w:val="center"/>
          </w:tcPr>
          <w:p>
            <w:pPr>
              <w:widowControl/>
              <w:spacing w:line="240" w:lineRule="atLeast"/>
              <w:jc w:val="center"/>
              <w:rPr>
                <w:rFonts w:ascii="Times New Roman" w:hAnsi="Times New Roman" w:cs="Times New Roman"/>
                <w:szCs w:val="21"/>
              </w:rPr>
            </w:pPr>
          </w:p>
        </w:tc>
        <w:tc>
          <w:tcPr>
            <w:tcW w:w="519" w:type="pct"/>
            <w:shd w:val="clear" w:color="auto" w:fill="auto"/>
            <w:vAlign w:val="center"/>
          </w:tcPr>
          <w:p>
            <w:pPr>
              <w:widowControl/>
              <w:spacing w:line="240" w:lineRule="atLeast"/>
              <w:jc w:val="center"/>
              <w:rPr>
                <w:rFonts w:ascii="Times New Roman" w:hAnsi="Times New Roman" w:cs="Times New Roman"/>
                <w:szCs w:val="21"/>
              </w:rPr>
            </w:pPr>
          </w:p>
        </w:tc>
        <w:tc>
          <w:tcPr>
            <w:tcW w:w="571" w:type="pct"/>
            <w:shd w:val="clear" w:color="auto" w:fill="auto"/>
            <w:vAlign w:val="center"/>
          </w:tcPr>
          <w:p>
            <w:pPr>
              <w:widowControl/>
              <w:spacing w:line="240" w:lineRule="atLeast"/>
              <w:jc w:val="center"/>
              <w:rPr>
                <w:rFonts w:ascii="Times New Roman" w:hAnsi="Times New Roman" w:cs="Times New Roman"/>
                <w:szCs w:val="21"/>
              </w:rPr>
            </w:pPr>
          </w:p>
        </w:tc>
        <w:tc>
          <w:tcPr>
            <w:tcW w:w="467" w:type="pct"/>
            <w:shd w:val="clear" w:color="auto" w:fill="auto"/>
            <w:vAlign w:val="center"/>
          </w:tcPr>
          <w:p>
            <w:pPr>
              <w:widowControl/>
              <w:spacing w:line="240" w:lineRule="atLeast"/>
              <w:jc w:val="center"/>
              <w:rPr>
                <w:rFonts w:ascii="Times New Roman" w:hAnsi="Times New Roman" w:cs="Times New Roman"/>
                <w:szCs w:val="21"/>
              </w:rPr>
            </w:pPr>
          </w:p>
        </w:tc>
        <w:tc>
          <w:tcPr>
            <w:tcW w:w="519" w:type="pct"/>
            <w:shd w:val="clear" w:color="auto" w:fill="auto"/>
            <w:vAlign w:val="center"/>
          </w:tcPr>
          <w:p>
            <w:pPr>
              <w:widowControl/>
              <w:spacing w:line="240" w:lineRule="atLeast"/>
              <w:jc w:val="center"/>
              <w:rPr>
                <w:rFonts w:ascii="Times New Roman" w:hAnsi="Times New Roman" w:cs="Times New Roman"/>
                <w:szCs w:val="21"/>
              </w:rPr>
            </w:pPr>
          </w:p>
        </w:tc>
        <w:tc>
          <w:tcPr>
            <w:tcW w:w="548" w:type="pct"/>
            <w:shd w:val="clear" w:color="auto" w:fill="auto"/>
            <w:vAlign w:val="center"/>
          </w:tcPr>
          <w:p>
            <w:pPr>
              <w:widowControl/>
              <w:spacing w:line="240" w:lineRule="atLeast"/>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3</w:t>
            </w:r>
          </w:p>
        </w:tc>
        <w:tc>
          <w:tcPr>
            <w:tcW w:w="1402"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化学原料和化学制品制造业</w:t>
            </w:r>
          </w:p>
        </w:tc>
        <w:tc>
          <w:tcPr>
            <w:tcW w:w="675" w:type="pct"/>
            <w:shd w:val="clear" w:color="auto" w:fill="auto"/>
            <w:vAlign w:val="center"/>
          </w:tcPr>
          <w:p>
            <w:pPr>
              <w:widowControl/>
              <w:spacing w:line="240" w:lineRule="atLeast"/>
              <w:jc w:val="center"/>
              <w:rPr>
                <w:rFonts w:ascii="Times New Roman" w:hAnsi="Times New Roman" w:cs="Times New Roman"/>
                <w:szCs w:val="21"/>
              </w:rPr>
            </w:pPr>
          </w:p>
        </w:tc>
        <w:tc>
          <w:tcPr>
            <w:tcW w:w="519" w:type="pct"/>
            <w:shd w:val="clear" w:color="auto" w:fill="auto"/>
            <w:vAlign w:val="center"/>
          </w:tcPr>
          <w:p>
            <w:pPr>
              <w:widowControl/>
              <w:spacing w:line="240" w:lineRule="atLeast"/>
              <w:jc w:val="center"/>
              <w:rPr>
                <w:rFonts w:ascii="Times New Roman" w:hAnsi="Times New Roman" w:cs="Times New Roman"/>
                <w:szCs w:val="21"/>
              </w:rPr>
            </w:pPr>
          </w:p>
        </w:tc>
        <w:tc>
          <w:tcPr>
            <w:tcW w:w="571" w:type="pct"/>
            <w:shd w:val="clear" w:color="auto" w:fill="auto"/>
            <w:vAlign w:val="center"/>
          </w:tcPr>
          <w:p>
            <w:pPr>
              <w:widowControl/>
              <w:spacing w:line="240" w:lineRule="atLeast"/>
              <w:jc w:val="center"/>
              <w:rPr>
                <w:rFonts w:ascii="Times New Roman" w:hAnsi="Times New Roman" w:cs="Times New Roman"/>
                <w:szCs w:val="21"/>
              </w:rPr>
            </w:pPr>
          </w:p>
        </w:tc>
        <w:tc>
          <w:tcPr>
            <w:tcW w:w="467" w:type="pct"/>
            <w:shd w:val="clear" w:color="auto" w:fill="auto"/>
            <w:vAlign w:val="center"/>
          </w:tcPr>
          <w:p>
            <w:pPr>
              <w:widowControl/>
              <w:spacing w:line="240" w:lineRule="atLeast"/>
              <w:jc w:val="center"/>
              <w:rPr>
                <w:rFonts w:ascii="Times New Roman" w:hAnsi="Times New Roman" w:cs="Times New Roman"/>
                <w:szCs w:val="21"/>
              </w:rPr>
            </w:pPr>
          </w:p>
        </w:tc>
        <w:tc>
          <w:tcPr>
            <w:tcW w:w="519" w:type="pct"/>
            <w:shd w:val="clear" w:color="auto" w:fill="auto"/>
            <w:vAlign w:val="center"/>
          </w:tcPr>
          <w:p>
            <w:pPr>
              <w:widowControl/>
              <w:spacing w:line="240" w:lineRule="atLeast"/>
              <w:jc w:val="center"/>
              <w:rPr>
                <w:rFonts w:ascii="Times New Roman" w:hAnsi="Times New Roman" w:cs="Times New Roman"/>
                <w:szCs w:val="21"/>
              </w:rPr>
            </w:pPr>
          </w:p>
        </w:tc>
        <w:tc>
          <w:tcPr>
            <w:tcW w:w="548" w:type="pct"/>
            <w:shd w:val="clear" w:color="auto" w:fill="auto"/>
            <w:vAlign w:val="center"/>
          </w:tcPr>
          <w:p>
            <w:pPr>
              <w:widowControl/>
              <w:spacing w:line="240" w:lineRule="atLeast"/>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4</w:t>
            </w:r>
          </w:p>
        </w:tc>
        <w:tc>
          <w:tcPr>
            <w:tcW w:w="1402"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农副食品加工业</w:t>
            </w:r>
          </w:p>
        </w:tc>
        <w:tc>
          <w:tcPr>
            <w:tcW w:w="675" w:type="pct"/>
            <w:shd w:val="clear" w:color="auto" w:fill="auto"/>
            <w:vAlign w:val="center"/>
          </w:tcPr>
          <w:p>
            <w:pPr>
              <w:widowControl/>
              <w:spacing w:line="240" w:lineRule="atLeast"/>
              <w:jc w:val="center"/>
              <w:rPr>
                <w:rFonts w:ascii="Times New Roman" w:hAnsi="Times New Roman" w:cs="Times New Roman"/>
                <w:szCs w:val="21"/>
              </w:rPr>
            </w:pPr>
          </w:p>
        </w:tc>
        <w:tc>
          <w:tcPr>
            <w:tcW w:w="519" w:type="pct"/>
            <w:shd w:val="clear" w:color="auto" w:fill="auto"/>
            <w:vAlign w:val="center"/>
          </w:tcPr>
          <w:p>
            <w:pPr>
              <w:widowControl/>
              <w:spacing w:line="240" w:lineRule="atLeast"/>
              <w:jc w:val="center"/>
              <w:rPr>
                <w:rFonts w:ascii="Times New Roman" w:hAnsi="Times New Roman" w:cs="Times New Roman"/>
                <w:szCs w:val="21"/>
              </w:rPr>
            </w:pPr>
          </w:p>
        </w:tc>
        <w:tc>
          <w:tcPr>
            <w:tcW w:w="571" w:type="pct"/>
            <w:shd w:val="clear" w:color="auto" w:fill="auto"/>
            <w:vAlign w:val="center"/>
          </w:tcPr>
          <w:p>
            <w:pPr>
              <w:widowControl/>
              <w:spacing w:line="240" w:lineRule="atLeast"/>
              <w:jc w:val="center"/>
              <w:rPr>
                <w:rFonts w:ascii="Times New Roman" w:hAnsi="Times New Roman" w:cs="Times New Roman"/>
                <w:szCs w:val="21"/>
              </w:rPr>
            </w:pPr>
          </w:p>
        </w:tc>
        <w:tc>
          <w:tcPr>
            <w:tcW w:w="467" w:type="pct"/>
            <w:shd w:val="clear" w:color="auto" w:fill="auto"/>
            <w:vAlign w:val="center"/>
          </w:tcPr>
          <w:p>
            <w:pPr>
              <w:widowControl/>
              <w:spacing w:line="240" w:lineRule="atLeast"/>
              <w:jc w:val="center"/>
              <w:rPr>
                <w:rFonts w:ascii="Times New Roman" w:hAnsi="Times New Roman" w:cs="Times New Roman"/>
                <w:szCs w:val="21"/>
              </w:rPr>
            </w:pPr>
          </w:p>
        </w:tc>
        <w:tc>
          <w:tcPr>
            <w:tcW w:w="519" w:type="pct"/>
            <w:shd w:val="clear" w:color="auto" w:fill="auto"/>
            <w:vAlign w:val="center"/>
          </w:tcPr>
          <w:p>
            <w:pPr>
              <w:widowControl/>
              <w:spacing w:line="240" w:lineRule="atLeast"/>
              <w:jc w:val="center"/>
              <w:rPr>
                <w:rFonts w:ascii="Times New Roman" w:hAnsi="Times New Roman" w:cs="Times New Roman"/>
                <w:szCs w:val="21"/>
              </w:rPr>
            </w:pPr>
          </w:p>
        </w:tc>
        <w:tc>
          <w:tcPr>
            <w:tcW w:w="548" w:type="pct"/>
            <w:shd w:val="clear" w:color="auto" w:fill="auto"/>
            <w:vAlign w:val="center"/>
          </w:tcPr>
          <w:p>
            <w:pPr>
              <w:widowControl/>
              <w:spacing w:line="240" w:lineRule="atLeast"/>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5</w:t>
            </w:r>
          </w:p>
        </w:tc>
        <w:tc>
          <w:tcPr>
            <w:tcW w:w="1402" w:type="pct"/>
            <w:shd w:val="clear" w:color="auto" w:fill="auto"/>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非金属矿物制品业</w:t>
            </w:r>
          </w:p>
        </w:tc>
        <w:tc>
          <w:tcPr>
            <w:tcW w:w="675"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71"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467"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48"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6</w:t>
            </w:r>
          </w:p>
        </w:tc>
        <w:tc>
          <w:tcPr>
            <w:tcW w:w="1402" w:type="pct"/>
            <w:shd w:val="clear" w:color="auto" w:fill="auto"/>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石油和天然气开采业</w:t>
            </w:r>
          </w:p>
        </w:tc>
        <w:tc>
          <w:tcPr>
            <w:tcW w:w="675"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71"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467"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48"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7</w:t>
            </w:r>
          </w:p>
        </w:tc>
        <w:tc>
          <w:tcPr>
            <w:tcW w:w="1402" w:type="pct"/>
            <w:shd w:val="clear" w:color="auto" w:fill="auto"/>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橡胶和塑料制品制造业</w:t>
            </w:r>
          </w:p>
        </w:tc>
        <w:tc>
          <w:tcPr>
            <w:tcW w:w="675"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71"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467"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48"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8</w:t>
            </w:r>
          </w:p>
        </w:tc>
        <w:tc>
          <w:tcPr>
            <w:tcW w:w="1402" w:type="pct"/>
            <w:shd w:val="clear" w:color="auto" w:fill="auto"/>
            <w:vAlign w:val="center"/>
          </w:tcPr>
          <w:p>
            <w:pPr>
              <w:spacing w:line="240" w:lineRule="atLeast"/>
              <w:jc w:val="center"/>
              <w:rPr>
                <w:rFonts w:ascii="Times New Roman" w:hAnsi="Times New Roman" w:cs="Times New Roman"/>
                <w:szCs w:val="21"/>
              </w:rPr>
            </w:pPr>
            <w:r>
              <w:rPr>
                <w:rFonts w:hint="eastAsia" w:ascii="Times New Roman" w:hAnsi="Times New Roman" w:cs="Times New Roman"/>
                <w:szCs w:val="21"/>
              </w:rPr>
              <w:t>电力、热力、水的生产和供应</w:t>
            </w:r>
          </w:p>
        </w:tc>
        <w:tc>
          <w:tcPr>
            <w:tcW w:w="675"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96</w:t>
            </w:r>
          </w:p>
        </w:tc>
        <w:tc>
          <w:tcPr>
            <w:tcW w:w="519"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137</w:t>
            </w:r>
          </w:p>
        </w:tc>
        <w:tc>
          <w:tcPr>
            <w:tcW w:w="571"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41</w:t>
            </w:r>
          </w:p>
        </w:tc>
        <w:tc>
          <w:tcPr>
            <w:tcW w:w="467"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201</w:t>
            </w: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48"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9</w:t>
            </w:r>
          </w:p>
        </w:tc>
        <w:tc>
          <w:tcPr>
            <w:tcW w:w="1402" w:type="pct"/>
            <w:shd w:val="clear" w:color="auto" w:fill="auto"/>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食品制造业</w:t>
            </w:r>
          </w:p>
        </w:tc>
        <w:tc>
          <w:tcPr>
            <w:tcW w:w="675"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71"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467"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48"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10</w:t>
            </w:r>
          </w:p>
        </w:tc>
        <w:tc>
          <w:tcPr>
            <w:tcW w:w="1402" w:type="pct"/>
            <w:shd w:val="clear" w:color="auto" w:fill="auto"/>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皮革毛及制鞋业</w:t>
            </w:r>
          </w:p>
        </w:tc>
        <w:tc>
          <w:tcPr>
            <w:tcW w:w="675"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71"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467"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48"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szCs w:val="21"/>
              </w:rPr>
            </w:pPr>
            <w:r>
              <w:rPr>
                <w:rFonts w:hint="eastAsia" w:ascii="Times New Roman" w:hAnsi="Times New Roman" w:cs="Times New Roman"/>
                <w:szCs w:val="21"/>
              </w:rPr>
              <w:t>11</w:t>
            </w:r>
          </w:p>
        </w:tc>
        <w:tc>
          <w:tcPr>
            <w:tcW w:w="1402" w:type="pct"/>
            <w:shd w:val="clear" w:color="auto" w:fill="auto"/>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木材加工等其他行业</w:t>
            </w:r>
          </w:p>
        </w:tc>
        <w:tc>
          <w:tcPr>
            <w:tcW w:w="675"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71"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467" w:type="pct"/>
            <w:shd w:val="clear" w:color="auto" w:fill="auto"/>
            <w:vAlign w:val="center"/>
          </w:tcPr>
          <w:p>
            <w:pPr>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19"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c>
          <w:tcPr>
            <w:tcW w:w="548" w:type="pct"/>
            <w:shd w:val="clear" w:color="auto" w:fill="auto"/>
            <w:vAlign w:val="center"/>
          </w:tcPr>
          <w:p>
            <w:pPr>
              <w:widowControl/>
              <w:spacing w:line="240" w:lineRule="atLeast"/>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shd w:val="clear" w:color="auto" w:fill="auto"/>
            <w:vAlign w:val="center"/>
          </w:tcPr>
          <w:p>
            <w:pPr>
              <w:widowControl/>
              <w:spacing w:line="240" w:lineRule="atLeast"/>
              <w:jc w:val="center"/>
              <w:rPr>
                <w:rFonts w:ascii="Times New Roman" w:hAnsi="Times New Roman" w:cs="Times New Roman"/>
                <w:b/>
                <w:szCs w:val="21"/>
              </w:rPr>
            </w:pPr>
            <w:r>
              <w:rPr>
                <w:rFonts w:hint="eastAsia" w:ascii="Times New Roman" w:hAnsi="Times New Roman" w:cs="Times New Roman"/>
                <w:b/>
                <w:szCs w:val="21"/>
              </w:rPr>
              <w:t>12</w:t>
            </w:r>
          </w:p>
        </w:tc>
        <w:tc>
          <w:tcPr>
            <w:tcW w:w="1402" w:type="pct"/>
            <w:shd w:val="clear" w:color="auto" w:fill="auto"/>
            <w:vAlign w:val="center"/>
          </w:tcPr>
          <w:p>
            <w:pPr>
              <w:widowControl/>
              <w:spacing w:line="240" w:lineRule="atLeast"/>
              <w:jc w:val="center"/>
              <w:rPr>
                <w:rFonts w:ascii="Times New Roman" w:hAnsi="Times New Roman" w:cs="Times New Roman"/>
                <w:b/>
                <w:szCs w:val="21"/>
              </w:rPr>
            </w:pPr>
            <w:r>
              <w:rPr>
                <w:rFonts w:ascii="Times New Roman" w:hAnsi="Times New Roman" w:cs="Times New Roman"/>
                <w:b/>
                <w:szCs w:val="21"/>
              </w:rPr>
              <w:t>合计</w:t>
            </w:r>
          </w:p>
        </w:tc>
        <w:tc>
          <w:tcPr>
            <w:tcW w:w="675" w:type="pct"/>
            <w:shd w:val="clear" w:color="auto" w:fill="auto"/>
            <w:vAlign w:val="center"/>
          </w:tcPr>
          <w:p>
            <w:pPr>
              <w:widowControl/>
              <w:spacing w:line="24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1722.31</w:t>
            </w:r>
          </w:p>
        </w:tc>
        <w:tc>
          <w:tcPr>
            <w:tcW w:w="519" w:type="pct"/>
            <w:shd w:val="clear" w:color="auto" w:fill="auto"/>
            <w:vAlign w:val="center"/>
          </w:tcPr>
          <w:p>
            <w:pPr>
              <w:widowControl/>
              <w:spacing w:line="24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1261.02</w:t>
            </w:r>
          </w:p>
        </w:tc>
        <w:tc>
          <w:tcPr>
            <w:tcW w:w="571" w:type="pct"/>
            <w:shd w:val="clear" w:color="auto" w:fill="auto"/>
            <w:vAlign w:val="center"/>
          </w:tcPr>
          <w:p>
            <w:pPr>
              <w:widowControl/>
              <w:spacing w:line="24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1756.33</w:t>
            </w:r>
          </w:p>
        </w:tc>
        <w:tc>
          <w:tcPr>
            <w:tcW w:w="467" w:type="pct"/>
            <w:shd w:val="clear" w:color="auto" w:fill="auto"/>
            <w:vAlign w:val="center"/>
          </w:tcPr>
          <w:p>
            <w:pPr>
              <w:spacing w:line="24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601.23</w:t>
            </w:r>
          </w:p>
        </w:tc>
        <w:tc>
          <w:tcPr>
            <w:tcW w:w="519" w:type="pct"/>
            <w:shd w:val="clear" w:color="auto" w:fill="auto"/>
            <w:vAlign w:val="center"/>
          </w:tcPr>
          <w:p>
            <w:pPr>
              <w:widowControl/>
              <w:spacing w:line="240" w:lineRule="atLeast"/>
              <w:jc w:val="center"/>
              <w:rPr>
                <w:rFonts w:ascii="Times New Roman" w:hAnsi="Times New Roman" w:cs="Times New Roman"/>
                <w:b/>
                <w:color w:val="000000" w:themeColor="text1"/>
                <w:szCs w:val="21"/>
                <w14:textFill>
                  <w14:solidFill>
                    <w14:schemeClr w14:val="tx1"/>
                  </w14:solidFill>
                </w14:textFill>
              </w:rPr>
            </w:pPr>
          </w:p>
        </w:tc>
        <w:tc>
          <w:tcPr>
            <w:tcW w:w="548" w:type="pct"/>
            <w:shd w:val="clear" w:color="auto" w:fill="auto"/>
            <w:vAlign w:val="center"/>
          </w:tcPr>
          <w:p>
            <w:pPr>
              <w:widowControl/>
              <w:spacing w:line="240" w:lineRule="atLeast"/>
              <w:jc w:val="center"/>
              <w:rPr>
                <w:rFonts w:ascii="Times New Roman" w:hAnsi="Times New Roman" w:cs="Times New Roman"/>
                <w:b/>
                <w:color w:val="000000" w:themeColor="text1"/>
                <w:szCs w:val="21"/>
                <w14:textFill>
                  <w14:solidFill>
                    <w14:schemeClr w14:val="tx1"/>
                  </w14:solidFill>
                </w14:textFill>
              </w:rPr>
            </w:pPr>
          </w:p>
        </w:tc>
      </w:tr>
    </w:tbl>
    <w:p>
      <w:pPr>
        <w:pStyle w:val="6"/>
        <w:adjustRightInd w:val="0"/>
        <w:snapToGrid w:val="0"/>
        <w:spacing w:after="0" w:line="360" w:lineRule="auto"/>
        <w:rPr>
          <w:rFonts w:ascii="仿宋_GB2312" w:eastAsia="仿宋_GB2312"/>
          <w:sz w:val="28"/>
          <w:szCs w:val="28"/>
        </w:rPr>
      </w:pPr>
    </w:p>
    <w:p>
      <w:pPr>
        <w:pStyle w:val="6"/>
        <w:adjustRightInd w:val="0"/>
        <w:snapToGrid w:val="0"/>
        <w:spacing w:after="0" w:line="360" w:lineRule="auto"/>
        <w:rPr>
          <w:rFonts w:ascii="仿宋_GB2312" w:eastAsia="仿宋_GB2312"/>
          <w:sz w:val="28"/>
          <w:szCs w:val="28"/>
        </w:rPr>
        <w:sectPr>
          <w:pgSz w:w="16838" w:h="11906" w:orient="landscape"/>
          <w:pgMar w:top="1701" w:right="1701" w:bottom="1701" w:left="1701" w:header="851" w:footer="992" w:gutter="0"/>
          <w:cols w:space="425" w:num="1"/>
          <w:docGrid w:type="lines" w:linePitch="312" w:charSpace="0"/>
        </w:sectPr>
      </w:pP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（2）水污染物</w:t>
      </w:r>
    </w:p>
    <w:p>
      <w:pPr>
        <w:adjustRightInd w:val="0"/>
        <w:snapToGrid w:val="0"/>
        <w:spacing w:line="360" w:lineRule="auto"/>
        <w:jc w:val="center"/>
        <w:rPr>
          <w:rFonts w:ascii="仿宋_GB2312" w:eastAsia="仿宋_GB2312"/>
          <w:sz w:val="28"/>
          <w:szCs w:val="28"/>
        </w:rPr>
      </w:pPr>
      <w:r>
        <w:rPr>
          <w:rFonts w:hint="eastAsia" w:ascii="仿宋_GB2312" w:eastAsia="仿宋_GB2312"/>
          <w:sz w:val="28"/>
          <w:szCs w:val="28"/>
        </w:rPr>
        <w:t>表6-10 水污染物排放情况预测结果</w:t>
      </w:r>
    </w:p>
    <w:tbl>
      <w:tblPr>
        <w:tblStyle w:val="14"/>
        <w:tblW w:w="88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05"/>
        <w:gridCol w:w="1701"/>
        <w:gridCol w:w="1701"/>
        <w:gridCol w:w="2127"/>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Align w:val="center"/>
          </w:tcPr>
          <w:p>
            <w:pPr>
              <w:pStyle w:val="36"/>
              <w:spacing w:before="0" w:line="240" w:lineRule="atLeast"/>
              <w:ind w:left="0"/>
              <w:rPr>
                <w:rFonts w:eastAsia="宋体"/>
                <w:b/>
                <w:color w:val="000000" w:themeColor="text1"/>
                <w:kern w:val="2"/>
                <w:sz w:val="21"/>
                <w:lang w:eastAsia="zh-CN"/>
                <w14:textFill>
                  <w14:solidFill>
                    <w14:schemeClr w14:val="tx1"/>
                  </w14:solidFill>
                </w14:textFill>
              </w:rPr>
            </w:pPr>
            <w:r>
              <w:rPr>
                <w:rFonts w:eastAsia="宋体"/>
                <w:b/>
                <w:color w:val="000000" w:themeColor="text1"/>
                <w:kern w:val="2"/>
                <w:sz w:val="21"/>
                <w:lang w:eastAsia="zh-CN"/>
                <w14:textFill>
                  <w14:solidFill>
                    <w14:schemeClr w14:val="tx1"/>
                  </w14:solidFill>
                </w14:textFill>
              </w:rPr>
              <w:t>污染源</w:t>
            </w:r>
          </w:p>
        </w:tc>
        <w:tc>
          <w:tcPr>
            <w:tcW w:w="1701" w:type="dxa"/>
            <w:vAlign w:val="center"/>
          </w:tcPr>
          <w:p>
            <w:pPr>
              <w:pStyle w:val="36"/>
              <w:spacing w:before="0" w:line="240" w:lineRule="atLeast"/>
              <w:ind w:left="0"/>
              <w:rPr>
                <w:rFonts w:eastAsia="宋体"/>
                <w:b/>
                <w:color w:val="000000" w:themeColor="text1"/>
                <w:kern w:val="2"/>
                <w:sz w:val="21"/>
                <w:lang w:eastAsia="zh-CN"/>
                <w14:textFill>
                  <w14:solidFill>
                    <w14:schemeClr w14:val="tx1"/>
                  </w14:solidFill>
                </w14:textFill>
              </w:rPr>
            </w:pPr>
            <w:r>
              <w:rPr>
                <w:rFonts w:eastAsia="宋体"/>
                <w:b/>
                <w:color w:val="000000" w:themeColor="text1"/>
                <w:kern w:val="2"/>
                <w:sz w:val="21"/>
                <w:lang w:eastAsia="zh-CN"/>
                <w14:textFill>
                  <w14:solidFill>
                    <w14:schemeClr w14:val="tx1"/>
                  </w14:solidFill>
                </w14:textFill>
              </w:rPr>
              <w:t>污染物</w:t>
            </w:r>
          </w:p>
        </w:tc>
        <w:tc>
          <w:tcPr>
            <w:tcW w:w="1701" w:type="dxa"/>
            <w:vAlign w:val="center"/>
          </w:tcPr>
          <w:p>
            <w:pPr>
              <w:pStyle w:val="36"/>
              <w:spacing w:before="0" w:line="240" w:lineRule="atLeast"/>
              <w:ind w:left="0"/>
              <w:rPr>
                <w:rFonts w:eastAsia="宋体"/>
                <w:b/>
                <w:color w:val="000000" w:themeColor="text1"/>
                <w:kern w:val="2"/>
                <w:sz w:val="21"/>
                <w:lang w:eastAsia="zh-CN"/>
                <w14:textFill>
                  <w14:solidFill>
                    <w14:schemeClr w14:val="tx1"/>
                  </w14:solidFill>
                </w14:textFill>
              </w:rPr>
            </w:pPr>
            <w:r>
              <w:rPr>
                <w:rFonts w:eastAsia="宋体"/>
                <w:b/>
                <w:color w:val="000000" w:themeColor="text1"/>
                <w:kern w:val="2"/>
                <w:sz w:val="21"/>
                <w:lang w:eastAsia="zh-CN"/>
                <w14:textFill>
                  <w14:solidFill>
                    <w14:schemeClr w14:val="tx1"/>
                  </w14:solidFill>
                </w14:textFill>
              </w:rPr>
              <w:t>现状</w:t>
            </w:r>
          </w:p>
        </w:tc>
        <w:tc>
          <w:tcPr>
            <w:tcW w:w="2127" w:type="dxa"/>
          </w:tcPr>
          <w:p>
            <w:pPr>
              <w:pStyle w:val="36"/>
              <w:spacing w:before="0" w:line="240" w:lineRule="atLeast"/>
              <w:ind w:left="0"/>
              <w:rPr>
                <w:rFonts w:eastAsia="宋体"/>
                <w:b/>
                <w:color w:val="000000" w:themeColor="text1"/>
                <w:kern w:val="2"/>
                <w:sz w:val="21"/>
                <w:lang w:eastAsia="zh-CN"/>
                <w14:textFill>
                  <w14:solidFill>
                    <w14:schemeClr w14:val="tx1"/>
                  </w14:solidFill>
                </w14:textFill>
              </w:rPr>
            </w:pPr>
            <w:r>
              <w:rPr>
                <w:rFonts w:hint="eastAsia" w:eastAsia="宋体"/>
                <w:b/>
                <w:color w:val="000000" w:themeColor="text1"/>
                <w:kern w:val="2"/>
                <w:sz w:val="21"/>
                <w:lang w:eastAsia="zh-CN"/>
                <w14:textFill>
                  <w14:solidFill>
                    <w14:schemeClr w14:val="tx1"/>
                  </w14:solidFill>
                </w14:textFill>
              </w:rPr>
              <w:t>近期（2025）</w:t>
            </w:r>
          </w:p>
        </w:tc>
        <w:tc>
          <w:tcPr>
            <w:tcW w:w="1701" w:type="dxa"/>
            <w:vAlign w:val="center"/>
          </w:tcPr>
          <w:p>
            <w:pPr>
              <w:pStyle w:val="36"/>
              <w:spacing w:before="0" w:line="240" w:lineRule="atLeast"/>
              <w:ind w:left="0"/>
              <w:rPr>
                <w:rFonts w:eastAsia="宋体"/>
                <w:b/>
                <w:color w:val="000000" w:themeColor="text1"/>
                <w:kern w:val="2"/>
                <w:sz w:val="21"/>
                <w:lang w:eastAsia="zh-CN"/>
                <w14:textFill>
                  <w14:solidFill>
                    <w14:schemeClr w14:val="tx1"/>
                  </w14:solidFill>
                </w14:textFill>
              </w:rPr>
            </w:pPr>
            <w:r>
              <w:rPr>
                <w:rFonts w:hint="eastAsia" w:eastAsia="宋体"/>
                <w:b/>
                <w:color w:val="000000" w:themeColor="text1"/>
                <w:kern w:val="2"/>
                <w:sz w:val="21"/>
                <w:lang w:eastAsia="zh-CN"/>
                <w14:textFill>
                  <w14:solidFill>
                    <w14:schemeClr w14:val="tx1"/>
                  </w14:solidFill>
                </w14:textFill>
              </w:rPr>
              <w:t>远期（2030）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Merge w:val="restart"/>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hint="eastAsia" w:eastAsia="宋体"/>
                <w:color w:val="000000" w:themeColor="text1"/>
                <w:kern w:val="2"/>
                <w:sz w:val="21"/>
                <w:lang w:eastAsia="zh-CN"/>
                <w14:textFill>
                  <w14:solidFill>
                    <w14:schemeClr w14:val="tx1"/>
                  </w14:solidFill>
                </w14:textFill>
              </w:rPr>
              <w:t>工业源</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eastAsia="宋体"/>
                <w:color w:val="000000" w:themeColor="text1"/>
                <w:kern w:val="2"/>
                <w:sz w:val="21"/>
                <w:lang w:eastAsia="zh-CN"/>
                <w14:textFill>
                  <w14:solidFill>
                    <w14:schemeClr w14:val="tx1"/>
                  </w14:solidFill>
                </w14:textFill>
              </w:rPr>
              <w:t>COD</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2127" w:type="dxa"/>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Merge w:val="continue"/>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eastAsia="宋体"/>
                <w:color w:val="000000" w:themeColor="text1"/>
                <w:kern w:val="2"/>
                <w:sz w:val="21"/>
                <w:lang w:eastAsia="zh-CN"/>
                <w14:textFill>
                  <w14:solidFill>
                    <w14:schemeClr w14:val="tx1"/>
                  </w14:solidFill>
                </w14:textFill>
              </w:rPr>
              <w:t>氨氮</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2127" w:type="dxa"/>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Merge w:val="restart"/>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hint="eastAsia" w:eastAsia="宋体"/>
                <w:color w:val="000000" w:themeColor="text1"/>
                <w:kern w:val="2"/>
                <w:sz w:val="21"/>
                <w:lang w:eastAsia="zh-CN"/>
                <w14:textFill>
                  <w14:solidFill>
                    <w14:schemeClr w14:val="tx1"/>
                  </w14:solidFill>
                </w14:textFill>
              </w:rPr>
              <w:t>生活源</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eastAsia="宋体"/>
                <w:color w:val="000000" w:themeColor="text1"/>
                <w:kern w:val="2"/>
                <w:sz w:val="21"/>
                <w:lang w:eastAsia="zh-CN"/>
                <w14:textFill>
                  <w14:solidFill>
                    <w14:schemeClr w14:val="tx1"/>
                  </w14:solidFill>
                </w14:textFill>
              </w:rPr>
              <w:t>COD</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2127" w:type="dxa"/>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Merge w:val="continue"/>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eastAsia="宋体"/>
                <w:color w:val="000000" w:themeColor="text1"/>
                <w:kern w:val="2"/>
                <w:sz w:val="21"/>
                <w:lang w:eastAsia="zh-CN"/>
                <w14:textFill>
                  <w14:solidFill>
                    <w14:schemeClr w14:val="tx1"/>
                  </w14:solidFill>
                </w14:textFill>
              </w:rPr>
              <w:t>氨氮</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2127" w:type="dxa"/>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Merge w:val="restart"/>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hint="eastAsia" w:eastAsia="宋体"/>
                <w:color w:val="000000" w:themeColor="text1"/>
                <w:kern w:val="2"/>
                <w:sz w:val="21"/>
                <w:lang w:eastAsia="zh-CN"/>
                <w14:textFill>
                  <w14:solidFill>
                    <w14:schemeClr w14:val="tx1"/>
                  </w14:solidFill>
                </w14:textFill>
              </w:rPr>
              <w:t>农业源</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eastAsia="宋体"/>
                <w:color w:val="000000" w:themeColor="text1"/>
                <w:kern w:val="2"/>
                <w:sz w:val="21"/>
                <w:lang w:eastAsia="zh-CN"/>
                <w14:textFill>
                  <w14:solidFill>
                    <w14:schemeClr w14:val="tx1"/>
                  </w14:solidFill>
                </w14:textFill>
              </w:rPr>
              <w:t>COD</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2127" w:type="dxa"/>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Merge w:val="continue"/>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eastAsia="宋体"/>
                <w:color w:val="000000" w:themeColor="text1"/>
                <w:kern w:val="2"/>
                <w:sz w:val="21"/>
                <w:lang w:eastAsia="zh-CN"/>
                <w14:textFill>
                  <w14:solidFill>
                    <w14:schemeClr w14:val="tx1"/>
                  </w14:solidFill>
                </w14:textFill>
              </w:rPr>
              <w:t>氨氮</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2127" w:type="dxa"/>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Merge w:val="restart"/>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hint="eastAsia" w:eastAsia="宋体"/>
                <w:color w:val="000000" w:themeColor="text1"/>
                <w:kern w:val="2"/>
                <w:sz w:val="21"/>
                <w:lang w:eastAsia="zh-CN"/>
                <w14:textFill>
                  <w14:solidFill>
                    <w14:schemeClr w14:val="tx1"/>
                  </w14:solidFill>
                </w14:textFill>
              </w:rPr>
              <w:t>合计</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eastAsia="宋体"/>
                <w:color w:val="000000" w:themeColor="text1"/>
                <w:kern w:val="2"/>
                <w:sz w:val="21"/>
                <w:lang w:eastAsia="zh-CN"/>
                <w14:textFill>
                  <w14:solidFill>
                    <w14:schemeClr w14:val="tx1"/>
                  </w14:solidFill>
                </w14:textFill>
              </w:rPr>
              <w:t>COD</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hint="eastAsia" w:eastAsia="宋体"/>
                <w:color w:val="000000" w:themeColor="text1"/>
                <w:kern w:val="2"/>
                <w:sz w:val="21"/>
                <w:lang w:eastAsia="zh-CN"/>
                <w14:textFill>
                  <w14:solidFill>
                    <w14:schemeClr w14:val="tx1"/>
                  </w14:solidFill>
                </w14:textFill>
              </w:rPr>
              <w:t>515.41</w:t>
            </w:r>
          </w:p>
        </w:tc>
        <w:tc>
          <w:tcPr>
            <w:tcW w:w="2127" w:type="dxa"/>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05" w:type="dxa"/>
            <w:vMerge w:val="continue"/>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eastAsia="宋体"/>
                <w:color w:val="000000" w:themeColor="text1"/>
                <w:kern w:val="2"/>
                <w:sz w:val="21"/>
                <w:lang w:eastAsia="zh-CN"/>
                <w14:textFill>
                  <w14:solidFill>
                    <w14:schemeClr w14:val="tx1"/>
                  </w14:solidFill>
                </w14:textFill>
              </w:rPr>
              <w:t>氨氮</w:t>
            </w: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r>
              <w:rPr>
                <w:rFonts w:hint="eastAsia" w:eastAsia="宋体"/>
                <w:color w:val="000000" w:themeColor="text1"/>
                <w:kern w:val="2"/>
                <w:sz w:val="21"/>
                <w:lang w:eastAsia="zh-CN"/>
                <w14:textFill>
                  <w14:solidFill>
                    <w14:schemeClr w14:val="tx1"/>
                  </w14:solidFill>
                </w14:textFill>
              </w:rPr>
              <w:t>66.57</w:t>
            </w:r>
          </w:p>
        </w:tc>
        <w:tc>
          <w:tcPr>
            <w:tcW w:w="2127" w:type="dxa"/>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c>
          <w:tcPr>
            <w:tcW w:w="1701" w:type="dxa"/>
            <w:vAlign w:val="center"/>
          </w:tcPr>
          <w:p>
            <w:pPr>
              <w:pStyle w:val="36"/>
              <w:spacing w:before="0" w:line="240" w:lineRule="atLeast"/>
              <w:ind w:left="0"/>
              <w:rPr>
                <w:rFonts w:eastAsia="宋体"/>
                <w:color w:val="000000" w:themeColor="text1"/>
                <w:kern w:val="2"/>
                <w:sz w:val="21"/>
                <w:lang w:eastAsia="zh-CN"/>
                <w14:textFill>
                  <w14:solidFill>
                    <w14:schemeClr w14:val="tx1"/>
                  </w14:solidFill>
                </w14:textFill>
              </w:rPr>
            </w:pPr>
          </w:p>
        </w:tc>
      </w:tr>
    </w:tbl>
    <w:p>
      <w:pPr>
        <w:adjustRightInd w:val="0"/>
        <w:snapToGrid w:val="0"/>
        <w:spacing w:line="360" w:lineRule="auto"/>
        <w:ind w:firstLine="560" w:firstLineChars="200"/>
        <w:rPr>
          <w:rFonts w:ascii="仿宋_GB2312" w:eastAsia="仿宋_GB2312"/>
          <w:sz w:val="28"/>
          <w:szCs w:val="28"/>
        </w:rPr>
      </w:pP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6.3.2城镇生活污染源</w:t>
      </w:r>
    </w:p>
    <w:p>
      <w:pPr>
        <w:adjustRightInd w:val="0"/>
        <w:snapToGrid w:val="0"/>
        <w:spacing w:line="360"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根据现场调查农村居民用水状况、改厕进展、人口规模、经济条件等因素，依据《镇（乡）村排水工程技术规程》、《宁夏农村污水处理技术指南》、《农村生活污水处理工程技术规程》等，并结合各镇总体规划和实际情况，采用综合指标法和污水定额法估算乡镇近期与远期的污水处理规模。</w:t>
      </w:r>
    </w:p>
    <w:p>
      <w:pPr>
        <w:adjustRightInd w:val="0"/>
        <w:snapToGrid w:val="0"/>
        <w:spacing w:line="408"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本次规划的乡镇污水排放指标取</w:t>
      </w:r>
      <w:r>
        <w:rPr>
          <w:rFonts w:ascii="仿宋_GB2312" w:hAnsi="Times New Roman" w:eastAsia="仿宋_GB2312" w:cs="Times New Roman"/>
          <w:sz w:val="28"/>
          <w:szCs w:val="28"/>
        </w:rPr>
        <w:t xml:space="preserve"> 75%</w:t>
      </w:r>
      <w:r>
        <w:rPr>
          <w:rFonts w:hint="eastAsia" w:ascii="仿宋_GB2312" w:hAnsi="Times New Roman" w:eastAsia="仿宋_GB2312" w:cs="Times New Roman"/>
          <w:sz w:val="28"/>
          <w:szCs w:val="28"/>
        </w:rPr>
        <w:t>，根据现场调查乡镇卫生设施水平、排水系统的组成及完善程度，污水收集率取</w:t>
      </w:r>
      <w:r>
        <w:rPr>
          <w:rFonts w:ascii="仿宋_GB2312" w:hAnsi="Times New Roman" w:eastAsia="仿宋_GB2312" w:cs="Times New Roman"/>
          <w:sz w:val="28"/>
          <w:szCs w:val="28"/>
        </w:rPr>
        <w:t xml:space="preserve"> 0.3</w:t>
      </w:r>
      <w:r>
        <w:rPr>
          <w:rFonts w:hint="eastAsia" w:ascii="仿宋_GB2312" w:hAnsi="Times New Roman" w:eastAsia="仿宋_GB2312" w:cs="Times New Roman"/>
          <w:sz w:val="28"/>
          <w:szCs w:val="28"/>
        </w:rPr>
        <w:t>～</w:t>
      </w:r>
      <w:r>
        <w:rPr>
          <w:rFonts w:ascii="仿宋_GB2312" w:hAnsi="Times New Roman" w:eastAsia="仿宋_GB2312" w:cs="Times New Roman"/>
          <w:sz w:val="28"/>
          <w:szCs w:val="28"/>
        </w:rPr>
        <w:t>0.7</w:t>
      </w:r>
      <w:r>
        <w:rPr>
          <w:rFonts w:hint="eastAsia" w:ascii="仿宋_GB2312" w:hAnsi="Times New Roman" w:eastAsia="仿宋_GB2312" w:cs="Times New Roman"/>
          <w:sz w:val="28"/>
          <w:szCs w:val="28"/>
        </w:rPr>
        <w:t>。</w:t>
      </w:r>
    </w:p>
    <w:p>
      <w:pPr>
        <w:adjustRightInd w:val="0"/>
        <w:snapToGrid w:val="0"/>
        <w:spacing w:line="408"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根据宁夏地区的自然条件、资源禀赋和社会经济发展现状，将农村居住地分为沿黄灌溉区（一类区）、中部干旱风沙区（二类区）和南部山区（三类区）三个类型区域，盐池县属二类区。</w:t>
      </w:r>
    </w:p>
    <w:p>
      <w:pPr>
        <w:adjustRightInd w:val="0"/>
        <w:snapToGrid w:val="0"/>
        <w:spacing w:line="408"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在现场调查过程中，各乡镇农村差异较大，约</w:t>
      </w:r>
      <w:r>
        <w:rPr>
          <w:rFonts w:ascii="仿宋_GB2312" w:hAnsi="Times New Roman" w:eastAsia="仿宋_GB2312" w:cs="Times New Roman"/>
          <w:sz w:val="28"/>
          <w:szCs w:val="28"/>
        </w:rPr>
        <w:t>50%</w:t>
      </w:r>
      <w:r>
        <w:rPr>
          <w:rFonts w:hint="eastAsia" w:ascii="仿宋_GB2312" w:hAnsi="Times New Roman" w:eastAsia="仿宋_GB2312" w:cs="Times New Roman"/>
          <w:sz w:val="28"/>
          <w:szCs w:val="28"/>
        </w:rPr>
        <w:t>以上的村庄居民使用水厕，其余采用生态旱厕，基本具备洗衣机等设施。</w:t>
      </w:r>
    </w:p>
    <w:p>
      <w:pPr>
        <w:adjustRightInd w:val="0"/>
        <w:snapToGrid w:val="0"/>
        <w:spacing w:line="408"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依据《村镇供水工程技术规范》（</w:t>
      </w:r>
      <w:r>
        <w:rPr>
          <w:rFonts w:ascii="仿宋_GB2312" w:hAnsi="Times New Roman" w:eastAsia="仿宋_GB2312" w:cs="Times New Roman"/>
          <w:sz w:val="28"/>
          <w:szCs w:val="28"/>
        </w:rPr>
        <w:t>SL310-2004</w:t>
      </w:r>
      <w:r>
        <w:rPr>
          <w:rFonts w:hint="eastAsia" w:ascii="仿宋_GB2312" w:hAnsi="Times New Roman" w:eastAsia="仿宋_GB2312" w:cs="Times New Roman"/>
          <w:sz w:val="28"/>
          <w:szCs w:val="28"/>
        </w:rPr>
        <w:t>）、《宁夏农村生活污水处理技术指南》等技术资料，农村生活污水量可用日均生活用水量乘以污水收集率来计算，也可以按照宁夏农村生活污水量取值进行取值（见表6-9），然后乘以村镇人口数量即可估算日均生活污水的排放量。</w:t>
      </w:r>
    </w:p>
    <w:p>
      <w:pPr>
        <w:adjustRightInd w:val="0"/>
        <w:snapToGrid w:val="0"/>
        <w:spacing w:line="408" w:lineRule="auto"/>
        <w:jc w:val="center"/>
        <w:rPr>
          <w:rFonts w:ascii="Times New Roman" w:hAnsi="Times New Roman" w:cs="Times New Roman"/>
          <w:b/>
          <w:bCs/>
        </w:rPr>
      </w:pPr>
      <w:r>
        <w:rPr>
          <w:rFonts w:hint="eastAsia" w:ascii="Times New Roman" w:hAnsi="Times New Roman" w:cs="Times New Roman"/>
        </w:rPr>
        <w:t>表6-9</w:t>
      </w:r>
      <w:r>
        <w:rPr>
          <w:rFonts w:ascii="Times New Roman" w:hAnsi="Times New Roman" w:cs="Times New Roman"/>
        </w:rPr>
        <w:t xml:space="preserve">          </w:t>
      </w:r>
      <w:r>
        <w:rPr>
          <w:rFonts w:ascii="Times New Roman" w:hAnsi="Times New Roman" w:cs="Times New Roman"/>
          <w:b/>
        </w:rPr>
        <w:t xml:space="preserve">  </w:t>
      </w:r>
      <w:r>
        <w:rPr>
          <w:rFonts w:hint="eastAsia" w:ascii="Times New Roman" w:hAnsi="Times New Roman" w:cs="Times New Roman"/>
          <w:b/>
        </w:rPr>
        <w:t>生活污水量取值表</w:t>
      </w:r>
      <w:r>
        <w:rPr>
          <w:rFonts w:ascii="Times New Roman" w:hAnsi="Times New Roman" w:cs="Times New Roman"/>
          <w:b/>
        </w:rPr>
        <w:t xml:space="preserve">       </w:t>
      </w:r>
      <w:r>
        <w:rPr>
          <w:rFonts w:hint="eastAsia" w:ascii="Times New Roman" w:hAnsi="Times New Roman" w:cs="Times New Roman"/>
          <w:b/>
        </w:rPr>
        <w:t>单位：</w:t>
      </w:r>
      <w:r>
        <w:rPr>
          <w:rFonts w:ascii="Times New Roman" w:hAnsi="Times New Roman" w:cs="Times New Roman"/>
          <w:b/>
        </w:rPr>
        <w:t>L/</w:t>
      </w:r>
      <w:r>
        <w:rPr>
          <w:rFonts w:hint="eastAsia" w:ascii="Times New Roman" w:hAnsi="Times New Roman" w:cs="Times New Roman"/>
          <w:b/>
        </w:rPr>
        <w:t>（人</w:t>
      </w:r>
      <w:r>
        <w:rPr>
          <w:rFonts w:ascii="Times New Roman" w:hAnsi="Times New Roman" w:cs="Times New Roman"/>
          <w:b/>
        </w:rPr>
        <w:t>·d</w:t>
      </w:r>
      <w:r>
        <w:rPr>
          <w:rFonts w:hint="eastAsia" w:ascii="Times New Roman" w:hAnsi="Times New Roman" w:cs="Times New Roman"/>
          <w:b/>
        </w:rPr>
        <w:t>）</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55"/>
        <w:gridCol w:w="1121"/>
        <w:gridCol w:w="1122"/>
        <w:gridCol w:w="11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5" w:type="dxa"/>
            <w:vMerge w:val="restart"/>
            <w:tcBorders>
              <w:top w:val="single" w:color="auto" w:sz="12" w:space="0"/>
            </w:tcBorders>
            <w:vAlign w:val="center"/>
          </w:tcPr>
          <w:p>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主要用（供）水条件</w:t>
            </w:r>
          </w:p>
        </w:tc>
        <w:tc>
          <w:tcPr>
            <w:tcW w:w="3365" w:type="dxa"/>
            <w:gridSpan w:val="3"/>
            <w:tcBorders>
              <w:top w:val="single" w:color="auto" w:sz="12" w:space="0"/>
            </w:tcBorders>
            <w:vAlign w:val="center"/>
          </w:tcPr>
          <w:p>
            <w:pPr>
              <w:jc w:val="center"/>
              <w:rPr>
                <w:b/>
              </w:rPr>
            </w:pPr>
            <w:r>
              <w:rPr>
                <w:rFonts w:hint="eastAsia"/>
                <w:b/>
              </w:rPr>
              <w:t>污水量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5" w:type="dxa"/>
            <w:vMerge w:val="continue"/>
            <w:vAlign w:val="center"/>
          </w:tcPr>
          <w:p>
            <w:pPr>
              <w:adjustRightInd w:val="0"/>
              <w:snapToGrid w:val="0"/>
              <w:spacing w:line="360" w:lineRule="auto"/>
              <w:jc w:val="center"/>
              <w:rPr>
                <w:rFonts w:ascii="Times New Roman" w:hAnsi="Times New Roman" w:cs="Times New Roman"/>
                <w:b/>
                <w:szCs w:val="21"/>
              </w:rPr>
            </w:pPr>
          </w:p>
        </w:tc>
        <w:tc>
          <w:tcPr>
            <w:tcW w:w="1121" w:type="dxa"/>
            <w:vAlign w:val="center"/>
          </w:tcPr>
          <w:p>
            <w:pPr>
              <w:jc w:val="center"/>
              <w:rPr>
                <w:b/>
              </w:rPr>
            </w:pPr>
            <w:r>
              <w:rPr>
                <w:rFonts w:hint="eastAsia"/>
                <w:b/>
              </w:rPr>
              <w:t>一类区</w:t>
            </w:r>
          </w:p>
        </w:tc>
        <w:tc>
          <w:tcPr>
            <w:tcW w:w="1122" w:type="dxa"/>
            <w:vAlign w:val="center"/>
          </w:tcPr>
          <w:p>
            <w:pPr>
              <w:jc w:val="center"/>
              <w:rPr>
                <w:b/>
              </w:rPr>
            </w:pPr>
            <w:r>
              <w:rPr>
                <w:rFonts w:hint="eastAsia"/>
                <w:b/>
              </w:rPr>
              <w:t>二类区</w:t>
            </w:r>
          </w:p>
        </w:tc>
        <w:tc>
          <w:tcPr>
            <w:tcW w:w="1122" w:type="dxa"/>
            <w:vAlign w:val="center"/>
          </w:tcPr>
          <w:p>
            <w:pPr>
              <w:jc w:val="center"/>
              <w:rPr>
                <w:b/>
              </w:rPr>
            </w:pPr>
            <w:r>
              <w:rPr>
                <w:rFonts w:hint="eastAsia"/>
                <w:b/>
              </w:rPr>
              <w:t>三类区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5" w:type="dxa"/>
            <w:vAlign w:val="center"/>
          </w:tcPr>
          <w:p>
            <w:pPr>
              <w:jc w:val="center"/>
            </w:pPr>
            <w:r>
              <w:rPr>
                <w:rFonts w:hint="eastAsia"/>
              </w:rPr>
              <w:t>集中供水点取水，或水龙头入户且无卫生设施</w:t>
            </w:r>
          </w:p>
        </w:tc>
        <w:tc>
          <w:tcPr>
            <w:tcW w:w="112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8~15</w:t>
            </w:r>
          </w:p>
        </w:tc>
        <w:tc>
          <w:tcPr>
            <w:tcW w:w="1122"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6~12</w:t>
            </w:r>
          </w:p>
        </w:tc>
        <w:tc>
          <w:tcPr>
            <w:tcW w:w="1122"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5" w:type="dxa"/>
            <w:vAlign w:val="center"/>
          </w:tcPr>
          <w:p>
            <w:pPr>
              <w:jc w:val="center"/>
            </w:pPr>
            <w:r>
              <w:rPr>
                <w:rFonts w:hint="eastAsia"/>
              </w:rPr>
              <w:t>水龙头入户，有洗涤池，其他卫生设施较少</w:t>
            </w:r>
          </w:p>
        </w:tc>
        <w:tc>
          <w:tcPr>
            <w:tcW w:w="112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15~30</w:t>
            </w:r>
          </w:p>
        </w:tc>
        <w:tc>
          <w:tcPr>
            <w:tcW w:w="1122"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12~25</w:t>
            </w:r>
          </w:p>
        </w:tc>
        <w:tc>
          <w:tcPr>
            <w:tcW w:w="1122"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5" w:type="dxa"/>
            <w:vAlign w:val="center"/>
          </w:tcPr>
          <w:p>
            <w:pPr>
              <w:jc w:val="center"/>
            </w:pPr>
            <w:r>
              <w:rPr>
                <w:rFonts w:hint="eastAsia"/>
              </w:rPr>
              <w:t>全日供水，户内有洗涤池和部分其他卫生设施</w:t>
            </w:r>
          </w:p>
        </w:tc>
        <w:tc>
          <w:tcPr>
            <w:tcW w:w="112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30~55</w:t>
            </w:r>
          </w:p>
        </w:tc>
        <w:tc>
          <w:tcPr>
            <w:tcW w:w="1122"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25~40</w:t>
            </w:r>
          </w:p>
        </w:tc>
        <w:tc>
          <w:tcPr>
            <w:tcW w:w="1122"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15~25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5" w:type="dxa"/>
            <w:vAlign w:val="center"/>
          </w:tcPr>
          <w:p>
            <w:pPr>
              <w:jc w:val="center"/>
            </w:pPr>
            <w:r>
              <w:rPr>
                <w:rFonts w:hint="eastAsia"/>
              </w:rPr>
              <w:t>全日供水，户内有给水、排水设施且卫生设施较齐全</w:t>
            </w:r>
          </w:p>
        </w:tc>
        <w:tc>
          <w:tcPr>
            <w:tcW w:w="112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55~80</w:t>
            </w:r>
          </w:p>
        </w:tc>
        <w:tc>
          <w:tcPr>
            <w:tcW w:w="1122"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40~55</w:t>
            </w:r>
          </w:p>
        </w:tc>
        <w:tc>
          <w:tcPr>
            <w:tcW w:w="1122"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25~45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20" w:type="dxa"/>
            <w:gridSpan w:val="4"/>
            <w:tcBorders>
              <w:bottom w:val="single" w:color="auto" w:sz="12" w:space="0"/>
            </w:tcBorders>
            <w:vAlign w:val="center"/>
          </w:tcPr>
          <w:p>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备注：污水排放量可按以下原则取值：有洗衣污水室外泼洒、厨房污水利用等习惯的地方取下值，排水设施完善的地方取上值。</w:t>
            </w:r>
          </w:p>
        </w:tc>
      </w:tr>
    </w:tbl>
    <w:p>
      <w:pPr>
        <w:adjustRightInd w:val="0"/>
        <w:snapToGrid w:val="0"/>
        <w:spacing w:line="360" w:lineRule="auto"/>
        <w:ind w:firstLine="560" w:firstLineChars="200"/>
        <w:rPr>
          <w:rFonts w:ascii="仿宋_GB2312" w:eastAsia="仿宋_GB2312"/>
          <w:sz w:val="28"/>
          <w:szCs w:val="28"/>
        </w:rPr>
      </w:pPr>
    </w:p>
    <w:p>
      <w:pPr>
        <w:adjustRightInd w:val="0"/>
        <w:snapToGrid w:val="0"/>
        <w:spacing w:before="156" w:beforeLines="50" w:line="408"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根据盐池县农村生活用水习惯，多数地区存在将洗衣水、厨房水等进行利用的习惯，因此应按照取值表中二类区中的</w:t>
      </w:r>
      <w:r>
        <w:rPr>
          <w:rFonts w:ascii="仿宋_GB2312" w:hAnsi="Times New Roman" w:eastAsia="仿宋_GB2312" w:cs="Times New Roman"/>
          <w:sz w:val="28"/>
          <w:szCs w:val="28"/>
        </w:rPr>
        <w:t>25</w:t>
      </w:r>
      <w:r>
        <w:rPr>
          <w:rFonts w:hint="eastAsia" w:ascii="仿宋_GB2312" w:hAnsi="Times New Roman" w:eastAsia="仿宋_GB2312" w:cs="Times New Roman"/>
          <w:sz w:val="28"/>
          <w:szCs w:val="28"/>
        </w:rPr>
        <w:t>～</w:t>
      </w:r>
      <w:r>
        <w:rPr>
          <w:rFonts w:ascii="仿宋_GB2312" w:hAnsi="Times New Roman" w:eastAsia="仿宋_GB2312" w:cs="Times New Roman"/>
          <w:sz w:val="28"/>
          <w:szCs w:val="28"/>
        </w:rPr>
        <w:t>40</w:t>
      </w:r>
      <w:r>
        <w:t xml:space="preserve"> </w:t>
      </w:r>
      <w:r>
        <w:rPr>
          <w:rFonts w:ascii="仿宋_GB2312" w:hAnsi="Times New Roman" w:eastAsia="仿宋_GB2312" w:cs="Times New Roman"/>
          <w:sz w:val="28"/>
          <w:szCs w:val="28"/>
        </w:rPr>
        <w:t>L/</w:t>
      </w:r>
      <w:r>
        <w:rPr>
          <w:rFonts w:hint="eastAsia" w:ascii="仿宋_GB2312" w:hAnsi="Times New Roman" w:eastAsia="仿宋_GB2312" w:cs="Times New Roman"/>
          <w:sz w:val="28"/>
          <w:szCs w:val="28"/>
        </w:rPr>
        <w:t>（人</w:t>
      </w:r>
      <w:r>
        <w:rPr>
          <w:rFonts w:ascii="仿宋_GB2312" w:hAnsi="Times New Roman" w:eastAsia="仿宋_GB2312" w:cs="Times New Roman"/>
          <w:sz w:val="28"/>
          <w:szCs w:val="28"/>
        </w:rPr>
        <w:t>•d</w:t>
      </w:r>
      <w:r>
        <w:rPr>
          <w:rFonts w:hint="eastAsia" w:ascii="仿宋_GB2312" w:hAnsi="Times New Roman" w:eastAsia="仿宋_GB2312" w:cs="Times New Roman"/>
          <w:sz w:val="28"/>
          <w:szCs w:val="28"/>
        </w:rPr>
        <w:t>）这个等级进行取值。</w:t>
      </w:r>
    </w:p>
    <w:p>
      <w:pPr>
        <w:adjustRightInd w:val="0"/>
        <w:snapToGrid w:val="0"/>
        <w:spacing w:line="408"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考虑随着生活条件和基础设施建设的改善，同时为将来污水处理预留空间，本次规划期内人均排水量按照</w:t>
      </w:r>
      <w:r>
        <w:rPr>
          <w:rFonts w:ascii="仿宋_GB2312" w:hAnsi="Times New Roman" w:eastAsia="仿宋_GB2312" w:cs="Times New Roman"/>
          <w:sz w:val="28"/>
          <w:szCs w:val="28"/>
        </w:rPr>
        <w:t>35</w:t>
      </w:r>
      <w:r>
        <w:rPr>
          <w:rFonts w:ascii="仿宋_GB2312" w:eastAsia="仿宋_GB2312"/>
        </w:rPr>
        <w:t xml:space="preserve"> </w:t>
      </w:r>
      <w:r>
        <w:rPr>
          <w:rFonts w:ascii="仿宋_GB2312" w:hAnsi="Times New Roman" w:eastAsia="仿宋_GB2312" w:cs="Times New Roman"/>
          <w:sz w:val="28"/>
          <w:szCs w:val="28"/>
        </w:rPr>
        <w:t>L/(</w:t>
      </w:r>
      <w:r>
        <w:rPr>
          <w:rFonts w:hint="eastAsia" w:ascii="仿宋_GB2312" w:hAnsi="Times New Roman" w:eastAsia="仿宋_GB2312" w:cs="Times New Roman"/>
          <w:sz w:val="28"/>
          <w:szCs w:val="28"/>
        </w:rPr>
        <w:t>人</w:t>
      </w:r>
      <w:r>
        <w:rPr>
          <w:sz w:val="28"/>
          <w:szCs w:val="28"/>
        </w:rPr>
        <w:t>•</w:t>
      </w:r>
      <w:r>
        <w:rPr>
          <w:rFonts w:ascii="仿宋_GB2312" w:hAnsi="Times New Roman" w:eastAsia="仿宋_GB2312" w:cs="Times New Roman"/>
          <w:sz w:val="28"/>
          <w:szCs w:val="28"/>
        </w:rPr>
        <w:t>d)</w:t>
      </w:r>
      <w:r>
        <w:rPr>
          <w:rFonts w:hint="eastAsia" w:ascii="仿宋_GB2312" w:hAnsi="Times New Roman" w:eastAsia="仿宋_GB2312" w:cs="Times New Roman"/>
          <w:sz w:val="28"/>
          <w:szCs w:val="28"/>
        </w:rPr>
        <w:t>进行核算。</w:t>
      </w:r>
    </w:p>
    <w:p>
      <w:pPr>
        <w:adjustRightInd w:val="0"/>
        <w:snapToGrid w:val="0"/>
        <w:spacing w:line="408" w:lineRule="auto"/>
        <w:ind w:firstLine="560" w:firstLineChars="200"/>
        <w:rPr>
          <w:rFonts w:ascii="仿宋_GB2312" w:hAnsi="Times New Roman" w:eastAsia="仿宋_GB2312" w:cs="Times New Roman"/>
          <w:sz w:val="28"/>
          <w:szCs w:val="28"/>
        </w:rPr>
        <w:sectPr>
          <w:pgSz w:w="11906" w:h="16838"/>
          <w:pgMar w:top="1701" w:right="1701" w:bottom="1701" w:left="1701" w:header="851" w:footer="992" w:gutter="0"/>
          <w:cols w:space="425" w:num="1"/>
          <w:docGrid w:type="lines" w:linePitch="312" w:charSpace="0"/>
        </w:sectPr>
      </w:pPr>
      <w:r>
        <w:rPr>
          <w:rFonts w:hint="eastAsia" w:ascii="仿宋_GB2312" w:hAnsi="Times New Roman" w:eastAsia="仿宋_GB2312" w:cs="Times New Roman"/>
          <w:sz w:val="28"/>
          <w:szCs w:val="28"/>
        </w:rPr>
        <w:t>污水量估算结果见表6-10。</w:t>
      </w:r>
    </w:p>
    <w:p>
      <w:pPr>
        <w:adjustRightInd w:val="0"/>
        <w:snapToGrid w:val="0"/>
        <w:spacing w:line="408" w:lineRule="auto"/>
        <w:jc w:val="center"/>
        <w:rPr>
          <w:rFonts w:ascii="Times New Roman" w:hAnsi="Times New Roman" w:cs="Times New Roman"/>
          <w:b/>
          <w:sz w:val="24"/>
          <w:szCs w:val="24"/>
        </w:rPr>
      </w:pPr>
      <w:r>
        <w:rPr>
          <w:rFonts w:hint="eastAsia" w:ascii="Times New Roman" w:hAnsi="Times New Roman" w:cs="Times New Roman"/>
          <w:b/>
          <w:sz w:val="24"/>
          <w:szCs w:val="24"/>
        </w:rPr>
        <w:t>表6-10</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规划期内</w:t>
      </w:r>
      <w:r>
        <w:rPr>
          <w:rFonts w:hint="eastAsia" w:ascii="Times New Roman" w:hAnsi="Times New Roman" w:cs="Times New Roman"/>
          <w:b/>
          <w:sz w:val="24"/>
          <w:szCs w:val="24"/>
        </w:rPr>
        <w:t>各乡镇污水增量预测表</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1559"/>
        <w:gridCol w:w="1276"/>
        <w:gridCol w:w="1417"/>
        <w:gridCol w:w="1701"/>
        <w:gridCol w:w="18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59" w:type="dxa"/>
            <w:vMerge w:val="restart"/>
            <w:tcBorders>
              <w:top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序号</w:t>
            </w:r>
          </w:p>
        </w:tc>
        <w:tc>
          <w:tcPr>
            <w:tcW w:w="1559" w:type="dxa"/>
            <w:vMerge w:val="restart"/>
            <w:tcBorders>
              <w:top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乡镇名称</w:t>
            </w:r>
          </w:p>
        </w:tc>
        <w:tc>
          <w:tcPr>
            <w:tcW w:w="2693" w:type="dxa"/>
            <w:gridSpan w:val="2"/>
            <w:tcBorders>
              <w:top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人口（人）</w:t>
            </w:r>
          </w:p>
        </w:tc>
        <w:tc>
          <w:tcPr>
            <w:tcW w:w="3509" w:type="dxa"/>
            <w:gridSpan w:val="2"/>
            <w:tcBorders>
              <w:top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农村生活污水量预测（</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959" w:type="dxa"/>
            <w:vMerge w:val="continue"/>
            <w:vAlign w:val="center"/>
          </w:tcPr>
          <w:p>
            <w:pPr>
              <w:jc w:val="center"/>
              <w:rPr>
                <w:rFonts w:ascii="Times New Roman" w:hAnsi="Times New Roman" w:cs="Times New Roman"/>
                <w:b/>
                <w:szCs w:val="21"/>
              </w:rPr>
            </w:pPr>
          </w:p>
        </w:tc>
        <w:tc>
          <w:tcPr>
            <w:tcW w:w="1559" w:type="dxa"/>
            <w:vMerge w:val="continue"/>
            <w:vAlign w:val="center"/>
          </w:tcPr>
          <w:p>
            <w:pPr>
              <w:jc w:val="center"/>
              <w:rPr>
                <w:rFonts w:ascii="Times New Roman" w:hAnsi="Times New Roman" w:cs="Times New Roman"/>
                <w:b/>
                <w:szCs w:val="21"/>
              </w:rPr>
            </w:pPr>
          </w:p>
        </w:tc>
        <w:tc>
          <w:tcPr>
            <w:tcW w:w="1276" w:type="dxa"/>
            <w:tcBorders>
              <w:right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近期</w:t>
            </w:r>
          </w:p>
          <w:p>
            <w:pPr>
              <w:jc w:val="center"/>
              <w:rPr>
                <w:rFonts w:ascii="Times New Roman" w:hAnsi="Times New Roman" w:cs="Times New Roman"/>
                <w:b/>
                <w:szCs w:val="21"/>
              </w:rPr>
            </w:pPr>
            <w:r>
              <w:rPr>
                <w:rFonts w:hint="eastAsia" w:ascii="Times New Roman" w:hAnsi="Times New Roman" w:cs="Times New Roman"/>
                <w:b/>
                <w:szCs w:val="21"/>
              </w:rPr>
              <w:t>（</w:t>
            </w:r>
            <w:r>
              <w:rPr>
                <w:rFonts w:ascii="Times New Roman" w:hAnsi="Times New Roman" w:cs="Times New Roman"/>
                <w:b/>
                <w:szCs w:val="21"/>
              </w:rPr>
              <w:t>2025</w:t>
            </w:r>
            <w:r>
              <w:rPr>
                <w:rFonts w:hint="eastAsia" w:ascii="Times New Roman" w:hAnsi="Times New Roman" w:cs="Times New Roman"/>
                <w:b/>
                <w:szCs w:val="21"/>
              </w:rPr>
              <w:t>年）</w:t>
            </w:r>
          </w:p>
        </w:tc>
        <w:tc>
          <w:tcPr>
            <w:tcW w:w="1417" w:type="dxa"/>
            <w:tcBorders>
              <w:left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远期</w:t>
            </w:r>
          </w:p>
          <w:p>
            <w:pPr>
              <w:jc w:val="center"/>
              <w:rPr>
                <w:rFonts w:ascii="Times New Roman" w:hAnsi="Times New Roman" w:cs="Times New Roman"/>
                <w:b/>
                <w:szCs w:val="21"/>
              </w:rPr>
            </w:pPr>
            <w:r>
              <w:rPr>
                <w:rFonts w:hint="eastAsia" w:ascii="Times New Roman" w:hAnsi="Times New Roman" w:cs="Times New Roman"/>
                <w:b/>
                <w:szCs w:val="21"/>
              </w:rPr>
              <w:t>（</w:t>
            </w:r>
            <w:r>
              <w:rPr>
                <w:rFonts w:ascii="Times New Roman" w:hAnsi="Times New Roman" w:cs="Times New Roman"/>
                <w:b/>
                <w:szCs w:val="21"/>
              </w:rPr>
              <w:t>2030</w:t>
            </w:r>
            <w:r>
              <w:rPr>
                <w:rFonts w:hint="eastAsia" w:ascii="Times New Roman" w:hAnsi="Times New Roman" w:cs="Times New Roman"/>
                <w:b/>
                <w:szCs w:val="21"/>
              </w:rPr>
              <w:t>年）</w:t>
            </w:r>
          </w:p>
        </w:tc>
        <w:tc>
          <w:tcPr>
            <w:tcW w:w="1701" w:type="dxa"/>
            <w:vAlign w:val="center"/>
          </w:tcPr>
          <w:p>
            <w:pPr>
              <w:jc w:val="center"/>
              <w:rPr>
                <w:rFonts w:ascii="Times New Roman" w:hAnsi="Times New Roman" w:cs="Times New Roman"/>
                <w:b/>
                <w:szCs w:val="21"/>
              </w:rPr>
            </w:pPr>
            <w:r>
              <w:rPr>
                <w:rFonts w:hint="eastAsia" w:ascii="Times New Roman" w:hAnsi="Times New Roman" w:cs="Times New Roman"/>
                <w:b/>
                <w:szCs w:val="21"/>
              </w:rPr>
              <w:t>近期</w:t>
            </w:r>
          </w:p>
          <w:p>
            <w:pPr>
              <w:jc w:val="center"/>
              <w:rPr>
                <w:rFonts w:ascii="Times New Roman" w:hAnsi="Times New Roman" w:cs="Times New Roman"/>
                <w:b/>
                <w:szCs w:val="21"/>
              </w:rPr>
            </w:pPr>
            <w:r>
              <w:rPr>
                <w:rFonts w:hint="eastAsia" w:ascii="Times New Roman" w:hAnsi="Times New Roman" w:cs="Times New Roman"/>
                <w:b/>
                <w:szCs w:val="21"/>
              </w:rPr>
              <w:t>（</w:t>
            </w:r>
            <w:r>
              <w:rPr>
                <w:rFonts w:ascii="Times New Roman" w:hAnsi="Times New Roman" w:cs="Times New Roman"/>
                <w:b/>
                <w:szCs w:val="21"/>
              </w:rPr>
              <w:t>2025</w:t>
            </w:r>
            <w:r>
              <w:rPr>
                <w:rFonts w:hint="eastAsia" w:ascii="Times New Roman" w:hAnsi="Times New Roman" w:cs="Times New Roman"/>
                <w:b/>
                <w:szCs w:val="21"/>
              </w:rPr>
              <w:t>年）</w:t>
            </w:r>
          </w:p>
        </w:tc>
        <w:tc>
          <w:tcPr>
            <w:tcW w:w="1808" w:type="dxa"/>
            <w:vAlign w:val="center"/>
          </w:tcPr>
          <w:p>
            <w:pPr>
              <w:jc w:val="center"/>
              <w:rPr>
                <w:rFonts w:ascii="Times New Roman" w:hAnsi="Times New Roman" w:cs="Times New Roman"/>
                <w:b/>
                <w:szCs w:val="21"/>
              </w:rPr>
            </w:pPr>
            <w:r>
              <w:rPr>
                <w:rFonts w:hint="eastAsia" w:ascii="Times New Roman" w:hAnsi="Times New Roman" w:cs="Times New Roman"/>
                <w:b/>
                <w:szCs w:val="21"/>
              </w:rPr>
              <w:t>远期</w:t>
            </w:r>
          </w:p>
          <w:p>
            <w:pPr>
              <w:jc w:val="center"/>
              <w:rPr>
                <w:rFonts w:ascii="Times New Roman" w:hAnsi="Times New Roman" w:cs="Times New Roman"/>
                <w:b/>
                <w:szCs w:val="21"/>
              </w:rPr>
            </w:pPr>
            <w:r>
              <w:rPr>
                <w:rFonts w:hint="eastAsia" w:ascii="Times New Roman" w:hAnsi="Times New Roman" w:cs="Times New Roman"/>
                <w:b/>
                <w:szCs w:val="21"/>
              </w:rPr>
              <w:t>（</w:t>
            </w:r>
            <w:r>
              <w:rPr>
                <w:rFonts w:ascii="Times New Roman" w:hAnsi="Times New Roman" w:cs="Times New Roman"/>
                <w:b/>
                <w:szCs w:val="21"/>
              </w:rPr>
              <w:t>2030</w:t>
            </w:r>
            <w:r>
              <w:rPr>
                <w:rFonts w:hint="eastAsia" w:ascii="Times New Roman" w:hAnsi="Times New Roman" w:cs="Times New Roman"/>
                <w:b/>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59"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花马池镇</w:t>
            </w:r>
          </w:p>
        </w:tc>
        <w:tc>
          <w:tcPr>
            <w:tcW w:w="1276"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62086</w:t>
            </w:r>
          </w:p>
        </w:tc>
        <w:tc>
          <w:tcPr>
            <w:tcW w:w="1417"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66228</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2173</w:t>
            </w:r>
          </w:p>
        </w:tc>
        <w:tc>
          <w:tcPr>
            <w:tcW w:w="1808" w:type="dxa"/>
            <w:vAlign w:val="center"/>
          </w:tcPr>
          <w:p>
            <w:pPr>
              <w:jc w:val="center"/>
              <w:rPr>
                <w:rFonts w:ascii="Times New Roman" w:hAnsi="Times New Roman" w:cs="Times New Roman"/>
                <w:szCs w:val="21"/>
              </w:rPr>
            </w:pPr>
            <w:r>
              <w:rPr>
                <w:rFonts w:ascii="Times New Roman" w:hAnsi="Times New Roman" w:cs="Times New Roman"/>
                <w:szCs w:val="21"/>
              </w:rPr>
              <w:t>2318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59"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大水坑镇</w:t>
            </w:r>
          </w:p>
        </w:tc>
        <w:tc>
          <w:tcPr>
            <w:tcW w:w="1276"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32138</w:t>
            </w:r>
          </w:p>
        </w:tc>
        <w:tc>
          <w:tcPr>
            <w:tcW w:w="1417"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33945</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1125</w:t>
            </w:r>
          </w:p>
        </w:tc>
        <w:tc>
          <w:tcPr>
            <w:tcW w:w="1808" w:type="dxa"/>
            <w:vAlign w:val="center"/>
          </w:tcPr>
          <w:p>
            <w:pPr>
              <w:jc w:val="center"/>
              <w:rPr>
                <w:rFonts w:ascii="Times New Roman" w:hAnsi="Times New Roman" w:cs="Times New Roman"/>
                <w:szCs w:val="21"/>
              </w:rPr>
            </w:pPr>
            <w:r>
              <w:rPr>
                <w:rFonts w:ascii="Times New Roman" w:hAnsi="Times New Roman" w:cs="Times New Roman"/>
                <w:szCs w:val="21"/>
              </w:rPr>
              <w:t>1188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959"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高沙窝镇</w:t>
            </w:r>
          </w:p>
        </w:tc>
        <w:tc>
          <w:tcPr>
            <w:tcW w:w="1276"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12655</w:t>
            </w:r>
          </w:p>
        </w:tc>
        <w:tc>
          <w:tcPr>
            <w:tcW w:w="1417"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13254</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443</w:t>
            </w:r>
          </w:p>
        </w:tc>
        <w:tc>
          <w:tcPr>
            <w:tcW w:w="1808" w:type="dxa"/>
            <w:vAlign w:val="center"/>
          </w:tcPr>
          <w:p>
            <w:pPr>
              <w:jc w:val="center"/>
              <w:rPr>
                <w:rFonts w:ascii="Times New Roman" w:hAnsi="Times New Roman" w:cs="Times New Roman"/>
                <w:szCs w:val="21"/>
              </w:rPr>
            </w:pPr>
            <w:r>
              <w:rPr>
                <w:rFonts w:ascii="Times New Roman" w:hAnsi="Times New Roman" w:cs="Times New Roman"/>
                <w:szCs w:val="21"/>
              </w:rPr>
              <w:t>464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59"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惠安堡镇</w:t>
            </w:r>
          </w:p>
        </w:tc>
        <w:tc>
          <w:tcPr>
            <w:tcW w:w="1276"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32800</w:t>
            </w:r>
          </w:p>
        </w:tc>
        <w:tc>
          <w:tcPr>
            <w:tcW w:w="1417"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34355</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1148</w:t>
            </w:r>
          </w:p>
        </w:tc>
        <w:tc>
          <w:tcPr>
            <w:tcW w:w="1808" w:type="dxa"/>
            <w:vAlign w:val="center"/>
          </w:tcPr>
          <w:p>
            <w:pPr>
              <w:jc w:val="center"/>
              <w:rPr>
                <w:rFonts w:ascii="Times New Roman" w:hAnsi="Times New Roman" w:cs="Times New Roman"/>
                <w:szCs w:val="21"/>
              </w:rPr>
            </w:pPr>
            <w:r>
              <w:rPr>
                <w:rFonts w:ascii="Times New Roman" w:hAnsi="Times New Roman" w:cs="Times New Roman"/>
                <w:szCs w:val="21"/>
              </w:rPr>
              <w:t>1203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59"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王乐井乡</w:t>
            </w:r>
          </w:p>
        </w:tc>
        <w:tc>
          <w:tcPr>
            <w:tcW w:w="1276"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25622</w:t>
            </w:r>
          </w:p>
        </w:tc>
        <w:tc>
          <w:tcPr>
            <w:tcW w:w="1417"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26809</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897</w:t>
            </w:r>
          </w:p>
        </w:tc>
        <w:tc>
          <w:tcPr>
            <w:tcW w:w="1808" w:type="dxa"/>
            <w:vAlign w:val="center"/>
          </w:tcPr>
          <w:p>
            <w:pPr>
              <w:jc w:val="center"/>
              <w:rPr>
                <w:rFonts w:ascii="Times New Roman" w:hAnsi="Times New Roman" w:cs="Times New Roman"/>
                <w:szCs w:val="21"/>
              </w:rPr>
            </w:pPr>
            <w:r>
              <w:rPr>
                <w:rFonts w:ascii="Times New Roman" w:hAnsi="Times New Roman" w:cs="Times New Roman"/>
                <w:szCs w:val="21"/>
              </w:rPr>
              <w:t>939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59" w:type="dxa"/>
            <w:vAlign w:val="center"/>
          </w:tcPr>
          <w:p>
            <w:pPr>
              <w:jc w:val="center"/>
              <w:rPr>
                <w:rFonts w:ascii="Times New Roman" w:hAnsi="Times New Roman" w:cs="Times New Roman"/>
                <w:szCs w:val="21"/>
              </w:rPr>
            </w:pPr>
            <w:r>
              <w:rPr>
                <w:rFonts w:ascii="Times New Roman" w:hAnsi="Times New Roman" w:cs="Times New Roman"/>
                <w:szCs w:val="21"/>
              </w:rPr>
              <w:t>6</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冯记沟乡</w:t>
            </w:r>
          </w:p>
        </w:tc>
        <w:tc>
          <w:tcPr>
            <w:tcW w:w="1276"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16837</w:t>
            </w:r>
          </w:p>
        </w:tc>
        <w:tc>
          <w:tcPr>
            <w:tcW w:w="1417"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17635</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590</w:t>
            </w:r>
          </w:p>
        </w:tc>
        <w:tc>
          <w:tcPr>
            <w:tcW w:w="1808" w:type="dxa"/>
            <w:vAlign w:val="center"/>
          </w:tcPr>
          <w:p>
            <w:pPr>
              <w:jc w:val="center"/>
              <w:rPr>
                <w:rFonts w:ascii="Times New Roman" w:hAnsi="Times New Roman" w:cs="Times New Roman"/>
                <w:szCs w:val="21"/>
              </w:rPr>
            </w:pPr>
            <w:r>
              <w:rPr>
                <w:rFonts w:ascii="Times New Roman" w:hAnsi="Times New Roman" w:cs="Times New Roman"/>
                <w:szCs w:val="21"/>
              </w:rPr>
              <w:t>618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59" w:type="dxa"/>
            <w:vAlign w:val="center"/>
          </w:tcPr>
          <w:p>
            <w:pPr>
              <w:jc w:val="center"/>
              <w:rPr>
                <w:rFonts w:ascii="Times New Roman" w:hAnsi="Times New Roman" w:cs="Times New Roman"/>
                <w:szCs w:val="21"/>
              </w:rPr>
            </w:pPr>
            <w:r>
              <w:rPr>
                <w:rFonts w:ascii="Times New Roman" w:hAnsi="Times New Roman" w:cs="Times New Roman"/>
                <w:szCs w:val="21"/>
              </w:rPr>
              <w:t>7</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麻黄山乡</w:t>
            </w:r>
          </w:p>
        </w:tc>
        <w:tc>
          <w:tcPr>
            <w:tcW w:w="1276"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17376</w:t>
            </w:r>
          </w:p>
        </w:tc>
        <w:tc>
          <w:tcPr>
            <w:tcW w:w="1417"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18200</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609</w:t>
            </w:r>
          </w:p>
        </w:tc>
        <w:tc>
          <w:tcPr>
            <w:tcW w:w="1808" w:type="dxa"/>
            <w:vAlign w:val="center"/>
          </w:tcPr>
          <w:p>
            <w:pPr>
              <w:jc w:val="center"/>
              <w:rPr>
                <w:rFonts w:ascii="Times New Roman" w:hAnsi="Times New Roman" w:cs="Times New Roman"/>
                <w:szCs w:val="21"/>
              </w:rPr>
            </w:pPr>
            <w:r>
              <w:rPr>
                <w:rFonts w:ascii="Times New Roman" w:hAnsi="Times New Roman" w:cs="Times New Roman"/>
                <w:szCs w:val="21"/>
              </w:rPr>
              <w:t>637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59" w:type="dxa"/>
            <w:vAlign w:val="center"/>
          </w:tcPr>
          <w:p>
            <w:pPr>
              <w:jc w:val="center"/>
              <w:rPr>
                <w:rFonts w:ascii="Times New Roman" w:hAnsi="Times New Roman" w:cs="Times New Roman"/>
                <w:szCs w:val="21"/>
              </w:rPr>
            </w:pPr>
            <w:r>
              <w:rPr>
                <w:rFonts w:ascii="Times New Roman" w:hAnsi="Times New Roman" w:cs="Times New Roman"/>
                <w:szCs w:val="21"/>
              </w:rPr>
              <w:t>8</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青山乡</w:t>
            </w:r>
          </w:p>
        </w:tc>
        <w:tc>
          <w:tcPr>
            <w:tcW w:w="1276"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18563</w:t>
            </w:r>
          </w:p>
        </w:tc>
        <w:tc>
          <w:tcPr>
            <w:tcW w:w="1417"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19442</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650</w:t>
            </w:r>
          </w:p>
        </w:tc>
        <w:tc>
          <w:tcPr>
            <w:tcW w:w="1808" w:type="dxa"/>
            <w:vAlign w:val="center"/>
          </w:tcPr>
          <w:p>
            <w:pPr>
              <w:jc w:val="center"/>
              <w:rPr>
                <w:rFonts w:ascii="Times New Roman" w:hAnsi="Times New Roman" w:cs="Times New Roman"/>
                <w:szCs w:val="21"/>
              </w:rPr>
            </w:pPr>
            <w:r>
              <w:rPr>
                <w:rFonts w:ascii="Times New Roman" w:hAnsi="Times New Roman" w:cs="Times New Roman"/>
                <w:szCs w:val="21"/>
              </w:rPr>
              <w:t>681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959" w:type="dxa"/>
            <w:tcBorders>
              <w:bottom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9</w:t>
            </w:r>
          </w:p>
        </w:tc>
        <w:tc>
          <w:tcPr>
            <w:tcW w:w="1559" w:type="dxa"/>
            <w:tcBorders>
              <w:bottom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合计</w:t>
            </w:r>
          </w:p>
        </w:tc>
        <w:tc>
          <w:tcPr>
            <w:tcW w:w="1276" w:type="dxa"/>
            <w:tcBorders>
              <w:bottom w:val="single" w:color="auto" w:sz="12" w:space="0"/>
              <w:right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218077</w:t>
            </w:r>
          </w:p>
        </w:tc>
        <w:tc>
          <w:tcPr>
            <w:tcW w:w="1417" w:type="dxa"/>
            <w:tcBorders>
              <w:left w:val="single" w:color="auto" w:sz="4" w:space="0"/>
              <w:bottom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229863</w:t>
            </w:r>
          </w:p>
        </w:tc>
        <w:tc>
          <w:tcPr>
            <w:tcW w:w="1701" w:type="dxa"/>
            <w:tcBorders>
              <w:bottom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7635</w:t>
            </w:r>
          </w:p>
        </w:tc>
        <w:tc>
          <w:tcPr>
            <w:tcW w:w="1808" w:type="dxa"/>
            <w:tcBorders>
              <w:bottom w:val="single" w:color="auto" w:sz="12" w:space="0"/>
            </w:tcBorders>
            <w:vAlign w:val="center"/>
          </w:tcPr>
          <w:p>
            <w:pPr>
              <w:jc w:val="center"/>
              <w:rPr>
                <w:rFonts w:ascii="Times New Roman" w:hAnsi="Times New Roman" w:cs="Times New Roman"/>
                <w:b/>
                <w:szCs w:val="21"/>
              </w:rPr>
            </w:pPr>
            <w:r>
              <w:rPr>
                <w:rFonts w:hint="eastAsia" w:ascii="Times New Roman" w:hAnsi="Times New Roman" w:cs="Times New Roman"/>
                <w:b/>
                <w:szCs w:val="21"/>
              </w:rPr>
              <w:t>8048</w:t>
            </w:r>
          </w:p>
        </w:tc>
      </w:tr>
    </w:tbl>
    <w:p>
      <w:pPr>
        <w:adjustRightInd w:val="0"/>
        <w:snapToGrid w:val="0"/>
        <w:spacing w:line="360" w:lineRule="auto"/>
        <w:ind w:firstLine="560" w:firstLineChars="200"/>
        <w:rPr>
          <w:rFonts w:ascii="仿宋_GB2312" w:eastAsia="仿宋_GB2312"/>
          <w:sz w:val="28"/>
          <w:szCs w:val="28"/>
        </w:rPr>
      </w:pP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6.3.3农业污染源</w:t>
      </w:r>
    </w:p>
    <w:p>
      <w:pPr>
        <w:adjustRightInd w:val="0"/>
        <w:snapToGrid w:val="0"/>
        <w:spacing w:line="360" w:lineRule="auto"/>
        <w:ind w:firstLine="560" w:firstLineChars="200"/>
        <w:rPr>
          <w:rFonts w:ascii="仿宋_GB2312" w:eastAsia="仿宋_GB2312"/>
          <w:sz w:val="28"/>
          <w:szCs w:val="28"/>
        </w:rPr>
      </w:pPr>
      <w:r>
        <w:rPr>
          <w:rFonts w:ascii="仿宋_GB2312" w:eastAsia="仿宋_GB2312"/>
          <w:sz w:val="28"/>
          <w:szCs w:val="28"/>
        </w:rPr>
        <w:t>重点预测农业废弃物、农药和化肥使用量、畜禽粪污产生量等，同时预测化学需氧量、氨氮等指标产生量。</w:t>
      </w:r>
    </w:p>
    <w:p>
      <w:pPr>
        <w:pStyle w:val="3"/>
        <w:adjustRightInd w:val="0"/>
        <w:snapToGrid w:val="0"/>
        <w:spacing w:before="120" w:after="120" w:line="360" w:lineRule="auto"/>
        <w:rPr>
          <w:rFonts w:ascii="黑体" w:hAnsi="黑体" w:eastAsia="黑体"/>
          <w:kern w:val="0"/>
          <w:sz w:val="30"/>
          <w:szCs w:val="30"/>
        </w:rPr>
      </w:pPr>
      <w:bookmarkStart w:id="25" w:name="_Toc111980882"/>
      <w:r>
        <w:rPr>
          <w:rFonts w:hint="eastAsia" w:ascii="黑体" w:hAnsi="黑体" w:eastAsia="黑体"/>
          <w:kern w:val="0"/>
          <w:sz w:val="30"/>
          <w:szCs w:val="30"/>
        </w:rPr>
        <w:t>6.4生态承载力预测分析</w:t>
      </w:r>
      <w:bookmarkEnd w:id="25"/>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6.4.1预测模型</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本次采用比较常用的预测分析生态承载力的模型之一：生态足迹模型。该模型是</w:t>
      </w:r>
      <w:r>
        <w:rPr>
          <w:rFonts w:hint="eastAsia" w:ascii="仿宋_GB2312" w:hAnsi="黑体" w:eastAsia="仿宋_GB2312"/>
          <w:sz w:val="28"/>
          <w:szCs w:val="28"/>
          <w:lang w:val="en-US" w:eastAsia="zh-CN"/>
        </w:rPr>
        <w:t>反映</w:t>
      </w:r>
      <w:r>
        <w:rPr>
          <w:rFonts w:hint="eastAsia" w:ascii="仿宋_GB2312" w:hAnsi="黑体" w:eastAsia="仿宋_GB2312"/>
          <w:sz w:val="28"/>
          <w:szCs w:val="28"/>
        </w:rPr>
        <w:t>人类社会发展与生态环境的关系，用于研究区域承载能力和生态环境压力状况。生态足迹又称生态占用，指一定人口所消费的资源和吸纳这些人口产生的废弃物所需要的生态生产性土地的总面积，将其与该地区的生态承载能力相比较，就可以预测和判断该地区的发展是否处于生态承载力的安全范围之内。生态足迹法作为一种资源利用分析的工具，用生态空间大小表示人类对自然资源的消耗及自然系统能够提供的生态服务功能，从而对人类活动可持续性作出评价。</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在生态足迹计算中，将各类土地根据生产力大小的差异，分为耕地、草地、林地、建筑用地、化石能源用地和水域六大类。在生态足迹计算中，各种资源和能源消费均被折算为相应的土地面积。</w:t>
      </w:r>
    </w:p>
    <w:p>
      <w:pPr>
        <w:adjustRightInd w:val="0"/>
        <w:snapToGrid w:val="0"/>
        <w:spacing w:before="156" w:beforeLines="50"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（1）生态足迹计算</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公式如下：</w:t>
      </w:r>
    </w:p>
    <w:p>
      <w:pPr>
        <w:pStyle w:val="27"/>
      </w:pPr>
      <w:r>
        <w:tab/>
      </w:r>
      <w:r>
        <w:rPr>
          <w:position w:val="-12"/>
        </w:rPr>
        <w:object>
          <v:shape id="_x0000_i1026" o:spt="75" type="#_x0000_t75" style="height:18.75pt;width:153.75pt;" o:ole="t" filled="f" o:preferrelative="t" stroked="f" coordsize="21600,21600">
            <v:path/>
            <v:fill on="f" focussize="0,0"/>
            <v:stroke on="f" joinstyle="miter"/>
            <v:imagedata r:id="rId40" o:title=""/>
            <o:lock v:ext="edit" aspectratio="t"/>
            <w10:wrap type="none"/>
            <w10:anchorlock/>
          </v:shape>
          <o:OLEObject Type="Embed" ProgID="Equation.DSMT4" ShapeID="_x0000_i1026" DrawAspect="Content" ObjectID="_1468075726" r:id="rId39">
            <o:LockedField>false</o:LockedField>
          </o:OLEObject>
        </w:object>
      </w:r>
      <w:r>
        <w:t xml:space="preserve"> </w:t>
      </w:r>
    </w:p>
    <w:p>
      <w:pPr>
        <w:rPr>
          <w:rFonts w:ascii="Times New Roman" w:hAnsi="Times New Roman" w:cs="Times New Roman"/>
          <w:sz w:val="28"/>
          <w:szCs w:val="28"/>
        </w:rPr>
      </w:pPr>
      <w:r>
        <w:rPr>
          <w:rFonts w:ascii="Times New Roman" w:hAnsi="Times New Roman" w:cs="Times New Roman"/>
        </w:rPr>
        <w:t xml:space="preserve">      </w:t>
      </w:r>
      <w:r>
        <w:rPr>
          <w:rFonts w:ascii="仿宋_GB2312" w:hAnsi="Times New Roman" w:eastAsia="仿宋_GB2312" w:cs="Times New Roman"/>
          <w:sz w:val="28"/>
          <w:szCs w:val="28"/>
        </w:rPr>
        <w:t>其中：</w:t>
      </w:r>
      <w:r>
        <w:rPr>
          <w:rFonts w:ascii="Times New Roman" w:hAnsi="Times New Roman" w:cs="Times New Roman"/>
          <w:i/>
          <w:sz w:val="28"/>
          <w:szCs w:val="28"/>
        </w:rPr>
        <w:t>EF</w:t>
      </w:r>
      <w:r>
        <w:rPr>
          <w:rFonts w:hint="eastAsia" w:ascii="仿宋_GB2312" w:hAnsi="Times New Roman" w:eastAsia="仿宋_GB2312" w:cs="Times New Roman"/>
          <w:sz w:val="28"/>
          <w:szCs w:val="28"/>
        </w:rPr>
        <w:t>表示总的生态足迹</w:t>
      </w:r>
      <w:r>
        <w:rPr>
          <w:rFonts w:ascii="Times New Roman" w:hAnsi="Times New Roman" w:cs="Times New Roman"/>
          <w:sz w:val="28"/>
          <w:szCs w:val="28"/>
        </w:rPr>
        <w:t>；</w:t>
      </w:r>
      <w:r>
        <w:rPr>
          <w:rFonts w:ascii="Times New Roman" w:hAnsi="Times New Roman" w:cs="Times New Roman"/>
          <w:i/>
          <w:sz w:val="28"/>
          <w:szCs w:val="28"/>
        </w:rPr>
        <w:t>N</w:t>
      </w:r>
      <w:r>
        <w:rPr>
          <w:rFonts w:ascii="仿宋_GB2312" w:hAnsi="Times New Roman" w:eastAsia="仿宋_GB2312" w:cs="Times New Roman"/>
          <w:sz w:val="28"/>
          <w:szCs w:val="28"/>
        </w:rPr>
        <w:t>为总人口数</w:t>
      </w:r>
      <w:r>
        <w:rPr>
          <w:rFonts w:ascii="Times New Roman" w:hAnsi="Times New Roman" w:cs="Times New Roman"/>
          <w:sz w:val="28"/>
          <w:szCs w:val="28"/>
        </w:rPr>
        <w:t>；</w:t>
      </w:r>
      <w:r>
        <w:rPr>
          <w:rFonts w:ascii="Times New Roman" w:hAnsi="Times New Roman" w:cs="Times New Roman"/>
          <w:i/>
          <w:sz w:val="28"/>
          <w:szCs w:val="28"/>
        </w:rPr>
        <w:t>ef</w:t>
      </w:r>
      <w:r>
        <w:rPr>
          <w:rFonts w:ascii="仿宋_GB2312" w:hAnsi="Times New Roman" w:eastAsia="仿宋_GB2312" w:cs="Times New Roman"/>
          <w:sz w:val="28"/>
          <w:szCs w:val="28"/>
        </w:rPr>
        <w:t>为人均生态足迹；</w:t>
      </w:r>
      <w:r>
        <w:rPr>
          <w:rFonts w:ascii="Times New Roman" w:hAnsi="Times New Roman" w:eastAsia="仿宋_GB2312" w:cs="Times New Roman"/>
          <w:i/>
          <w:sz w:val="28"/>
          <w:szCs w:val="28"/>
        </w:rPr>
        <w:t>c</w:t>
      </w:r>
      <w:r>
        <w:rPr>
          <w:rFonts w:ascii="Times New Roman" w:hAnsi="Times New Roman" w:eastAsia="仿宋_GB2312" w:cs="Times New Roman"/>
          <w:i/>
          <w:sz w:val="28"/>
          <w:szCs w:val="28"/>
          <w:vertAlign w:val="subscript"/>
        </w:rPr>
        <w:t>i</w:t>
      </w:r>
      <w:r>
        <w:rPr>
          <w:rFonts w:ascii="Times New Roman" w:hAnsi="Times New Roman" w:eastAsia="仿宋_GB2312" w:cs="Times New Roman"/>
          <w:sz w:val="28"/>
          <w:szCs w:val="28"/>
        </w:rPr>
        <w:t>为第</w:t>
      </w:r>
      <w:r>
        <w:rPr>
          <w:rFonts w:ascii="Times New Roman" w:hAnsi="Times New Roman" w:eastAsia="仿宋_GB2312" w:cs="Times New Roman"/>
          <w:i/>
          <w:sz w:val="28"/>
          <w:szCs w:val="28"/>
        </w:rPr>
        <w:t>i</w:t>
      </w:r>
      <w:r>
        <w:rPr>
          <w:rFonts w:ascii="Times New Roman" w:hAnsi="Times New Roman" w:eastAsia="仿宋_GB2312" w:cs="Times New Roman"/>
          <w:sz w:val="28"/>
          <w:szCs w:val="28"/>
        </w:rPr>
        <w:t>种商品人均消费量；</w:t>
      </w:r>
      <w:r>
        <w:rPr>
          <w:rFonts w:ascii="Times New Roman" w:hAnsi="Times New Roman" w:eastAsia="仿宋_GB2312" w:cs="Times New Roman"/>
          <w:i/>
          <w:sz w:val="28"/>
          <w:szCs w:val="28"/>
        </w:rPr>
        <w:t>p</w:t>
      </w:r>
      <w:r>
        <w:rPr>
          <w:rFonts w:ascii="Times New Roman" w:hAnsi="Times New Roman" w:eastAsia="仿宋_GB2312" w:cs="Times New Roman"/>
          <w:i/>
          <w:sz w:val="28"/>
          <w:szCs w:val="28"/>
          <w:vertAlign w:val="subscript"/>
        </w:rPr>
        <w:t>i</w:t>
      </w:r>
      <w:r>
        <w:rPr>
          <w:rFonts w:ascii="Times New Roman" w:hAnsi="Times New Roman" w:eastAsia="仿宋_GB2312" w:cs="Times New Roman"/>
          <w:sz w:val="28"/>
          <w:szCs w:val="28"/>
        </w:rPr>
        <w:t>为第</w:t>
      </w:r>
      <w:r>
        <w:rPr>
          <w:rFonts w:ascii="Times New Roman" w:hAnsi="Times New Roman" w:eastAsia="仿宋_GB2312" w:cs="Times New Roman"/>
          <w:i/>
          <w:sz w:val="28"/>
          <w:szCs w:val="28"/>
        </w:rPr>
        <w:t>i</w:t>
      </w:r>
      <w:r>
        <w:rPr>
          <w:rFonts w:ascii="Times New Roman" w:hAnsi="Times New Roman" w:eastAsia="仿宋_GB2312" w:cs="Times New Roman"/>
          <w:sz w:val="28"/>
          <w:szCs w:val="28"/>
        </w:rPr>
        <w:t>种消费品的平均生产能力；</w:t>
      </w:r>
      <w:r>
        <w:rPr>
          <w:rFonts w:ascii="Times New Roman" w:hAnsi="Times New Roman" w:eastAsia="仿宋_GB2312" w:cs="Times New Roman"/>
          <w:i/>
          <w:sz w:val="28"/>
          <w:szCs w:val="28"/>
        </w:rPr>
        <w:t>i</w:t>
      </w:r>
      <w:r>
        <w:rPr>
          <w:rFonts w:ascii="Times New Roman" w:hAnsi="Times New Roman" w:eastAsia="仿宋_GB2312" w:cs="Times New Roman"/>
          <w:sz w:val="28"/>
          <w:szCs w:val="28"/>
        </w:rPr>
        <w:t>为消费商品和投入类型。</w:t>
      </w:r>
    </w:p>
    <w:p>
      <w:pPr>
        <w:adjustRightInd w:val="0"/>
        <w:snapToGrid w:val="0"/>
        <w:spacing w:line="360" w:lineRule="auto"/>
        <w:ind w:firstLine="560" w:firstLineChars="200"/>
        <w:rPr>
          <w:rFonts w:ascii="Times New Roman" w:hAnsi="Times New Roman" w:cs="Times New Roman"/>
          <w:sz w:val="28"/>
          <w:szCs w:val="28"/>
        </w:rPr>
      </w:pPr>
      <w:r>
        <w:rPr>
          <w:rFonts w:hint="eastAsia" w:ascii="仿宋_GB2312" w:hAnsi="黑体" w:eastAsia="仿宋_GB2312"/>
          <w:sz w:val="28"/>
          <w:szCs w:val="28"/>
        </w:rPr>
        <w:t>（2）生态承载力计算</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在生态承载力计算时因不同区域耕地、牧草地、林地、水域、建设用地（建筑用地和化石能源用地）之间的生态生产力差异很大，而且不同地域同类型土地的生态生产力也有差异，不同区域的同类土地实际面积不能直接对比。因此引入均衡因子和产量因子解决这一问题。</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生态承载力计算公式如下：</w:t>
      </w:r>
    </w:p>
    <w:p>
      <w:pPr>
        <w:pStyle w:val="27"/>
      </w:pPr>
      <w:r>
        <w:tab/>
      </w:r>
      <w:r>
        <w:rPr>
          <w:position w:val="-14"/>
        </w:rPr>
        <w:object>
          <v:shape id="_x0000_i1027" o:spt="75" type="#_x0000_t75" style="height:20.25pt;width:259.5pt;" o:ole="t" filled="f" o:preferrelative="t" stroked="f" coordsize="21600,21600">
            <v:path/>
            <v:fill on="f" focussize="0,0"/>
            <v:stroke on="f" joinstyle="miter"/>
            <v:imagedata r:id="rId42" o:title=""/>
            <o:lock v:ext="edit" aspectratio="t"/>
            <w10:wrap type="none"/>
            <w10:anchorlock/>
          </v:shape>
          <o:OLEObject Type="Embed" ProgID="Equation.DSMT4" ShapeID="_x0000_i1027" DrawAspect="Content" ObjectID="_1468075727" r:id="rId41">
            <o:LockedField>false</o:LockedField>
          </o:OLEObject>
        </w:object>
      </w:r>
      <w:r>
        <w:t xml:space="preserve"> </w:t>
      </w:r>
    </w:p>
    <w:p>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仿宋_GB2312" w:hAnsi="黑体" w:eastAsia="仿宋_GB2312"/>
          <w:sz w:val="28"/>
          <w:szCs w:val="28"/>
        </w:rPr>
        <w:t>式中：</w:t>
      </w:r>
      <w:r>
        <w:rPr>
          <w:rFonts w:ascii="Times New Roman" w:hAnsi="Times New Roman" w:eastAsia="仿宋_GB2312" w:cs="Times New Roman"/>
          <w:i/>
          <w:sz w:val="28"/>
          <w:szCs w:val="28"/>
        </w:rPr>
        <w:t>EC</w:t>
      </w:r>
      <w:r>
        <w:rPr>
          <w:rFonts w:ascii="Times New Roman" w:hAnsi="Times New Roman" w:eastAsia="仿宋_GB2312" w:cs="Times New Roman"/>
          <w:sz w:val="28"/>
          <w:szCs w:val="28"/>
        </w:rPr>
        <w:t>为区域生态承载力，</w:t>
      </w:r>
      <w:r>
        <w:rPr>
          <w:rFonts w:ascii="Times New Roman" w:hAnsi="Times New Roman" w:eastAsia="仿宋_GB2312" w:cs="Times New Roman"/>
          <w:i/>
          <w:sz w:val="28"/>
          <w:szCs w:val="28"/>
        </w:rPr>
        <w:t>ec</w:t>
      </w:r>
      <w:r>
        <w:rPr>
          <w:rFonts w:ascii="Times New Roman" w:hAnsi="Times New Roman" w:eastAsia="仿宋_GB2312" w:cs="Times New Roman"/>
          <w:sz w:val="28"/>
          <w:szCs w:val="28"/>
        </w:rPr>
        <w:t>为人均生态承载力，</w:t>
      </w:r>
      <w:r>
        <w:rPr>
          <w:rFonts w:ascii="Times New Roman" w:hAnsi="Times New Roman" w:eastAsia="仿宋_GB2312" w:cs="Times New Roman"/>
          <w:i/>
          <w:sz w:val="28"/>
          <w:szCs w:val="28"/>
        </w:rPr>
        <w:t>a</w:t>
      </w:r>
      <w:r>
        <w:rPr>
          <w:rFonts w:ascii="Times New Roman" w:hAnsi="Times New Roman" w:eastAsia="仿宋_GB2312" w:cs="Times New Roman"/>
          <w:i/>
          <w:sz w:val="28"/>
          <w:szCs w:val="28"/>
          <w:vertAlign w:val="subscript"/>
        </w:rPr>
        <w:t>j</w:t>
      </w:r>
      <w:r>
        <w:rPr>
          <w:rFonts w:ascii="Times New Roman" w:hAnsi="Times New Roman" w:eastAsia="仿宋_GB2312" w:cs="Times New Roman"/>
          <w:sz w:val="28"/>
          <w:szCs w:val="28"/>
        </w:rPr>
        <w:t>为人均生态生产面积，</w:t>
      </w:r>
      <w:r>
        <w:rPr>
          <w:rFonts w:ascii="Times New Roman" w:hAnsi="Times New Roman" w:eastAsia="仿宋_GB2312" w:cs="Times New Roman"/>
          <w:i/>
          <w:sz w:val="28"/>
          <w:szCs w:val="28"/>
        </w:rPr>
        <w:t>γ</w:t>
      </w:r>
      <w:r>
        <w:rPr>
          <w:rFonts w:ascii="Times New Roman" w:hAnsi="Times New Roman" w:eastAsia="仿宋_GB2312" w:cs="Times New Roman"/>
          <w:i/>
          <w:sz w:val="28"/>
          <w:szCs w:val="28"/>
          <w:vertAlign w:val="subscript"/>
        </w:rPr>
        <w:t>j</w:t>
      </w:r>
      <w:r>
        <w:rPr>
          <w:rFonts w:ascii="Times New Roman" w:hAnsi="Times New Roman" w:eastAsia="仿宋_GB2312" w:cs="Times New Roman"/>
          <w:sz w:val="28"/>
          <w:szCs w:val="28"/>
        </w:rPr>
        <w:t>为均衡因子，</w:t>
      </w:r>
      <w:r>
        <w:rPr>
          <w:rFonts w:ascii="Times New Roman" w:hAnsi="Times New Roman" w:eastAsia="仿宋_GB2312" w:cs="Times New Roman"/>
          <w:i/>
          <w:sz w:val="28"/>
          <w:szCs w:val="28"/>
        </w:rPr>
        <w:t>Y</w:t>
      </w:r>
      <w:r>
        <w:rPr>
          <w:rFonts w:ascii="Times New Roman" w:hAnsi="Times New Roman" w:eastAsia="仿宋_GB2312" w:cs="Times New Roman"/>
          <w:i/>
          <w:sz w:val="28"/>
          <w:szCs w:val="28"/>
          <w:vertAlign w:val="subscript"/>
        </w:rPr>
        <w:t>j</w:t>
      </w:r>
      <w:r>
        <w:rPr>
          <w:rFonts w:ascii="Times New Roman" w:hAnsi="Times New Roman" w:eastAsia="仿宋_GB2312" w:cs="Times New Roman"/>
          <w:sz w:val="28"/>
          <w:szCs w:val="28"/>
        </w:rPr>
        <w:t>为产量因子，</w:t>
      </w:r>
      <w:r>
        <w:rPr>
          <w:rFonts w:ascii="Times New Roman" w:hAnsi="Times New Roman" w:eastAsia="仿宋_GB2312" w:cs="Times New Roman"/>
          <w:i/>
          <w:sz w:val="28"/>
          <w:szCs w:val="28"/>
        </w:rPr>
        <w:t>j</w:t>
      </w:r>
      <w:r>
        <w:rPr>
          <w:rFonts w:ascii="Times New Roman" w:hAnsi="Times New Roman" w:eastAsia="仿宋_GB2312" w:cs="Times New Roman"/>
          <w:sz w:val="28"/>
          <w:szCs w:val="28"/>
        </w:rPr>
        <w:t>为消费商品和投入类型，</w:t>
      </w:r>
      <w:r>
        <w:rPr>
          <w:rFonts w:hint="eastAsia" w:ascii="Times New Roman" w:hAnsi="Times New Roman" w:eastAsia="仿宋_GB2312" w:cs="Times New Roman"/>
          <w:sz w:val="28"/>
          <w:szCs w:val="28"/>
        </w:rPr>
        <w:t>0.88为生态承载力调整系数（为经验值，即人类只能利用自然资源的88%，其余12%留给生物多样性）</w:t>
      </w:r>
      <w:r>
        <w:rPr>
          <w:rFonts w:ascii="Times New Roman" w:hAnsi="Times New Roman" w:eastAsia="仿宋_GB2312" w:cs="Times New Roman"/>
          <w:sz w:val="28"/>
          <w:szCs w:val="28"/>
        </w:rPr>
        <w:t>。</w:t>
      </w:r>
    </w:p>
    <w:p>
      <w:pPr>
        <w:adjustRightInd w:val="0"/>
        <w:snapToGrid w:val="0"/>
        <w:spacing w:line="360"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（3）生态赤字/生态盈余</w:t>
      </w:r>
      <w:r>
        <w:rPr>
          <w:rFonts w:ascii="Times New Roman" w:hAnsi="Times New Roman" w:eastAsia="仿宋_GB2312" w:cs="Times New Roman"/>
          <w:i/>
          <w:sz w:val="28"/>
          <w:szCs w:val="28"/>
        </w:rPr>
        <w:t>（ED）</w:t>
      </w:r>
    </w:p>
    <w:p>
      <w:pPr>
        <w:adjustRightInd w:val="0"/>
        <w:snapToGrid w:val="0"/>
        <w:spacing w:line="360"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将生态足迹和生态承载力相减，差值为正时称为生态赤字，表示该地区人均占用资源量超过了生态承载力；差值为负时称为生态盈余，表示人均占用资源量仍在生态承载力允许的范围之内。该值反映了地区的可持续发展现状。</w:t>
      </w:r>
    </w:p>
    <w:p>
      <w:pPr>
        <w:adjustRightInd w:val="0"/>
        <w:snapToGrid w:val="0"/>
        <w:spacing w:line="360"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（4）生态可持续指数</w:t>
      </w:r>
      <w:r>
        <w:rPr>
          <w:rFonts w:ascii="Times New Roman" w:hAnsi="Times New Roman" w:eastAsia="仿宋_GB2312" w:cs="Times New Roman"/>
          <w:i/>
          <w:sz w:val="28"/>
          <w:szCs w:val="28"/>
        </w:rPr>
        <w:t>（ESI）</w:t>
      </w:r>
    </w:p>
    <w:p>
      <w:pPr>
        <w:adjustRightInd w:val="0"/>
        <w:snapToGrid w:val="0"/>
        <w:spacing w:line="360"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生态可持续指数是指一定区域内生态可持续供给满足人类生态需要的程度，它能够反映一个地区的生态可持续发展状况，弥补生态赤字等指标的不足。</w:t>
      </w:r>
    </w:p>
    <w:p>
      <w:pPr>
        <w:pStyle w:val="27"/>
      </w:pPr>
      <w:r>
        <w:tab/>
      </w:r>
      <w:r>
        <w:rPr>
          <w:position w:val="-24"/>
        </w:rPr>
        <w:object>
          <v:shape id="_x0000_i1028" o:spt="75" type="#_x0000_t75" style="height:32.25pt;width:58.5pt;" o:ole="t" filled="f" o:preferrelative="t" stroked="f" coordsize="21600,21600">
            <v:path/>
            <v:fill on="f" focussize="0,0"/>
            <v:stroke on="f" joinstyle="miter"/>
            <v:imagedata r:id="rId44" o:title=""/>
            <o:lock v:ext="edit" aspectratio="t"/>
            <w10:wrap type="none"/>
            <w10:anchorlock/>
          </v:shape>
          <o:OLEObject Type="Embed" ProgID="Equation.DSMT4" ShapeID="_x0000_i1028" DrawAspect="Content" ObjectID="_1468075728" r:id="rId43">
            <o:LockedField>false</o:LockedField>
          </o:OLEObject>
        </w:object>
      </w:r>
      <w:r>
        <w:t xml:space="preserve"> </w:t>
      </w:r>
    </w:p>
    <w:p>
      <w:pPr>
        <w:adjustRightInd w:val="0"/>
        <w:snapToGrid w:val="0"/>
        <w:spacing w:line="360"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式中，当</w:t>
      </w:r>
      <w:r>
        <w:rPr>
          <w:rFonts w:ascii="Times New Roman" w:hAnsi="Times New Roman" w:eastAsia="仿宋_GB2312" w:cs="Times New Roman"/>
          <w:i/>
          <w:sz w:val="28"/>
          <w:szCs w:val="28"/>
        </w:rPr>
        <w:t>ESI</w:t>
      </w:r>
      <w:r>
        <w:rPr>
          <w:rFonts w:hint="eastAsia" w:ascii="仿宋_GB2312" w:hAnsi="Times New Roman" w:eastAsia="仿宋_GB2312" w:cs="Times New Roman"/>
          <w:sz w:val="28"/>
          <w:szCs w:val="28"/>
        </w:rPr>
        <w:t>=1时，说明生态承载力和生态足迹相等二者处于平衡状态，是可持续和不可持续发展的临界点；当</w:t>
      </w:r>
      <w:r>
        <w:rPr>
          <w:rFonts w:ascii="Times New Roman" w:hAnsi="Times New Roman" w:eastAsia="仿宋_GB2312" w:cs="Times New Roman"/>
          <w:i/>
          <w:sz w:val="28"/>
          <w:szCs w:val="28"/>
        </w:rPr>
        <w:t>ESI</w:t>
      </w:r>
      <w:r>
        <w:rPr>
          <w:rFonts w:hint="eastAsia" w:ascii="仿宋_GB2312" w:hAnsi="Times New Roman" w:eastAsia="仿宋_GB2312" w:cs="Times New Roman"/>
          <w:sz w:val="28"/>
          <w:szCs w:val="28"/>
        </w:rPr>
        <w:t>＞1时，说明生态承载力超越生态足迹，即区域处于可持续状态；当</w:t>
      </w:r>
      <w:r>
        <w:rPr>
          <w:rFonts w:ascii="Times New Roman" w:hAnsi="Times New Roman" w:eastAsia="仿宋_GB2312" w:cs="Times New Roman"/>
          <w:i/>
          <w:sz w:val="28"/>
          <w:szCs w:val="28"/>
        </w:rPr>
        <w:t>ESI</w:t>
      </w:r>
      <w:r>
        <w:rPr>
          <w:rFonts w:hint="eastAsia" w:ascii="仿宋_GB2312" w:hAnsi="Times New Roman" w:eastAsia="仿宋_GB2312" w:cs="Times New Roman"/>
          <w:sz w:val="28"/>
          <w:szCs w:val="28"/>
        </w:rPr>
        <w:t>＜1时，说明生态赤字超过生态承载力，即区域处于不可持续状态。</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6.4.2数据获取</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本次引用的各类数据说明如下：</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（1）各类土地面积来自《盐池县第三次土地调查》数据。</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（2）人口、产量等数据基准年为2021年，如无2021年，则以2020年数据作为基准年。</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（3）其余数据来自《宁夏统计年鉴（2021年）》《宁夏统计年鉴（2020年）》《盐池县国民经济和社会发展公报（2016年至2021年）》等。</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6.4.3计算结果</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（1）生态足迹计算</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生态足迹计算的核心参数包括土地平均生产力、均衡因子和产量因子，计算结果见表6-11。</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其中，由于消费化石能源排放的CO</w:t>
      </w:r>
      <w:r>
        <w:rPr>
          <w:rFonts w:hint="eastAsia" w:ascii="仿宋_GB2312" w:hAnsi="黑体" w:eastAsia="仿宋_GB2312"/>
          <w:sz w:val="28"/>
          <w:szCs w:val="28"/>
          <w:vertAlign w:val="subscript"/>
        </w:rPr>
        <w:t>2</w:t>
      </w:r>
      <w:r>
        <w:rPr>
          <w:rFonts w:hint="eastAsia" w:ascii="仿宋_GB2312" w:hAnsi="黑体" w:eastAsia="仿宋_GB2312"/>
          <w:sz w:val="28"/>
          <w:szCs w:val="28"/>
        </w:rPr>
        <w:t>主要由森林吸收，所以化石能源用地的均衡因子对应林地。</w:t>
      </w:r>
    </w:p>
    <w:p>
      <w:pPr>
        <w:adjustRightInd w:val="0"/>
        <w:snapToGrid w:val="0"/>
        <w:spacing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表6-11 “生态足迹模型”核心参数计算表</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1"/>
        <w:gridCol w:w="1568"/>
        <w:gridCol w:w="1604"/>
        <w:gridCol w:w="1510"/>
        <w:gridCol w:w="1439"/>
        <w:gridCol w:w="10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09" w:type="dxa"/>
            <w:vAlign w:val="center"/>
          </w:tcPr>
          <w:p>
            <w:pPr>
              <w:adjustRightInd w:val="0"/>
              <w:snapToGrid w:val="0"/>
              <w:jc w:val="center"/>
              <w:rPr>
                <w:rFonts w:ascii="Times New Roman" w:hAnsi="Times New Roman" w:cs="Times New Roman"/>
                <w:b/>
              </w:rPr>
            </w:pPr>
            <w:r>
              <w:rPr>
                <w:rFonts w:ascii="Times New Roman" w:hAnsi="Times New Roman" w:cs="Times New Roman"/>
                <w:b/>
              </w:rPr>
              <w:t>土地类型</w:t>
            </w:r>
          </w:p>
        </w:tc>
        <w:tc>
          <w:tcPr>
            <w:tcW w:w="1276" w:type="dxa"/>
            <w:vAlign w:val="center"/>
          </w:tcPr>
          <w:p>
            <w:pPr>
              <w:adjustRightInd w:val="0"/>
              <w:snapToGrid w:val="0"/>
              <w:jc w:val="center"/>
              <w:rPr>
                <w:rFonts w:ascii="Times New Roman" w:hAnsi="Times New Roman" w:cs="Times New Roman"/>
                <w:b/>
              </w:rPr>
            </w:pPr>
            <w:r>
              <w:rPr>
                <w:rFonts w:ascii="Times New Roman" w:hAnsi="Times New Roman" w:cs="Times New Roman"/>
                <w:b/>
              </w:rPr>
              <w:t>均衡因子（whm</w:t>
            </w:r>
            <w:r>
              <w:rPr>
                <w:rFonts w:ascii="Times New Roman" w:hAnsi="Times New Roman" w:cs="Times New Roman"/>
                <w:b/>
                <w:vertAlign w:val="superscript"/>
              </w:rPr>
              <w:t>2</w:t>
            </w:r>
            <w:r>
              <w:rPr>
                <w:rFonts w:ascii="Times New Roman" w:hAnsi="Times New Roman" w:cs="Times New Roman"/>
                <w:b/>
              </w:rPr>
              <w:t>/hm</w:t>
            </w:r>
            <w:r>
              <w:rPr>
                <w:rFonts w:ascii="Times New Roman" w:hAnsi="Times New Roman" w:cs="Times New Roman"/>
                <w:b/>
                <w:vertAlign w:val="superscript"/>
              </w:rPr>
              <w:t>2</w:t>
            </w:r>
            <w:r>
              <w:rPr>
                <w:rFonts w:ascii="Times New Roman" w:hAnsi="Times New Roman" w:cs="Times New Roman"/>
                <w:b/>
              </w:rPr>
              <w:t>）</w:t>
            </w:r>
          </w:p>
        </w:tc>
        <w:tc>
          <w:tcPr>
            <w:tcW w:w="1701" w:type="dxa"/>
            <w:vAlign w:val="center"/>
          </w:tcPr>
          <w:p>
            <w:pPr>
              <w:adjustRightInd w:val="0"/>
              <w:snapToGrid w:val="0"/>
              <w:jc w:val="center"/>
              <w:rPr>
                <w:rFonts w:ascii="Times New Roman" w:hAnsi="Times New Roman" w:cs="Times New Roman"/>
                <w:b/>
              </w:rPr>
            </w:pPr>
            <w:r>
              <w:rPr>
                <w:rFonts w:ascii="Times New Roman" w:hAnsi="Times New Roman" w:cs="Times New Roman"/>
                <w:b/>
              </w:rPr>
              <w:t>土地产量（10</w:t>
            </w:r>
            <w:r>
              <w:rPr>
                <w:rFonts w:ascii="Times New Roman" w:hAnsi="Times New Roman" w:cs="Times New Roman"/>
                <w:b/>
                <w:vertAlign w:val="superscript"/>
              </w:rPr>
              <w:t>9</w:t>
            </w:r>
            <w:r>
              <w:rPr>
                <w:rFonts w:ascii="Times New Roman" w:hAnsi="Times New Roman" w:cs="Times New Roman"/>
                <w:b/>
              </w:rPr>
              <w:t>kJ）</w:t>
            </w:r>
          </w:p>
        </w:tc>
        <w:tc>
          <w:tcPr>
            <w:tcW w:w="1559" w:type="dxa"/>
            <w:vAlign w:val="center"/>
          </w:tcPr>
          <w:p>
            <w:pPr>
              <w:adjustRightInd w:val="0"/>
              <w:snapToGrid w:val="0"/>
              <w:jc w:val="center"/>
              <w:rPr>
                <w:rFonts w:ascii="Times New Roman" w:hAnsi="Times New Roman" w:cs="Times New Roman"/>
                <w:b/>
              </w:rPr>
            </w:pPr>
            <w:r>
              <w:rPr>
                <w:rFonts w:ascii="Times New Roman" w:hAnsi="Times New Roman" w:cs="Times New Roman"/>
                <w:b/>
              </w:rPr>
              <w:t>土地面积（10</w:t>
            </w:r>
            <w:r>
              <w:rPr>
                <w:rFonts w:ascii="Times New Roman" w:hAnsi="Times New Roman" w:cs="Times New Roman"/>
                <w:b/>
                <w:vertAlign w:val="superscript"/>
              </w:rPr>
              <w:t>4</w:t>
            </w:r>
            <w:r>
              <w:rPr>
                <w:rFonts w:ascii="Times New Roman" w:hAnsi="Times New Roman" w:cs="Times New Roman"/>
                <w:b/>
              </w:rPr>
              <w:t>hm</w:t>
            </w:r>
            <w:r>
              <w:rPr>
                <w:rFonts w:ascii="Times New Roman" w:hAnsi="Times New Roman" w:cs="Times New Roman"/>
                <w:b/>
                <w:vertAlign w:val="superscript"/>
              </w:rPr>
              <w:t>2</w:t>
            </w:r>
            <w:r>
              <w:rPr>
                <w:rFonts w:ascii="Times New Roman" w:hAnsi="Times New Roman" w:cs="Times New Roman"/>
                <w:b/>
              </w:rPr>
              <w:t>）</w:t>
            </w:r>
          </w:p>
        </w:tc>
        <w:tc>
          <w:tcPr>
            <w:tcW w:w="1276" w:type="dxa"/>
            <w:vAlign w:val="center"/>
          </w:tcPr>
          <w:p>
            <w:pPr>
              <w:adjustRightInd w:val="0"/>
              <w:snapToGrid w:val="0"/>
              <w:jc w:val="center"/>
              <w:rPr>
                <w:rFonts w:ascii="Times New Roman" w:hAnsi="Times New Roman" w:cs="Times New Roman"/>
                <w:b/>
              </w:rPr>
            </w:pPr>
            <w:r>
              <w:rPr>
                <w:rFonts w:ascii="Times New Roman" w:hAnsi="Times New Roman" w:cs="Times New Roman"/>
                <w:b/>
              </w:rPr>
              <w:t>土地生产力（10</w:t>
            </w:r>
            <w:r>
              <w:rPr>
                <w:rFonts w:ascii="Times New Roman" w:hAnsi="Times New Roman" w:cs="Times New Roman"/>
                <w:b/>
                <w:vertAlign w:val="superscript"/>
              </w:rPr>
              <w:t>9</w:t>
            </w:r>
            <w:r>
              <w:rPr>
                <w:rFonts w:ascii="Times New Roman" w:hAnsi="Times New Roman" w:cs="Times New Roman"/>
                <w:b/>
              </w:rPr>
              <w:t>J/hm</w:t>
            </w:r>
            <w:r>
              <w:rPr>
                <w:rFonts w:ascii="Times New Roman" w:hAnsi="Times New Roman" w:cs="Times New Roman"/>
                <w:b/>
                <w:vertAlign w:val="superscript"/>
              </w:rPr>
              <w:t>2</w:t>
            </w:r>
            <w:r>
              <w:rPr>
                <w:rFonts w:ascii="Times New Roman" w:hAnsi="Times New Roman" w:cs="Times New Roman"/>
                <w:b/>
              </w:rPr>
              <w:t>）</w:t>
            </w:r>
          </w:p>
        </w:tc>
        <w:tc>
          <w:tcPr>
            <w:tcW w:w="1099" w:type="dxa"/>
            <w:vAlign w:val="center"/>
          </w:tcPr>
          <w:p>
            <w:pPr>
              <w:adjustRightInd w:val="0"/>
              <w:snapToGrid w:val="0"/>
              <w:jc w:val="center"/>
              <w:rPr>
                <w:rFonts w:ascii="Times New Roman" w:hAnsi="Times New Roman" w:cs="Times New Roman"/>
                <w:b/>
              </w:rPr>
            </w:pPr>
            <w:r>
              <w:rPr>
                <w:rFonts w:ascii="Times New Roman" w:hAnsi="Times New Roman" w:cs="Times New Roman"/>
                <w:b/>
              </w:rPr>
              <w:t>产量</w:t>
            </w:r>
          </w:p>
          <w:p>
            <w:pPr>
              <w:adjustRightInd w:val="0"/>
              <w:snapToGrid w:val="0"/>
              <w:jc w:val="center"/>
              <w:rPr>
                <w:rFonts w:ascii="Times New Roman" w:hAnsi="Times New Roman" w:cs="Times New Roman"/>
                <w:b/>
              </w:rPr>
            </w:pPr>
            <w:r>
              <w:rPr>
                <w:rFonts w:ascii="Times New Roman" w:hAnsi="Times New Roman" w:cs="Times New Roman"/>
                <w:b/>
              </w:rPr>
              <w:t>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09" w:type="dxa"/>
            <w:vAlign w:val="center"/>
          </w:tcPr>
          <w:p>
            <w:pPr>
              <w:jc w:val="center"/>
              <w:rPr>
                <w:rFonts w:ascii="Times New Roman" w:hAnsi="Times New Roman" w:cs="Times New Roman"/>
              </w:rPr>
            </w:pPr>
            <w:r>
              <w:rPr>
                <w:rFonts w:ascii="Times New Roman" w:hAnsi="Times New Roman" w:cs="Times New Roman"/>
              </w:rPr>
              <w:t>耕地</w:t>
            </w:r>
          </w:p>
        </w:tc>
        <w:tc>
          <w:tcPr>
            <w:tcW w:w="1276" w:type="dxa"/>
            <w:vAlign w:val="center"/>
          </w:tcPr>
          <w:p>
            <w:pPr>
              <w:jc w:val="center"/>
              <w:rPr>
                <w:rFonts w:ascii="Times New Roman" w:hAnsi="Times New Roman" w:cs="Times New Roman"/>
              </w:rPr>
            </w:pPr>
            <w:r>
              <w:rPr>
                <w:rFonts w:ascii="Times New Roman" w:hAnsi="Times New Roman" w:cs="Times New Roman"/>
              </w:rPr>
              <w:t>10.139</w:t>
            </w:r>
          </w:p>
        </w:tc>
        <w:tc>
          <w:tcPr>
            <w:tcW w:w="1701" w:type="dxa"/>
            <w:vAlign w:val="center"/>
          </w:tcPr>
          <w:p>
            <w:pPr>
              <w:jc w:val="center"/>
              <w:rPr>
                <w:rFonts w:ascii="Times New Roman" w:hAnsi="Times New Roman" w:cs="Times New Roman"/>
              </w:rPr>
            </w:pPr>
            <w:r>
              <w:rPr>
                <w:rFonts w:ascii="Times New Roman" w:hAnsi="Times New Roman" w:cs="Times New Roman"/>
              </w:rPr>
              <w:t>5918.86</w:t>
            </w:r>
          </w:p>
        </w:tc>
        <w:tc>
          <w:tcPr>
            <w:tcW w:w="1559" w:type="dxa"/>
            <w:vAlign w:val="center"/>
          </w:tcPr>
          <w:p>
            <w:pPr>
              <w:jc w:val="center"/>
              <w:rPr>
                <w:rFonts w:ascii="Times New Roman" w:hAnsi="Times New Roman" w:cs="Times New Roman"/>
              </w:rPr>
            </w:pPr>
            <w:r>
              <w:rPr>
                <w:rFonts w:ascii="Times New Roman" w:hAnsi="Times New Roman" w:cs="Times New Roman"/>
              </w:rPr>
              <w:t>10.99</w:t>
            </w:r>
          </w:p>
        </w:tc>
        <w:tc>
          <w:tcPr>
            <w:tcW w:w="1276" w:type="dxa"/>
            <w:vAlign w:val="center"/>
          </w:tcPr>
          <w:p>
            <w:pPr>
              <w:jc w:val="center"/>
              <w:rPr>
                <w:rFonts w:ascii="Times New Roman" w:hAnsi="Times New Roman" w:cs="Times New Roman"/>
              </w:rPr>
            </w:pPr>
            <w:r>
              <w:rPr>
                <w:rFonts w:ascii="Times New Roman" w:hAnsi="Times New Roman" w:cs="Times New Roman"/>
              </w:rPr>
              <w:t>53.860</w:t>
            </w:r>
          </w:p>
        </w:tc>
        <w:tc>
          <w:tcPr>
            <w:tcW w:w="1099" w:type="dxa"/>
            <w:vAlign w:val="center"/>
          </w:tcPr>
          <w:p>
            <w:pPr>
              <w:jc w:val="center"/>
              <w:rPr>
                <w:rFonts w:ascii="Times New Roman" w:hAnsi="Times New Roman" w:cs="Times New Roman"/>
              </w:rPr>
            </w:pPr>
            <w:r>
              <w:rPr>
                <w:rFonts w:ascii="Times New Roman" w:hAnsi="Times New Roman" w:cs="Times New Roman"/>
              </w:rPr>
              <w:t>0.758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09" w:type="dxa"/>
            <w:vAlign w:val="center"/>
          </w:tcPr>
          <w:p>
            <w:pPr>
              <w:jc w:val="center"/>
              <w:rPr>
                <w:rFonts w:ascii="Times New Roman" w:hAnsi="Times New Roman" w:cs="Times New Roman"/>
              </w:rPr>
            </w:pPr>
            <w:r>
              <w:rPr>
                <w:rFonts w:ascii="Times New Roman" w:hAnsi="Times New Roman" w:cs="Times New Roman"/>
              </w:rPr>
              <w:t>牧草地</w:t>
            </w:r>
          </w:p>
        </w:tc>
        <w:tc>
          <w:tcPr>
            <w:tcW w:w="1276" w:type="dxa"/>
            <w:vAlign w:val="center"/>
          </w:tcPr>
          <w:p>
            <w:pPr>
              <w:jc w:val="center"/>
              <w:rPr>
                <w:rFonts w:ascii="Times New Roman" w:hAnsi="Times New Roman" w:cs="Times New Roman"/>
              </w:rPr>
            </w:pPr>
            <w:r>
              <w:rPr>
                <w:rFonts w:ascii="Times New Roman" w:hAnsi="Times New Roman" w:cs="Times New Roman"/>
              </w:rPr>
              <w:t>0.0598</w:t>
            </w:r>
          </w:p>
        </w:tc>
        <w:tc>
          <w:tcPr>
            <w:tcW w:w="1701" w:type="dxa"/>
            <w:vAlign w:val="center"/>
          </w:tcPr>
          <w:p>
            <w:pPr>
              <w:jc w:val="center"/>
              <w:rPr>
                <w:rFonts w:ascii="Times New Roman" w:hAnsi="Times New Roman" w:cs="Times New Roman"/>
              </w:rPr>
            </w:pPr>
            <w:r>
              <w:rPr>
                <w:rFonts w:ascii="Times New Roman" w:hAnsi="Times New Roman" w:cs="Times New Roman"/>
              </w:rPr>
              <w:t>601.37</w:t>
            </w:r>
          </w:p>
        </w:tc>
        <w:tc>
          <w:tcPr>
            <w:tcW w:w="1559" w:type="dxa"/>
            <w:vAlign w:val="center"/>
          </w:tcPr>
          <w:p>
            <w:pPr>
              <w:jc w:val="center"/>
              <w:rPr>
                <w:rFonts w:ascii="Times New Roman" w:hAnsi="Times New Roman" w:cs="Times New Roman"/>
              </w:rPr>
            </w:pPr>
            <w:r>
              <w:rPr>
                <w:rFonts w:ascii="Times New Roman" w:hAnsi="Times New Roman" w:cs="Times New Roman"/>
              </w:rPr>
              <w:t>31.66</w:t>
            </w:r>
          </w:p>
        </w:tc>
        <w:tc>
          <w:tcPr>
            <w:tcW w:w="1276" w:type="dxa"/>
            <w:vAlign w:val="center"/>
          </w:tcPr>
          <w:p>
            <w:pPr>
              <w:jc w:val="center"/>
              <w:rPr>
                <w:rFonts w:ascii="Times New Roman" w:hAnsi="Times New Roman" w:cs="Times New Roman"/>
              </w:rPr>
            </w:pPr>
            <w:r>
              <w:rPr>
                <w:rFonts w:ascii="Times New Roman" w:hAnsi="Times New Roman" w:cs="Times New Roman"/>
              </w:rPr>
              <w:t>1.899</w:t>
            </w:r>
          </w:p>
        </w:tc>
        <w:tc>
          <w:tcPr>
            <w:tcW w:w="1099" w:type="dxa"/>
            <w:vAlign w:val="center"/>
          </w:tcPr>
          <w:p>
            <w:pPr>
              <w:jc w:val="center"/>
              <w:rPr>
                <w:rFonts w:ascii="Times New Roman" w:hAnsi="Times New Roman" w:cs="Times New Roman"/>
              </w:rPr>
            </w:pPr>
            <w:r>
              <w:rPr>
                <w:rFonts w:ascii="Times New Roman" w:hAnsi="Times New Roman" w:cs="Times New Roman"/>
              </w:rPr>
              <w:t>4.536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09" w:type="dxa"/>
            <w:vAlign w:val="center"/>
          </w:tcPr>
          <w:p>
            <w:pPr>
              <w:jc w:val="center"/>
              <w:rPr>
                <w:rFonts w:ascii="Times New Roman" w:hAnsi="Times New Roman" w:cs="Times New Roman"/>
              </w:rPr>
            </w:pPr>
            <w:r>
              <w:rPr>
                <w:rFonts w:ascii="Times New Roman" w:hAnsi="Times New Roman" w:cs="Times New Roman"/>
              </w:rPr>
              <w:t>林地</w:t>
            </w:r>
          </w:p>
        </w:tc>
        <w:tc>
          <w:tcPr>
            <w:tcW w:w="1276" w:type="dxa"/>
            <w:vAlign w:val="center"/>
          </w:tcPr>
          <w:p>
            <w:pPr>
              <w:jc w:val="center"/>
              <w:rPr>
                <w:rFonts w:ascii="Times New Roman" w:hAnsi="Times New Roman" w:cs="Times New Roman"/>
              </w:rPr>
            </w:pPr>
            <w:r>
              <w:rPr>
                <w:rFonts w:ascii="Times New Roman" w:hAnsi="Times New Roman" w:cs="Times New Roman"/>
              </w:rPr>
              <w:t>0.0710</w:t>
            </w:r>
          </w:p>
        </w:tc>
        <w:tc>
          <w:tcPr>
            <w:tcW w:w="1701" w:type="dxa"/>
            <w:vAlign w:val="center"/>
          </w:tcPr>
          <w:p>
            <w:pPr>
              <w:jc w:val="center"/>
              <w:rPr>
                <w:rFonts w:ascii="Times New Roman" w:hAnsi="Times New Roman" w:cs="Times New Roman"/>
              </w:rPr>
            </w:pPr>
            <w:r>
              <w:rPr>
                <w:rFonts w:ascii="Times New Roman" w:hAnsi="Times New Roman" w:cs="Times New Roman"/>
              </w:rPr>
              <w:t>1.03</w:t>
            </w:r>
          </w:p>
        </w:tc>
        <w:tc>
          <w:tcPr>
            <w:tcW w:w="1559" w:type="dxa"/>
            <w:vAlign w:val="center"/>
          </w:tcPr>
          <w:p>
            <w:pPr>
              <w:jc w:val="center"/>
              <w:rPr>
                <w:rFonts w:ascii="Times New Roman" w:hAnsi="Times New Roman" w:cs="Times New Roman"/>
              </w:rPr>
            </w:pPr>
            <w:r>
              <w:rPr>
                <w:rFonts w:ascii="Times New Roman" w:hAnsi="Times New Roman" w:cs="Times New Roman"/>
              </w:rPr>
              <w:t>13.82</w:t>
            </w:r>
          </w:p>
        </w:tc>
        <w:tc>
          <w:tcPr>
            <w:tcW w:w="1276" w:type="dxa"/>
            <w:vAlign w:val="center"/>
          </w:tcPr>
          <w:p>
            <w:pPr>
              <w:jc w:val="center"/>
              <w:rPr>
                <w:rFonts w:ascii="Times New Roman" w:hAnsi="Times New Roman" w:cs="Times New Roman"/>
              </w:rPr>
            </w:pPr>
            <w:r>
              <w:rPr>
                <w:rFonts w:ascii="Times New Roman" w:hAnsi="Times New Roman" w:cs="Times New Roman"/>
              </w:rPr>
              <w:t>0.0075</w:t>
            </w:r>
          </w:p>
        </w:tc>
        <w:tc>
          <w:tcPr>
            <w:tcW w:w="1099" w:type="dxa"/>
            <w:vAlign w:val="center"/>
          </w:tcPr>
          <w:p>
            <w:pPr>
              <w:jc w:val="center"/>
              <w:rPr>
                <w:rFonts w:ascii="Times New Roman" w:hAnsi="Times New Roman" w:cs="Times New Roman"/>
              </w:rPr>
            </w:pPr>
            <w:r>
              <w:rPr>
                <w:rFonts w:ascii="Times New Roman" w:hAnsi="Times New Roman" w:cs="Times New Roman"/>
              </w:rPr>
              <w:t>0.015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09" w:type="dxa"/>
            <w:vAlign w:val="center"/>
          </w:tcPr>
          <w:p>
            <w:pPr>
              <w:jc w:val="center"/>
              <w:rPr>
                <w:rFonts w:ascii="Times New Roman" w:hAnsi="Times New Roman" w:cs="Times New Roman"/>
              </w:rPr>
            </w:pPr>
            <w:r>
              <w:rPr>
                <w:rFonts w:ascii="Times New Roman" w:hAnsi="Times New Roman" w:cs="Times New Roman"/>
              </w:rPr>
              <w:t>水域</w:t>
            </w:r>
          </w:p>
        </w:tc>
        <w:tc>
          <w:tcPr>
            <w:tcW w:w="1276" w:type="dxa"/>
            <w:vAlign w:val="center"/>
          </w:tcPr>
          <w:p>
            <w:pPr>
              <w:jc w:val="center"/>
              <w:rPr>
                <w:rFonts w:ascii="Times New Roman" w:hAnsi="Times New Roman" w:cs="Times New Roman"/>
              </w:rPr>
            </w:pPr>
            <w:r>
              <w:rPr>
                <w:rFonts w:ascii="Times New Roman" w:hAnsi="Times New Roman" w:cs="Times New Roman"/>
              </w:rPr>
              <w:t>0.4120</w:t>
            </w:r>
          </w:p>
        </w:tc>
        <w:tc>
          <w:tcPr>
            <w:tcW w:w="1701" w:type="dxa"/>
            <w:vAlign w:val="center"/>
          </w:tcPr>
          <w:p>
            <w:pPr>
              <w:jc w:val="center"/>
              <w:rPr>
                <w:rFonts w:ascii="Times New Roman" w:hAnsi="Times New Roman" w:cs="Times New Roman"/>
              </w:rPr>
            </w:pPr>
            <w:r>
              <w:rPr>
                <w:rFonts w:ascii="Times New Roman" w:hAnsi="Times New Roman" w:cs="Times New Roman"/>
              </w:rPr>
              <w:t>2.25</w:t>
            </w:r>
          </w:p>
        </w:tc>
        <w:tc>
          <w:tcPr>
            <w:tcW w:w="1559" w:type="dxa"/>
            <w:vAlign w:val="center"/>
          </w:tcPr>
          <w:p>
            <w:pPr>
              <w:jc w:val="center"/>
              <w:rPr>
                <w:rFonts w:ascii="Times New Roman" w:hAnsi="Times New Roman" w:cs="Times New Roman"/>
              </w:rPr>
            </w:pPr>
            <w:r>
              <w:rPr>
                <w:rFonts w:ascii="Times New Roman" w:hAnsi="Times New Roman" w:cs="Times New Roman"/>
              </w:rPr>
              <w:t>0.12</w:t>
            </w:r>
          </w:p>
        </w:tc>
        <w:tc>
          <w:tcPr>
            <w:tcW w:w="1276" w:type="dxa"/>
            <w:vAlign w:val="center"/>
          </w:tcPr>
          <w:p>
            <w:pPr>
              <w:jc w:val="center"/>
              <w:rPr>
                <w:rFonts w:ascii="Times New Roman" w:hAnsi="Times New Roman" w:cs="Times New Roman"/>
              </w:rPr>
            </w:pPr>
            <w:r>
              <w:rPr>
                <w:rFonts w:ascii="Times New Roman" w:hAnsi="Times New Roman" w:cs="Times New Roman"/>
              </w:rPr>
              <w:t>1.875</w:t>
            </w:r>
          </w:p>
        </w:tc>
        <w:tc>
          <w:tcPr>
            <w:tcW w:w="1099" w:type="dxa"/>
            <w:vAlign w:val="center"/>
          </w:tcPr>
          <w:p>
            <w:pPr>
              <w:jc w:val="center"/>
              <w:rPr>
                <w:rFonts w:ascii="Times New Roman" w:hAnsi="Times New Roman" w:cs="Times New Roman"/>
              </w:rPr>
            </w:pPr>
            <w:r>
              <w:rPr>
                <w:rFonts w:ascii="Times New Roman" w:hAnsi="Times New Roman" w:cs="Times New Roman"/>
              </w:rPr>
              <w:t>0.652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1809" w:type="dxa"/>
            <w:vAlign w:val="center"/>
          </w:tcPr>
          <w:p>
            <w:pPr>
              <w:jc w:val="center"/>
              <w:rPr>
                <w:rFonts w:ascii="Times New Roman" w:hAnsi="Times New Roman" w:cs="Times New Roman"/>
              </w:rPr>
            </w:pPr>
            <w:r>
              <w:rPr>
                <w:rFonts w:ascii="Times New Roman" w:hAnsi="Times New Roman" w:cs="Times New Roman"/>
              </w:rPr>
              <w:t>建设用地</w:t>
            </w:r>
          </w:p>
        </w:tc>
        <w:tc>
          <w:tcPr>
            <w:tcW w:w="1276" w:type="dxa"/>
            <w:vAlign w:val="center"/>
          </w:tcPr>
          <w:p>
            <w:pPr>
              <w:jc w:val="center"/>
              <w:rPr>
                <w:rFonts w:ascii="Times New Roman" w:hAnsi="Times New Roman" w:cs="Times New Roman"/>
              </w:rPr>
            </w:pPr>
            <w:r>
              <w:rPr>
                <w:rFonts w:ascii="Times New Roman" w:hAnsi="Times New Roman" w:cs="Times New Roman"/>
              </w:rPr>
              <w:t>10.139</w:t>
            </w:r>
          </w:p>
        </w:tc>
        <w:tc>
          <w:tcPr>
            <w:tcW w:w="1701" w:type="dxa"/>
            <w:vAlign w:val="center"/>
          </w:tcPr>
          <w:p>
            <w:pPr>
              <w:jc w:val="center"/>
              <w:rPr>
                <w:rFonts w:ascii="Times New Roman" w:hAnsi="Times New Roman" w:cs="Times New Roman"/>
              </w:rPr>
            </w:pPr>
            <w:r>
              <w:rPr>
                <w:rFonts w:ascii="Times New Roman" w:hAnsi="Times New Roman" w:cs="Times New Roman"/>
              </w:rPr>
              <w:t>/</w:t>
            </w:r>
          </w:p>
        </w:tc>
        <w:tc>
          <w:tcPr>
            <w:tcW w:w="1559" w:type="dxa"/>
            <w:vAlign w:val="center"/>
          </w:tcPr>
          <w:p>
            <w:pPr>
              <w:jc w:val="center"/>
              <w:rPr>
                <w:rFonts w:ascii="Times New Roman" w:hAnsi="Times New Roman" w:cs="Times New Roman"/>
              </w:rPr>
            </w:pPr>
            <w:r>
              <w:rPr>
                <w:rFonts w:ascii="Times New Roman" w:hAnsi="Times New Roman" w:cs="Times New Roman"/>
              </w:rPr>
              <w:t>2.45</w:t>
            </w:r>
          </w:p>
        </w:tc>
        <w:tc>
          <w:tcPr>
            <w:tcW w:w="1276" w:type="dxa"/>
            <w:vAlign w:val="center"/>
          </w:tcPr>
          <w:p>
            <w:pPr>
              <w:jc w:val="center"/>
              <w:rPr>
                <w:rFonts w:ascii="Times New Roman" w:hAnsi="Times New Roman" w:cs="Times New Roman"/>
              </w:rPr>
            </w:pPr>
            <w:r>
              <w:rPr>
                <w:rFonts w:ascii="Times New Roman" w:hAnsi="Times New Roman" w:cs="Times New Roman"/>
              </w:rPr>
              <w:t>/</w:t>
            </w:r>
          </w:p>
        </w:tc>
        <w:tc>
          <w:tcPr>
            <w:tcW w:w="1099" w:type="dxa"/>
            <w:vAlign w:val="center"/>
          </w:tcPr>
          <w:p>
            <w:pPr>
              <w:jc w:val="center"/>
              <w:rPr>
                <w:rFonts w:ascii="Times New Roman" w:hAnsi="Times New Roman" w:cs="Times New Roman"/>
              </w:rPr>
            </w:pPr>
            <w:r>
              <w:rPr>
                <w:rFonts w:ascii="Times New Roman" w:hAnsi="Times New Roman" w:cs="Times New Roman"/>
              </w:rPr>
              <w:t>0.758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09" w:type="dxa"/>
            <w:vAlign w:val="center"/>
          </w:tcPr>
          <w:p>
            <w:pPr>
              <w:jc w:val="center"/>
              <w:rPr>
                <w:rFonts w:ascii="Times New Roman" w:hAnsi="Times New Roman" w:cs="Times New Roman"/>
              </w:rPr>
            </w:pPr>
            <w:r>
              <w:rPr>
                <w:rFonts w:ascii="Times New Roman" w:hAnsi="Times New Roman" w:cs="Times New Roman"/>
              </w:rPr>
              <w:t>化石燃料用地</w:t>
            </w:r>
          </w:p>
        </w:tc>
        <w:tc>
          <w:tcPr>
            <w:tcW w:w="1276" w:type="dxa"/>
            <w:vAlign w:val="center"/>
          </w:tcPr>
          <w:p>
            <w:pPr>
              <w:jc w:val="center"/>
              <w:rPr>
                <w:rFonts w:ascii="Times New Roman" w:hAnsi="Times New Roman" w:cs="Times New Roman"/>
              </w:rPr>
            </w:pPr>
            <w:r>
              <w:rPr>
                <w:rFonts w:ascii="Times New Roman" w:hAnsi="Times New Roman" w:cs="Times New Roman"/>
              </w:rPr>
              <w:t>0.0710</w:t>
            </w:r>
          </w:p>
        </w:tc>
        <w:tc>
          <w:tcPr>
            <w:tcW w:w="1701" w:type="dxa"/>
            <w:vAlign w:val="center"/>
          </w:tcPr>
          <w:p>
            <w:pPr>
              <w:jc w:val="center"/>
              <w:rPr>
                <w:rFonts w:ascii="Times New Roman" w:hAnsi="Times New Roman" w:cs="Times New Roman"/>
              </w:rPr>
            </w:pPr>
            <w:r>
              <w:rPr>
                <w:rFonts w:hint="eastAsia" w:ascii="Times New Roman" w:hAnsi="Times New Roman" w:cs="Times New Roman"/>
              </w:rPr>
              <w:t>/</w:t>
            </w:r>
          </w:p>
        </w:tc>
        <w:tc>
          <w:tcPr>
            <w:tcW w:w="1559" w:type="dxa"/>
            <w:vAlign w:val="center"/>
          </w:tcPr>
          <w:p>
            <w:pPr>
              <w:jc w:val="center"/>
              <w:rPr>
                <w:rFonts w:ascii="Times New Roman" w:hAnsi="Times New Roman" w:cs="Times New Roman"/>
              </w:rPr>
            </w:pPr>
            <w:r>
              <w:rPr>
                <w:rFonts w:hint="eastAsia" w:ascii="Times New Roman" w:hAnsi="Times New Roman" w:cs="Times New Roman"/>
              </w:rPr>
              <w:t>/</w:t>
            </w:r>
          </w:p>
        </w:tc>
        <w:tc>
          <w:tcPr>
            <w:tcW w:w="1276" w:type="dxa"/>
            <w:vAlign w:val="center"/>
          </w:tcPr>
          <w:p>
            <w:pPr>
              <w:jc w:val="center"/>
              <w:rPr>
                <w:rFonts w:ascii="Times New Roman" w:hAnsi="Times New Roman" w:cs="Times New Roman"/>
              </w:rPr>
            </w:pPr>
            <w:r>
              <w:rPr>
                <w:rFonts w:hint="eastAsia" w:ascii="Times New Roman" w:hAnsi="Times New Roman" w:cs="Times New Roman"/>
              </w:rPr>
              <w:t>/</w:t>
            </w:r>
          </w:p>
        </w:tc>
        <w:tc>
          <w:tcPr>
            <w:tcW w:w="1099" w:type="dxa"/>
            <w:vAlign w:val="center"/>
          </w:tcPr>
          <w:p>
            <w:pPr>
              <w:jc w:val="center"/>
              <w:rPr>
                <w:rFonts w:ascii="Times New Roman" w:hAnsi="Times New Roman" w:cs="Times New Roman"/>
              </w:rPr>
            </w:pPr>
            <w:r>
              <w:rPr>
                <w:rFonts w:hint="eastAsia" w:ascii="Times New Roman" w:hAnsi="Times New Roman" w:cs="Times New Roman"/>
              </w:rPr>
              <w:t>0.015</w:t>
            </w:r>
          </w:p>
        </w:tc>
      </w:tr>
    </w:tbl>
    <w:p>
      <w:pPr>
        <w:adjustRightInd w:val="0"/>
        <w:snapToGrid w:val="0"/>
        <w:spacing w:before="156" w:beforeLines="50"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以2021年为计算基准年，盐池县总人口为17.28万，总面积为852220hm</w:t>
      </w:r>
      <w:r>
        <w:rPr>
          <w:rFonts w:hint="eastAsia" w:ascii="仿宋_GB2312" w:hAnsi="黑体" w:eastAsia="仿宋_GB2312"/>
          <w:sz w:val="28"/>
          <w:szCs w:val="28"/>
          <w:vertAlign w:val="superscript"/>
        </w:rPr>
        <w:t>2</w:t>
      </w:r>
      <w:r>
        <w:rPr>
          <w:rFonts w:hint="eastAsia" w:ascii="仿宋_GB2312" w:hAnsi="黑体" w:eastAsia="仿宋_GB2312"/>
          <w:sz w:val="28"/>
          <w:szCs w:val="28"/>
        </w:rPr>
        <w:t>，全年实现地区生产总值1629790万元。则生态足迹计算结果见表6-12。</w:t>
      </w: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adjustRightInd w:val="0"/>
        <w:snapToGrid w:val="0"/>
        <w:jc w:val="center"/>
        <w:rPr>
          <w:rFonts w:ascii="仿宋_GB2312" w:hAnsi="黑体" w:eastAsia="仿宋_GB2312"/>
          <w:sz w:val="28"/>
          <w:szCs w:val="28"/>
        </w:rPr>
      </w:pPr>
      <w:r>
        <w:rPr>
          <w:rFonts w:hint="eastAsia" w:ascii="仿宋_GB2312" w:hAnsi="黑体" w:eastAsia="仿宋_GB2312"/>
          <w:sz w:val="28"/>
          <w:szCs w:val="28"/>
        </w:rPr>
        <w:t>表6-12 盐池县现状年生态足迹计算结果</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1971"/>
        <w:gridCol w:w="1316"/>
        <w:gridCol w:w="1761"/>
        <w:gridCol w:w="1316"/>
        <w:gridCol w:w="1046"/>
        <w:gridCol w:w="1046"/>
        <w:gridCol w:w="1562"/>
        <w:gridCol w:w="1141"/>
        <w:gridCol w:w="14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土地类型</w:t>
            </w:r>
          </w:p>
        </w:tc>
        <w:tc>
          <w:tcPr>
            <w:tcW w:w="722"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资源类型</w:t>
            </w:r>
          </w:p>
        </w:tc>
        <w:tc>
          <w:tcPr>
            <w:tcW w:w="482"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消费量（10</w:t>
            </w:r>
            <w:r>
              <w:rPr>
                <w:rFonts w:ascii="Times New Roman" w:hAnsi="Times New Roman" w:cs="Times New Roman"/>
                <w:b/>
                <w:sz w:val="18"/>
                <w:szCs w:val="18"/>
                <w:vertAlign w:val="superscript"/>
              </w:rPr>
              <w:t>4</w:t>
            </w:r>
            <w:r>
              <w:rPr>
                <w:rFonts w:ascii="Times New Roman" w:hAnsi="Times New Roman" w:cs="Times New Roman"/>
                <w:b/>
                <w:sz w:val="18"/>
                <w:szCs w:val="18"/>
              </w:rPr>
              <w:t>kg）</w:t>
            </w:r>
          </w:p>
        </w:tc>
        <w:tc>
          <w:tcPr>
            <w:tcW w:w="645"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平均产量（kg/hm</w:t>
            </w:r>
            <w:r>
              <w:rPr>
                <w:rFonts w:ascii="Times New Roman" w:hAnsi="Times New Roman" w:cs="Times New Roman"/>
                <w:b/>
                <w:sz w:val="18"/>
                <w:szCs w:val="18"/>
                <w:vertAlign w:val="superscript"/>
              </w:rPr>
              <w:t>2</w:t>
            </w:r>
            <w:r>
              <w:rPr>
                <w:rFonts w:ascii="Times New Roman" w:hAnsi="Times New Roman" w:cs="Times New Roman"/>
                <w:b/>
                <w:sz w:val="18"/>
                <w:szCs w:val="18"/>
              </w:rPr>
              <w:t>）</w:t>
            </w:r>
          </w:p>
        </w:tc>
        <w:tc>
          <w:tcPr>
            <w:tcW w:w="482"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毛生态足迹（hm</w:t>
            </w:r>
            <w:r>
              <w:rPr>
                <w:rFonts w:ascii="Times New Roman" w:hAnsi="Times New Roman" w:cs="Times New Roman"/>
                <w:b/>
                <w:sz w:val="18"/>
                <w:szCs w:val="18"/>
                <w:vertAlign w:val="superscript"/>
              </w:rPr>
              <w:t>2</w:t>
            </w:r>
            <w:r>
              <w:rPr>
                <w:rFonts w:ascii="Times New Roman" w:hAnsi="Times New Roman" w:cs="Times New Roman"/>
                <w:b/>
                <w:sz w:val="18"/>
                <w:szCs w:val="18"/>
              </w:rPr>
              <w:t>）</w:t>
            </w:r>
          </w:p>
        </w:tc>
        <w:tc>
          <w:tcPr>
            <w:tcW w:w="766" w:type="pct"/>
            <w:gridSpan w:val="2"/>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毛人均生态足迹</w:t>
            </w:r>
          </w:p>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（hm</w:t>
            </w:r>
            <w:r>
              <w:rPr>
                <w:rFonts w:ascii="Times New Roman" w:hAnsi="Times New Roman" w:cs="Times New Roman"/>
                <w:b/>
                <w:sz w:val="18"/>
                <w:szCs w:val="18"/>
                <w:vertAlign w:val="superscript"/>
              </w:rPr>
              <w:t>2</w:t>
            </w:r>
            <w:r>
              <w:rPr>
                <w:rFonts w:ascii="Times New Roman" w:hAnsi="Times New Roman" w:cs="Times New Roman"/>
                <w:b/>
                <w:sz w:val="18"/>
                <w:szCs w:val="18"/>
              </w:rPr>
              <w:t>/人）</w:t>
            </w:r>
          </w:p>
        </w:tc>
        <w:tc>
          <w:tcPr>
            <w:tcW w:w="572"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均衡因子（whm</w:t>
            </w:r>
            <w:r>
              <w:rPr>
                <w:rFonts w:ascii="Times New Roman" w:hAnsi="Times New Roman" w:cs="Times New Roman"/>
                <w:b/>
                <w:sz w:val="18"/>
                <w:szCs w:val="18"/>
                <w:vertAlign w:val="superscript"/>
              </w:rPr>
              <w:t>2</w:t>
            </w:r>
            <w:r>
              <w:rPr>
                <w:rFonts w:ascii="Times New Roman" w:hAnsi="Times New Roman" w:cs="Times New Roman"/>
                <w:b/>
                <w:sz w:val="18"/>
                <w:szCs w:val="18"/>
              </w:rPr>
              <w:t>/hm</w:t>
            </w:r>
            <w:r>
              <w:rPr>
                <w:rFonts w:ascii="Times New Roman" w:hAnsi="Times New Roman" w:cs="Times New Roman"/>
                <w:b/>
                <w:sz w:val="18"/>
                <w:szCs w:val="18"/>
                <w:vertAlign w:val="superscript"/>
              </w:rPr>
              <w:t>2</w:t>
            </w:r>
            <w:r>
              <w:rPr>
                <w:rFonts w:ascii="Times New Roman" w:hAnsi="Times New Roman" w:cs="Times New Roman"/>
                <w:b/>
                <w:sz w:val="18"/>
                <w:szCs w:val="18"/>
              </w:rPr>
              <w:t>）</w:t>
            </w:r>
          </w:p>
        </w:tc>
        <w:tc>
          <w:tcPr>
            <w:tcW w:w="41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均衡后总生态足迹（whm</w:t>
            </w:r>
            <w:r>
              <w:rPr>
                <w:rFonts w:ascii="Times New Roman" w:hAnsi="Times New Roman" w:cs="Times New Roman"/>
                <w:b/>
                <w:sz w:val="18"/>
                <w:szCs w:val="18"/>
                <w:vertAlign w:val="superscript"/>
              </w:rPr>
              <w:t>2</w:t>
            </w:r>
            <w:r>
              <w:rPr>
                <w:rFonts w:ascii="Times New Roman" w:hAnsi="Times New Roman" w:cs="Times New Roman"/>
                <w:b/>
                <w:sz w:val="18"/>
                <w:szCs w:val="18"/>
              </w:rPr>
              <w:t>）</w:t>
            </w:r>
          </w:p>
        </w:tc>
        <w:tc>
          <w:tcPr>
            <w:tcW w:w="515"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均衡后人均生态足迹</w:t>
            </w:r>
          </w:p>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（whm</w:t>
            </w:r>
            <w:r>
              <w:rPr>
                <w:rFonts w:ascii="Times New Roman" w:hAnsi="Times New Roman" w:cs="Times New Roman"/>
                <w:b/>
                <w:sz w:val="18"/>
                <w:szCs w:val="18"/>
                <w:vertAlign w:val="superscript"/>
              </w:rPr>
              <w:t>2</w:t>
            </w:r>
            <w:r>
              <w:rPr>
                <w:rFonts w:ascii="Times New Roman" w:hAnsi="Times New Roman" w:cs="Times New Roman"/>
                <w:b/>
                <w:sz w:val="18"/>
                <w:szCs w:val="18"/>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Merge w:val="continue"/>
            <w:vAlign w:val="center"/>
          </w:tcPr>
          <w:p>
            <w:pPr>
              <w:adjustRightInd w:val="0"/>
              <w:snapToGrid w:val="0"/>
              <w:jc w:val="center"/>
              <w:rPr>
                <w:rFonts w:ascii="Times New Roman" w:hAnsi="Times New Roman" w:cs="Times New Roman"/>
                <w:b/>
                <w:sz w:val="18"/>
                <w:szCs w:val="18"/>
              </w:rPr>
            </w:pPr>
          </w:p>
        </w:tc>
        <w:tc>
          <w:tcPr>
            <w:tcW w:w="482" w:type="pct"/>
            <w:vMerge w:val="continue"/>
            <w:vAlign w:val="center"/>
          </w:tcPr>
          <w:p>
            <w:pPr>
              <w:adjustRightInd w:val="0"/>
              <w:snapToGrid w:val="0"/>
              <w:jc w:val="center"/>
              <w:rPr>
                <w:rFonts w:ascii="Times New Roman" w:hAnsi="Times New Roman" w:cs="Times New Roman"/>
                <w:b/>
                <w:sz w:val="18"/>
                <w:szCs w:val="18"/>
              </w:rPr>
            </w:pPr>
          </w:p>
        </w:tc>
        <w:tc>
          <w:tcPr>
            <w:tcW w:w="645" w:type="pct"/>
            <w:vMerge w:val="continue"/>
            <w:vAlign w:val="center"/>
          </w:tcPr>
          <w:p>
            <w:pPr>
              <w:adjustRightInd w:val="0"/>
              <w:snapToGrid w:val="0"/>
              <w:jc w:val="center"/>
              <w:rPr>
                <w:rFonts w:ascii="Times New Roman" w:hAnsi="Times New Roman" w:cs="Times New Roman"/>
                <w:b/>
                <w:sz w:val="18"/>
                <w:szCs w:val="18"/>
              </w:rPr>
            </w:pPr>
          </w:p>
        </w:tc>
        <w:tc>
          <w:tcPr>
            <w:tcW w:w="482" w:type="pct"/>
            <w:vMerge w:val="continue"/>
            <w:vAlign w:val="center"/>
          </w:tcPr>
          <w:p>
            <w:pPr>
              <w:adjustRightInd w:val="0"/>
              <w:snapToGrid w:val="0"/>
              <w:jc w:val="center"/>
              <w:rPr>
                <w:rFonts w:ascii="Times New Roman" w:hAnsi="Times New Roman" w:cs="Times New Roman"/>
                <w:b/>
                <w:sz w:val="18"/>
                <w:szCs w:val="18"/>
              </w:rPr>
            </w:pPr>
          </w:p>
        </w:tc>
        <w:tc>
          <w:tcPr>
            <w:tcW w:w="383"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细目</w:t>
            </w:r>
          </w:p>
        </w:tc>
        <w:tc>
          <w:tcPr>
            <w:tcW w:w="383"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小计</w:t>
            </w:r>
          </w:p>
        </w:tc>
        <w:tc>
          <w:tcPr>
            <w:tcW w:w="572" w:type="pct"/>
            <w:vMerge w:val="continue"/>
            <w:vAlign w:val="center"/>
          </w:tcPr>
          <w:p>
            <w:pPr>
              <w:adjustRightInd w:val="0"/>
              <w:snapToGrid w:val="0"/>
              <w:jc w:val="center"/>
              <w:rPr>
                <w:rFonts w:ascii="Times New Roman" w:hAnsi="Times New Roman" w:cs="Times New Roman"/>
                <w:b/>
                <w:sz w:val="18"/>
                <w:szCs w:val="18"/>
              </w:rPr>
            </w:pPr>
          </w:p>
        </w:tc>
        <w:tc>
          <w:tcPr>
            <w:tcW w:w="418" w:type="pct"/>
            <w:vMerge w:val="continue"/>
            <w:vAlign w:val="center"/>
          </w:tcPr>
          <w:p>
            <w:pPr>
              <w:adjustRightInd w:val="0"/>
              <w:snapToGrid w:val="0"/>
              <w:jc w:val="center"/>
              <w:rPr>
                <w:rFonts w:ascii="Times New Roman" w:hAnsi="Times New Roman" w:cs="Times New Roman"/>
                <w:b/>
                <w:sz w:val="18"/>
                <w:szCs w:val="18"/>
              </w:rPr>
            </w:pPr>
          </w:p>
        </w:tc>
        <w:tc>
          <w:tcPr>
            <w:tcW w:w="515" w:type="pct"/>
            <w:vMerge w:val="continue"/>
            <w:vAlign w:val="center"/>
          </w:tcPr>
          <w:p>
            <w:pPr>
              <w:adjustRightInd w:val="0"/>
              <w:snapToGrid w:val="0"/>
              <w:jc w:val="center"/>
              <w:rPr>
                <w:rFonts w:ascii="Times New Roman" w:hAnsi="Times New Roman" w:cs="Times New Roman"/>
                <w:b/>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耕地</w:t>
            </w:r>
          </w:p>
        </w:tc>
        <w:tc>
          <w:tcPr>
            <w:tcW w:w="722" w:type="pct"/>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粮食（小麦、稻谷、玉米、其他谷物；红薯、马铃薯等薯类及大豆等豆类）</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1947.98</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3168</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6149</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0.0355</w:t>
            </w:r>
          </w:p>
        </w:tc>
        <w:tc>
          <w:tcPr>
            <w:tcW w:w="383"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0.2304</w:t>
            </w:r>
          </w:p>
        </w:tc>
        <w:tc>
          <w:tcPr>
            <w:tcW w:w="572"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10.139</w:t>
            </w:r>
          </w:p>
        </w:tc>
        <w:tc>
          <w:tcPr>
            <w:tcW w:w="418"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419309</w:t>
            </w:r>
          </w:p>
        </w:tc>
        <w:tc>
          <w:tcPr>
            <w:tcW w:w="515"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2.4237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鲜菜</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1496.45</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20700</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723</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0.0042</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植物油、动物油</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112.45</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495</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2272</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0.0131</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猪肉</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211.06</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85</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24831</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0.1435</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家禽及其他肉禽</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145.32</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878</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1655</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0.0010</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鲜蛋及制品</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171.27</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460</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3724</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0.0215</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茶叶、酒类等</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57.09</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15778</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36</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0.0002</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干鲜瓜果类</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1302.69</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6900</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1888</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0.0109</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糖果糕点类</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44.98</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5746</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78</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0.0005</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牧草地</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牛羊肉</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217.98</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72660</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0.4200</w:t>
            </w:r>
          </w:p>
        </w:tc>
        <w:tc>
          <w:tcPr>
            <w:tcW w:w="383"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0.4483</w:t>
            </w:r>
          </w:p>
        </w:tc>
        <w:tc>
          <w:tcPr>
            <w:tcW w:w="572" w:type="pct"/>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0.0598</w:t>
            </w:r>
          </w:p>
        </w:tc>
        <w:tc>
          <w:tcPr>
            <w:tcW w:w="418"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4638</w:t>
            </w:r>
          </w:p>
        </w:tc>
        <w:tc>
          <w:tcPr>
            <w:tcW w:w="515"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0.0268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奶和奶制品</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245.66</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501</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4904</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0.0283</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林地</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木材（万m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0.05</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2.1m</w:t>
            </w:r>
            <w:r>
              <w:rPr>
                <w:rFonts w:ascii="Times New Roman" w:hAnsi="Times New Roman" w:cs="Times New Roman"/>
                <w:sz w:val="18"/>
                <w:szCs w:val="18"/>
                <w:vertAlign w:val="superscript"/>
              </w:rPr>
              <w:t>3</w:t>
            </w:r>
            <w:r>
              <w:rPr>
                <w:rFonts w:ascii="Times New Roman" w:hAnsi="Times New Roman" w:cs="Times New Roman"/>
                <w:sz w:val="18"/>
                <w:szCs w:val="18"/>
              </w:rPr>
              <w:t>/hm</w:t>
            </w:r>
            <w:r>
              <w:rPr>
                <w:rFonts w:ascii="Times New Roman" w:hAnsi="Times New Roman" w:cs="Times New Roman"/>
                <w:sz w:val="18"/>
                <w:szCs w:val="18"/>
                <w:vertAlign w:val="superscript"/>
              </w:rPr>
              <w:t>2</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238</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0.0014</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0.0014</w:t>
            </w:r>
          </w:p>
        </w:tc>
        <w:tc>
          <w:tcPr>
            <w:tcW w:w="572" w:type="pct"/>
            <w:vAlign w:val="center"/>
          </w:tcPr>
          <w:p>
            <w:pPr>
              <w:jc w:val="center"/>
              <w:rPr>
                <w:rFonts w:ascii="Times New Roman" w:hAnsi="Times New Roman" w:cs="Times New Roman"/>
                <w:sz w:val="18"/>
                <w:szCs w:val="18"/>
              </w:rPr>
            </w:pPr>
            <w:r>
              <w:rPr>
                <w:rFonts w:ascii="Times New Roman" w:hAnsi="Times New Roman" w:cs="Times New Roman"/>
                <w:sz w:val="18"/>
                <w:szCs w:val="18"/>
              </w:rPr>
              <w:t>0.0710</w:t>
            </w:r>
          </w:p>
        </w:tc>
        <w:tc>
          <w:tcPr>
            <w:tcW w:w="418"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17</w:t>
            </w:r>
          </w:p>
        </w:tc>
        <w:tc>
          <w:tcPr>
            <w:tcW w:w="515"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水域</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水产品类</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29.24</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68</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4300</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0.0249</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0.0249</w:t>
            </w:r>
          </w:p>
        </w:tc>
        <w:tc>
          <w:tcPr>
            <w:tcW w:w="572" w:type="pct"/>
            <w:vAlign w:val="center"/>
          </w:tcPr>
          <w:p>
            <w:pPr>
              <w:jc w:val="center"/>
              <w:rPr>
                <w:rFonts w:ascii="Times New Roman" w:hAnsi="Times New Roman" w:cs="Times New Roman"/>
                <w:sz w:val="18"/>
                <w:szCs w:val="18"/>
              </w:rPr>
            </w:pPr>
            <w:r>
              <w:rPr>
                <w:rFonts w:ascii="Times New Roman" w:hAnsi="Times New Roman" w:cs="Times New Roman"/>
                <w:sz w:val="18"/>
                <w:szCs w:val="18"/>
              </w:rPr>
              <w:t>0.4120</w:t>
            </w:r>
          </w:p>
        </w:tc>
        <w:tc>
          <w:tcPr>
            <w:tcW w:w="418"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1772</w:t>
            </w:r>
          </w:p>
        </w:tc>
        <w:tc>
          <w:tcPr>
            <w:tcW w:w="515"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建设用地</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电力</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2499316GJ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469GJ/ hm</w:t>
            </w:r>
            <w:r>
              <w:rPr>
                <w:rFonts w:ascii="Times New Roman" w:hAnsi="Times New Roman" w:cs="Times New Roman"/>
                <w:sz w:val="18"/>
                <w:szCs w:val="18"/>
                <w:vertAlign w:val="superscript"/>
              </w:rPr>
              <w:t>2</w:t>
            </w:r>
          </w:p>
        </w:tc>
        <w:tc>
          <w:tcPr>
            <w:tcW w:w="482" w:type="pct"/>
            <w:vAlign w:val="center"/>
          </w:tcPr>
          <w:p>
            <w:pPr>
              <w:jc w:val="center"/>
              <w:rPr>
                <w:rFonts w:ascii="Times New Roman" w:hAnsi="Times New Roman" w:cs="Times New Roman"/>
                <w:sz w:val="18"/>
                <w:szCs w:val="18"/>
              </w:rPr>
            </w:pPr>
            <w:r>
              <w:rPr>
                <w:rFonts w:ascii="Times New Roman" w:hAnsi="Times New Roman" w:cs="Times New Roman"/>
                <w:sz w:val="18"/>
                <w:szCs w:val="18"/>
              </w:rPr>
              <w:t>5329</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0.0308</w:t>
            </w:r>
          </w:p>
        </w:tc>
        <w:tc>
          <w:tcPr>
            <w:tcW w:w="383"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0.1644</w:t>
            </w:r>
          </w:p>
        </w:tc>
        <w:tc>
          <w:tcPr>
            <w:tcW w:w="572" w:type="pct"/>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10.139</w:t>
            </w:r>
          </w:p>
        </w:tc>
        <w:tc>
          <w:tcPr>
            <w:tcW w:w="418"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288364</w:t>
            </w:r>
          </w:p>
        </w:tc>
        <w:tc>
          <w:tcPr>
            <w:tcW w:w="515"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1.6670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热力</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9729632GJ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421GJ/ hm</w:t>
            </w:r>
            <w:r>
              <w:rPr>
                <w:rFonts w:ascii="Times New Roman" w:hAnsi="Times New Roman" w:cs="Times New Roman"/>
                <w:sz w:val="18"/>
                <w:szCs w:val="18"/>
                <w:vertAlign w:val="superscript"/>
              </w:rPr>
              <w:t>2</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23112</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0.1336</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化石能源用地</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原煤、洗精煤、焦炭等</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2579894GJ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29GJ/ hm</w:t>
            </w:r>
            <w:r>
              <w:rPr>
                <w:rFonts w:ascii="Times New Roman" w:hAnsi="Times New Roman" w:cs="Times New Roman"/>
                <w:sz w:val="18"/>
                <w:szCs w:val="18"/>
                <w:vertAlign w:val="superscript"/>
              </w:rPr>
              <w:t>2</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88962</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0.5142</w:t>
            </w:r>
          </w:p>
        </w:tc>
        <w:tc>
          <w:tcPr>
            <w:tcW w:w="383"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0.9877</w:t>
            </w:r>
          </w:p>
        </w:tc>
        <w:tc>
          <w:tcPr>
            <w:tcW w:w="572"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0.0710</w:t>
            </w:r>
          </w:p>
        </w:tc>
        <w:tc>
          <w:tcPr>
            <w:tcW w:w="418"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12134</w:t>
            </w:r>
          </w:p>
        </w:tc>
        <w:tc>
          <w:tcPr>
            <w:tcW w:w="515"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0.0701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汽油、煤油、柴油、燃料油等</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1374850GJ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46GJ/ hm</w:t>
            </w:r>
            <w:r>
              <w:rPr>
                <w:rFonts w:ascii="Times New Roman" w:hAnsi="Times New Roman" w:cs="Times New Roman"/>
                <w:sz w:val="18"/>
                <w:szCs w:val="18"/>
                <w:vertAlign w:val="superscript"/>
              </w:rPr>
              <w:t>2</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29888</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0.1727</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天然气等液化石油气</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1769697GJ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34GJ/ hm</w:t>
            </w:r>
            <w:r>
              <w:rPr>
                <w:rFonts w:ascii="Times New Roman" w:hAnsi="Times New Roman" w:cs="Times New Roman"/>
                <w:sz w:val="18"/>
                <w:szCs w:val="18"/>
                <w:vertAlign w:val="superscript"/>
              </w:rPr>
              <w:t>2</w:t>
            </w:r>
          </w:p>
        </w:tc>
        <w:tc>
          <w:tcPr>
            <w:tcW w:w="48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52049</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0.3008</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总计</w:t>
            </w:r>
          </w:p>
        </w:tc>
        <w:tc>
          <w:tcPr>
            <w:tcW w:w="4602" w:type="pct"/>
            <w:gridSpan w:val="9"/>
            <w:vAlign w:val="center"/>
          </w:tcPr>
          <w:p>
            <w:pPr>
              <w:adjustRightInd w:val="0"/>
              <w:snapToGrid w:val="0"/>
              <w:jc w:val="center"/>
              <w:rPr>
                <w:rFonts w:ascii="Times New Roman" w:hAnsi="Times New Roman" w:cs="Times New Roman"/>
                <w:i/>
                <w:szCs w:val="21"/>
              </w:rPr>
            </w:pPr>
            <w:r>
              <w:rPr>
                <w:rFonts w:ascii="Times New Roman" w:hAnsi="Times New Roman" w:cs="Times New Roman"/>
                <w:i/>
                <w:szCs w:val="21"/>
              </w:rPr>
              <w:t>EF=</w:t>
            </w:r>
            <w:r>
              <w:rPr>
                <w:rFonts w:hint="eastAsia" w:ascii="Times New Roman" w:hAnsi="Times New Roman" w:cs="Times New Roman"/>
                <w:i/>
                <w:szCs w:val="21"/>
              </w:rPr>
              <w:t>726392；</w:t>
            </w:r>
            <w:r>
              <w:rPr>
                <w:rFonts w:ascii="Times New Roman" w:hAnsi="Times New Roman" w:cs="Times New Roman"/>
                <w:i/>
                <w:szCs w:val="21"/>
              </w:rPr>
              <w:t>ef=</w:t>
            </w:r>
            <w:r>
              <w:rPr>
                <w:rFonts w:hint="eastAsia" w:ascii="Times New Roman" w:hAnsi="Times New Roman" w:cs="Times New Roman"/>
                <w:i/>
                <w:szCs w:val="21"/>
              </w:rPr>
              <w:t>4.1988</w:t>
            </w:r>
          </w:p>
        </w:tc>
      </w:tr>
    </w:tbl>
    <w:p>
      <w:pPr>
        <w:adjustRightInd w:val="0"/>
        <w:snapToGrid w:val="0"/>
        <w:spacing w:line="360" w:lineRule="auto"/>
        <w:ind w:firstLine="560" w:firstLineChars="200"/>
        <w:rPr>
          <w:rFonts w:ascii="仿宋_GB2312" w:hAnsi="黑体" w:eastAsia="仿宋_GB2312"/>
          <w:sz w:val="28"/>
          <w:szCs w:val="28"/>
        </w:rPr>
      </w:pPr>
    </w:p>
    <w:p>
      <w:pPr>
        <w:adjustRightInd w:val="0"/>
        <w:snapToGrid w:val="0"/>
        <w:spacing w:line="360" w:lineRule="auto"/>
        <w:ind w:firstLine="560" w:firstLineChars="200"/>
        <w:rPr>
          <w:rFonts w:ascii="仿宋_GB2312" w:hAnsi="黑体" w:eastAsia="仿宋_GB2312"/>
          <w:sz w:val="28"/>
          <w:szCs w:val="28"/>
        </w:rPr>
        <w:sectPr>
          <w:pgSz w:w="16838" w:h="11906" w:orient="landscape"/>
          <w:pgMar w:top="1701" w:right="1701" w:bottom="1701" w:left="1701" w:header="851" w:footer="992" w:gutter="0"/>
          <w:cols w:space="425" w:num="1"/>
          <w:docGrid w:type="lines" w:linePitch="312" w:charSpace="0"/>
        </w:sectPr>
      </w:pP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（2）生态承载力计算</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由表6-11和表6-12中数据，即可计算得到盐池县调整后的生态承载力，具体见表6-13。</w:t>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表6-13  盐池县承载力计算结果</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44"/>
        <w:gridCol w:w="1744"/>
        <w:gridCol w:w="1744"/>
        <w:gridCol w:w="1744"/>
        <w:gridCol w:w="1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rPr>
            </w:pPr>
            <w:r>
              <w:rPr>
                <w:rFonts w:ascii="Times New Roman" w:hAnsi="Times New Roman" w:cs="Times New Roman"/>
                <w:b/>
              </w:rPr>
              <w:t>土地类型</w:t>
            </w:r>
          </w:p>
        </w:tc>
        <w:tc>
          <w:tcPr>
            <w:tcW w:w="1744" w:type="dxa"/>
            <w:vAlign w:val="center"/>
          </w:tcPr>
          <w:p>
            <w:pPr>
              <w:jc w:val="center"/>
              <w:rPr>
                <w:rFonts w:ascii="Times New Roman" w:hAnsi="Times New Roman" w:cs="Times New Roman"/>
                <w:b/>
              </w:rPr>
            </w:pPr>
            <w:r>
              <w:rPr>
                <w:rFonts w:ascii="Times New Roman" w:hAnsi="Times New Roman" w:cs="Times New Roman"/>
                <w:b/>
              </w:rPr>
              <w:t>人均土地面积（</w:t>
            </w:r>
            <w:r>
              <w:rPr>
                <w:rFonts w:hint="eastAsia" w:ascii="Times New Roman" w:hAnsi="Times New Roman" w:cs="Times New Roman"/>
                <w:b/>
              </w:rPr>
              <w:t>hm</w:t>
            </w:r>
            <w:r>
              <w:rPr>
                <w:rFonts w:hint="eastAsia" w:ascii="Times New Roman" w:hAnsi="Times New Roman" w:cs="Times New Roman"/>
                <w:b/>
                <w:vertAlign w:val="superscript"/>
              </w:rPr>
              <w:t>2</w:t>
            </w:r>
            <w:r>
              <w:rPr>
                <w:rFonts w:hint="eastAsia" w:ascii="Times New Roman" w:hAnsi="Times New Roman" w:cs="Times New Roman"/>
                <w:b/>
              </w:rPr>
              <w:t>/人</w:t>
            </w:r>
            <w:r>
              <w:rPr>
                <w:rFonts w:ascii="Times New Roman" w:hAnsi="Times New Roman" w:cs="Times New Roman"/>
                <w:b/>
              </w:rPr>
              <w:t>）</w:t>
            </w:r>
          </w:p>
        </w:tc>
        <w:tc>
          <w:tcPr>
            <w:tcW w:w="1744" w:type="dxa"/>
            <w:vAlign w:val="center"/>
          </w:tcPr>
          <w:p>
            <w:pPr>
              <w:jc w:val="center"/>
              <w:rPr>
                <w:rFonts w:ascii="Times New Roman" w:hAnsi="Times New Roman" w:cs="Times New Roman"/>
                <w:b/>
              </w:rPr>
            </w:pPr>
            <w:r>
              <w:rPr>
                <w:rFonts w:ascii="Times New Roman" w:hAnsi="Times New Roman" w:cs="Times New Roman"/>
                <w:b/>
              </w:rPr>
              <w:t>均衡因子（whm</w:t>
            </w:r>
            <w:r>
              <w:rPr>
                <w:rFonts w:ascii="Times New Roman" w:hAnsi="Times New Roman" w:cs="Times New Roman"/>
                <w:b/>
                <w:vertAlign w:val="superscript"/>
              </w:rPr>
              <w:t>2</w:t>
            </w:r>
            <w:r>
              <w:rPr>
                <w:rFonts w:ascii="Times New Roman" w:hAnsi="Times New Roman" w:cs="Times New Roman"/>
                <w:b/>
              </w:rPr>
              <w:t>/hm</w:t>
            </w:r>
            <w:r>
              <w:rPr>
                <w:rFonts w:hint="eastAsia" w:ascii="Times New Roman" w:hAnsi="Times New Roman" w:cs="Times New Roman"/>
                <w:b/>
                <w:vertAlign w:val="superscript"/>
              </w:rPr>
              <w:t>2</w:t>
            </w:r>
            <w:r>
              <w:rPr>
                <w:rFonts w:ascii="Times New Roman" w:hAnsi="Times New Roman" w:cs="Times New Roman"/>
                <w:b/>
              </w:rPr>
              <w:t>）</w:t>
            </w:r>
          </w:p>
        </w:tc>
        <w:tc>
          <w:tcPr>
            <w:tcW w:w="1744" w:type="dxa"/>
            <w:vAlign w:val="center"/>
          </w:tcPr>
          <w:p>
            <w:pPr>
              <w:jc w:val="center"/>
              <w:rPr>
                <w:rFonts w:ascii="Times New Roman" w:hAnsi="Times New Roman" w:cs="Times New Roman"/>
                <w:b/>
              </w:rPr>
            </w:pPr>
            <w:r>
              <w:rPr>
                <w:rFonts w:ascii="Times New Roman" w:hAnsi="Times New Roman" w:cs="Times New Roman"/>
                <w:b/>
              </w:rPr>
              <w:t>产量因子</w:t>
            </w:r>
          </w:p>
        </w:tc>
        <w:tc>
          <w:tcPr>
            <w:tcW w:w="1744" w:type="dxa"/>
            <w:vAlign w:val="center"/>
          </w:tcPr>
          <w:p>
            <w:pPr>
              <w:jc w:val="center"/>
              <w:rPr>
                <w:rFonts w:ascii="Times New Roman" w:hAnsi="Times New Roman" w:cs="Times New Roman"/>
                <w:b/>
              </w:rPr>
            </w:pPr>
            <w:r>
              <w:rPr>
                <w:rFonts w:ascii="Times New Roman" w:hAnsi="Times New Roman" w:cs="Times New Roman"/>
                <w:b/>
              </w:rPr>
              <w:t>人均生态承载力（</w:t>
            </w:r>
            <w:r>
              <w:rPr>
                <w:rFonts w:hint="eastAsia" w:ascii="Times New Roman" w:hAnsi="Times New Roman" w:cs="Times New Roman"/>
                <w:b/>
              </w:rPr>
              <w:t>whm</w:t>
            </w:r>
            <w:r>
              <w:rPr>
                <w:rFonts w:hint="eastAsia" w:ascii="Times New Roman" w:hAnsi="Times New Roman" w:cs="Times New Roman"/>
                <w:b/>
                <w:vertAlign w:val="superscript"/>
              </w:rPr>
              <w:t>2</w:t>
            </w:r>
            <w:r>
              <w:rPr>
                <w:rFonts w:hint="eastAsia" w:ascii="Times New Roman" w:hAnsi="Times New Roman" w:cs="Times New Roman"/>
                <w:b/>
              </w:rPr>
              <w:t>/人</w:t>
            </w:r>
            <w:r>
              <w:rPr>
                <w:rFonts w:ascii="Times New Roman" w:hAnsi="Times New Roman" w:cs="Times New Roman"/>
                <w:b/>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rPr>
            </w:pPr>
            <w:r>
              <w:rPr>
                <w:rFonts w:ascii="Times New Roman" w:hAnsi="Times New Roman" w:cs="Times New Roman"/>
                <w:b/>
              </w:rPr>
              <w:t>耕地</w:t>
            </w:r>
          </w:p>
        </w:tc>
        <w:tc>
          <w:tcPr>
            <w:tcW w:w="1744" w:type="dxa"/>
            <w:vAlign w:val="center"/>
          </w:tcPr>
          <w:p>
            <w:pPr>
              <w:jc w:val="center"/>
              <w:rPr>
                <w:rFonts w:ascii="Times New Roman" w:hAnsi="Times New Roman" w:cs="Times New Roman"/>
              </w:rPr>
            </w:pPr>
            <w:r>
              <w:rPr>
                <w:rFonts w:hint="eastAsia" w:ascii="Times New Roman" w:hAnsi="Times New Roman" w:cs="Times New Roman"/>
              </w:rPr>
              <w:t>0.6353</w:t>
            </w:r>
          </w:p>
        </w:tc>
        <w:tc>
          <w:tcPr>
            <w:tcW w:w="1744" w:type="dxa"/>
            <w:vAlign w:val="center"/>
          </w:tcPr>
          <w:p>
            <w:pPr>
              <w:jc w:val="center"/>
              <w:rPr>
                <w:rFonts w:ascii="Times New Roman" w:hAnsi="Times New Roman" w:cs="Times New Roman"/>
              </w:rPr>
            </w:pPr>
            <w:r>
              <w:rPr>
                <w:rFonts w:ascii="Times New Roman" w:hAnsi="Times New Roman" w:cs="Times New Roman"/>
              </w:rPr>
              <w:t>10.139</w:t>
            </w:r>
          </w:p>
        </w:tc>
        <w:tc>
          <w:tcPr>
            <w:tcW w:w="1744" w:type="dxa"/>
            <w:vAlign w:val="center"/>
          </w:tcPr>
          <w:p>
            <w:pPr>
              <w:jc w:val="center"/>
              <w:rPr>
                <w:rFonts w:ascii="Times New Roman" w:hAnsi="Times New Roman" w:cs="Times New Roman"/>
              </w:rPr>
            </w:pPr>
            <w:r>
              <w:rPr>
                <w:rFonts w:ascii="Times New Roman" w:hAnsi="Times New Roman" w:cs="Times New Roman"/>
              </w:rPr>
              <w:t>0.758</w:t>
            </w:r>
          </w:p>
        </w:tc>
        <w:tc>
          <w:tcPr>
            <w:tcW w:w="1744" w:type="dxa"/>
            <w:vAlign w:val="center"/>
          </w:tcPr>
          <w:p>
            <w:pPr>
              <w:jc w:val="center"/>
              <w:rPr>
                <w:rFonts w:ascii="Times New Roman" w:hAnsi="Times New Roman" w:cs="Times New Roman"/>
              </w:rPr>
            </w:pPr>
            <w:r>
              <w:rPr>
                <w:rFonts w:hint="eastAsia" w:ascii="Times New Roman" w:hAnsi="Times New Roman" w:cs="Times New Roman"/>
              </w:rPr>
              <w:t>4.8825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rPr>
            </w:pPr>
            <w:r>
              <w:rPr>
                <w:rFonts w:ascii="Times New Roman" w:hAnsi="Times New Roman" w:cs="Times New Roman"/>
                <w:b/>
              </w:rPr>
              <w:t>牧草地</w:t>
            </w:r>
          </w:p>
        </w:tc>
        <w:tc>
          <w:tcPr>
            <w:tcW w:w="1744" w:type="dxa"/>
            <w:vAlign w:val="center"/>
          </w:tcPr>
          <w:p>
            <w:pPr>
              <w:jc w:val="center"/>
              <w:rPr>
                <w:rFonts w:ascii="Times New Roman" w:hAnsi="Times New Roman" w:cs="Times New Roman"/>
              </w:rPr>
            </w:pPr>
            <w:r>
              <w:rPr>
                <w:rFonts w:hint="eastAsia" w:ascii="Times New Roman" w:hAnsi="Times New Roman" w:cs="Times New Roman"/>
              </w:rPr>
              <w:t>1.8321</w:t>
            </w:r>
          </w:p>
        </w:tc>
        <w:tc>
          <w:tcPr>
            <w:tcW w:w="1744" w:type="dxa"/>
            <w:vAlign w:val="center"/>
          </w:tcPr>
          <w:p>
            <w:pPr>
              <w:jc w:val="center"/>
              <w:rPr>
                <w:rFonts w:ascii="Times New Roman" w:hAnsi="Times New Roman" w:cs="Times New Roman"/>
              </w:rPr>
            </w:pPr>
            <w:r>
              <w:rPr>
                <w:rFonts w:ascii="Times New Roman" w:hAnsi="Times New Roman" w:cs="Times New Roman"/>
              </w:rPr>
              <w:t>0.0598</w:t>
            </w:r>
          </w:p>
        </w:tc>
        <w:tc>
          <w:tcPr>
            <w:tcW w:w="1744" w:type="dxa"/>
            <w:vAlign w:val="center"/>
          </w:tcPr>
          <w:p>
            <w:pPr>
              <w:jc w:val="center"/>
              <w:rPr>
                <w:rFonts w:ascii="Times New Roman" w:hAnsi="Times New Roman" w:cs="Times New Roman"/>
              </w:rPr>
            </w:pPr>
            <w:r>
              <w:rPr>
                <w:rFonts w:ascii="Times New Roman" w:hAnsi="Times New Roman" w:cs="Times New Roman"/>
              </w:rPr>
              <w:t>4.536</w:t>
            </w:r>
          </w:p>
        </w:tc>
        <w:tc>
          <w:tcPr>
            <w:tcW w:w="1744" w:type="dxa"/>
            <w:vAlign w:val="center"/>
          </w:tcPr>
          <w:p>
            <w:pPr>
              <w:jc w:val="center"/>
              <w:rPr>
                <w:rFonts w:ascii="Times New Roman" w:hAnsi="Times New Roman" w:cs="Times New Roman"/>
              </w:rPr>
            </w:pPr>
            <w:r>
              <w:rPr>
                <w:rFonts w:hint="eastAsia" w:ascii="Times New Roman" w:hAnsi="Times New Roman" w:cs="Times New Roman"/>
              </w:rPr>
              <w:t>0.4964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rPr>
            </w:pPr>
            <w:r>
              <w:rPr>
                <w:rFonts w:ascii="Times New Roman" w:hAnsi="Times New Roman" w:cs="Times New Roman"/>
                <w:b/>
              </w:rPr>
              <w:t>林地</w:t>
            </w:r>
          </w:p>
        </w:tc>
        <w:tc>
          <w:tcPr>
            <w:tcW w:w="1744" w:type="dxa"/>
            <w:vAlign w:val="center"/>
          </w:tcPr>
          <w:p>
            <w:pPr>
              <w:jc w:val="center"/>
              <w:rPr>
                <w:rFonts w:ascii="Times New Roman" w:hAnsi="Times New Roman" w:cs="Times New Roman"/>
              </w:rPr>
            </w:pPr>
            <w:r>
              <w:rPr>
                <w:rFonts w:hint="eastAsia" w:ascii="Times New Roman" w:hAnsi="Times New Roman" w:cs="Times New Roman"/>
              </w:rPr>
              <w:t>0.7931</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0.0710</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0.015</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rPr>
            </w:pPr>
            <w:r>
              <w:rPr>
                <w:rFonts w:ascii="Times New Roman" w:hAnsi="Times New Roman" w:cs="Times New Roman"/>
                <w:b/>
              </w:rPr>
              <w:t>水域</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0.0007</w:t>
            </w:r>
          </w:p>
        </w:tc>
        <w:tc>
          <w:tcPr>
            <w:tcW w:w="1744" w:type="dxa"/>
            <w:vAlign w:val="center"/>
          </w:tcPr>
          <w:p>
            <w:pPr>
              <w:jc w:val="center"/>
              <w:rPr>
                <w:rFonts w:ascii="Times New Roman" w:hAnsi="Times New Roman" w:cs="Times New Roman"/>
              </w:rPr>
            </w:pPr>
            <w:r>
              <w:rPr>
                <w:rFonts w:hint="eastAsia" w:ascii="Times New Roman" w:hAnsi="Times New Roman" w:cs="Times New Roman"/>
              </w:rPr>
              <w:t>0.4120</w:t>
            </w:r>
          </w:p>
        </w:tc>
        <w:tc>
          <w:tcPr>
            <w:tcW w:w="1744" w:type="dxa"/>
            <w:vAlign w:val="center"/>
          </w:tcPr>
          <w:p>
            <w:pPr>
              <w:jc w:val="center"/>
              <w:rPr>
                <w:rFonts w:ascii="Times New Roman" w:hAnsi="Times New Roman" w:cs="Times New Roman"/>
              </w:rPr>
            </w:pPr>
            <w:r>
              <w:rPr>
                <w:rFonts w:hint="eastAsia" w:ascii="Times New Roman" w:hAnsi="Times New Roman" w:cs="Times New Roman"/>
              </w:rPr>
              <w:t>0.6520</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rPr>
            </w:pPr>
            <w:r>
              <w:rPr>
                <w:rFonts w:ascii="Times New Roman" w:hAnsi="Times New Roman" w:cs="Times New Roman"/>
                <w:b/>
              </w:rPr>
              <w:t>建设用地</w:t>
            </w:r>
          </w:p>
        </w:tc>
        <w:tc>
          <w:tcPr>
            <w:tcW w:w="1744" w:type="dxa"/>
            <w:vAlign w:val="center"/>
          </w:tcPr>
          <w:p>
            <w:pPr>
              <w:jc w:val="center"/>
              <w:rPr>
                <w:rFonts w:ascii="Times New Roman" w:hAnsi="Times New Roman" w:cs="Times New Roman"/>
              </w:rPr>
            </w:pPr>
            <w:r>
              <w:rPr>
                <w:rFonts w:hint="eastAsia" w:ascii="Times New Roman" w:hAnsi="Times New Roman" w:cs="Times New Roman"/>
              </w:rPr>
              <w:t>0.1416</w:t>
            </w:r>
          </w:p>
        </w:tc>
        <w:tc>
          <w:tcPr>
            <w:tcW w:w="1744" w:type="dxa"/>
            <w:vAlign w:val="center"/>
          </w:tcPr>
          <w:p>
            <w:pPr>
              <w:jc w:val="center"/>
              <w:rPr>
                <w:rFonts w:ascii="Times New Roman" w:hAnsi="Times New Roman" w:cs="Times New Roman"/>
              </w:rPr>
            </w:pPr>
            <w:r>
              <w:rPr>
                <w:rFonts w:hint="eastAsia" w:ascii="Times New Roman" w:hAnsi="Times New Roman" w:cs="Times New Roman"/>
              </w:rPr>
              <w:t>10.139</w:t>
            </w:r>
          </w:p>
        </w:tc>
        <w:tc>
          <w:tcPr>
            <w:tcW w:w="1744" w:type="dxa"/>
            <w:vAlign w:val="center"/>
          </w:tcPr>
          <w:p>
            <w:pPr>
              <w:jc w:val="center"/>
              <w:rPr>
                <w:rFonts w:ascii="Times New Roman" w:hAnsi="Times New Roman" w:cs="Times New Roman"/>
              </w:rPr>
            </w:pPr>
            <w:r>
              <w:rPr>
                <w:rFonts w:hint="eastAsia" w:ascii="Times New Roman" w:hAnsi="Times New Roman" w:cs="Times New Roman"/>
              </w:rPr>
              <w:t>0.758</w:t>
            </w:r>
          </w:p>
        </w:tc>
        <w:tc>
          <w:tcPr>
            <w:tcW w:w="1744" w:type="dxa"/>
            <w:vAlign w:val="center"/>
          </w:tcPr>
          <w:p>
            <w:pPr>
              <w:jc w:val="center"/>
              <w:rPr>
                <w:rFonts w:ascii="Times New Roman" w:hAnsi="Times New Roman" w:cs="Times New Roman"/>
              </w:rPr>
            </w:pPr>
            <w:r>
              <w:rPr>
                <w:rFonts w:hint="eastAsia" w:ascii="Times New Roman" w:hAnsi="Times New Roman" w:cs="Times New Roman"/>
              </w:rPr>
              <w:t>1.088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rPr>
            </w:pPr>
            <w:r>
              <w:rPr>
                <w:rFonts w:ascii="Times New Roman" w:hAnsi="Times New Roman" w:cs="Times New Roman"/>
                <w:b/>
              </w:rPr>
              <w:t>化石能源用地</w:t>
            </w:r>
          </w:p>
        </w:tc>
        <w:tc>
          <w:tcPr>
            <w:tcW w:w="1744" w:type="dxa"/>
            <w:vAlign w:val="center"/>
          </w:tcPr>
          <w:p>
            <w:pPr>
              <w:jc w:val="center"/>
              <w:rPr>
                <w:rFonts w:ascii="Times New Roman" w:hAnsi="Times New Roman" w:cs="Times New Roman"/>
              </w:rPr>
            </w:pPr>
            <w:r>
              <w:rPr>
                <w:rFonts w:hint="eastAsia" w:ascii="Times New Roman" w:hAnsi="Times New Roman" w:cs="Times New Roman"/>
              </w:rPr>
              <w:t>/</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0.0710</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0.015</w:t>
            </w:r>
          </w:p>
        </w:tc>
        <w:tc>
          <w:tcPr>
            <w:tcW w:w="1744" w:type="dxa"/>
            <w:vAlign w:val="center"/>
          </w:tcPr>
          <w:p>
            <w:pPr>
              <w:jc w:val="center"/>
              <w:rPr>
                <w:rFonts w:ascii="Times New Roman" w:hAnsi="Times New Roman" w:cs="Times New Roman"/>
              </w:rPr>
            </w:pPr>
            <w:r>
              <w:rPr>
                <w:rFonts w:hint="eastAsia"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rPr>
            </w:pPr>
            <w:r>
              <w:rPr>
                <w:rFonts w:ascii="Times New Roman" w:hAnsi="Times New Roman" w:cs="Times New Roman"/>
                <w:b/>
              </w:rPr>
              <w:t>总计</w:t>
            </w:r>
          </w:p>
        </w:tc>
        <w:tc>
          <w:tcPr>
            <w:tcW w:w="1744" w:type="dxa"/>
            <w:vAlign w:val="center"/>
          </w:tcPr>
          <w:p>
            <w:pPr>
              <w:jc w:val="center"/>
              <w:rPr>
                <w:rFonts w:ascii="Times New Roman" w:hAnsi="Times New Roman" w:cs="Times New Roman"/>
              </w:rPr>
            </w:pPr>
          </w:p>
        </w:tc>
        <w:tc>
          <w:tcPr>
            <w:tcW w:w="1744" w:type="dxa"/>
            <w:vAlign w:val="center"/>
          </w:tcPr>
          <w:p>
            <w:pPr>
              <w:jc w:val="center"/>
              <w:rPr>
                <w:rFonts w:ascii="Times New Roman" w:hAnsi="Times New Roman" w:cs="Times New Roman"/>
              </w:rPr>
            </w:pPr>
          </w:p>
        </w:tc>
        <w:tc>
          <w:tcPr>
            <w:tcW w:w="1744" w:type="dxa"/>
            <w:vAlign w:val="center"/>
          </w:tcPr>
          <w:p>
            <w:pPr>
              <w:jc w:val="center"/>
              <w:rPr>
                <w:rFonts w:ascii="Times New Roman" w:hAnsi="Times New Roman" w:cs="Times New Roman"/>
              </w:rPr>
            </w:pPr>
          </w:p>
        </w:tc>
        <w:tc>
          <w:tcPr>
            <w:tcW w:w="1744" w:type="dxa"/>
            <w:vAlign w:val="center"/>
          </w:tcPr>
          <w:p>
            <w:pPr>
              <w:jc w:val="center"/>
              <w:rPr>
                <w:rFonts w:ascii="Times New Roman" w:hAnsi="Times New Roman" w:cs="Times New Roman"/>
              </w:rPr>
            </w:pPr>
            <w:r>
              <w:rPr>
                <w:rFonts w:hint="eastAsia" w:ascii="Times New Roman" w:hAnsi="Times New Roman" w:cs="Times New Roman"/>
              </w:rPr>
              <w:t>6.4679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44" w:type="dxa"/>
            <w:vAlign w:val="center"/>
          </w:tcPr>
          <w:p>
            <w:pPr>
              <w:jc w:val="center"/>
              <w:rPr>
                <w:rFonts w:ascii="Times New Roman" w:hAnsi="Times New Roman" w:cs="Times New Roman"/>
                <w:b/>
                <w:i/>
              </w:rPr>
            </w:pPr>
          </w:p>
        </w:tc>
        <w:tc>
          <w:tcPr>
            <w:tcW w:w="1744" w:type="dxa"/>
            <w:vAlign w:val="center"/>
          </w:tcPr>
          <w:p>
            <w:pPr>
              <w:jc w:val="center"/>
              <w:rPr>
                <w:rFonts w:ascii="Times New Roman" w:hAnsi="Times New Roman" w:cs="Times New Roman"/>
                <w:i/>
              </w:rPr>
            </w:pPr>
          </w:p>
        </w:tc>
        <w:tc>
          <w:tcPr>
            <w:tcW w:w="1744" w:type="dxa"/>
            <w:vAlign w:val="center"/>
          </w:tcPr>
          <w:p>
            <w:pPr>
              <w:jc w:val="center"/>
              <w:rPr>
                <w:rFonts w:ascii="Times New Roman" w:hAnsi="Times New Roman" w:cs="Times New Roman"/>
                <w:i/>
              </w:rPr>
            </w:pPr>
          </w:p>
        </w:tc>
        <w:tc>
          <w:tcPr>
            <w:tcW w:w="1744" w:type="dxa"/>
            <w:vAlign w:val="center"/>
          </w:tcPr>
          <w:p>
            <w:pPr>
              <w:jc w:val="center"/>
              <w:rPr>
                <w:rFonts w:ascii="Times New Roman" w:hAnsi="Times New Roman" w:cs="Times New Roman"/>
                <w:i/>
              </w:rPr>
            </w:pPr>
            <w:r>
              <w:rPr>
                <w:rFonts w:hint="eastAsia" w:ascii="Times New Roman" w:hAnsi="Times New Roman" w:cs="Times New Roman"/>
                <w:i/>
              </w:rPr>
              <w:t>EC=900579</w:t>
            </w:r>
          </w:p>
        </w:tc>
        <w:tc>
          <w:tcPr>
            <w:tcW w:w="1744" w:type="dxa"/>
            <w:vAlign w:val="center"/>
          </w:tcPr>
          <w:p>
            <w:pPr>
              <w:jc w:val="center"/>
              <w:rPr>
                <w:rFonts w:ascii="Times New Roman" w:hAnsi="Times New Roman" w:cs="Times New Roman"/>
                <w:i/>
              </w:rPr>
            </w:pPr>
            <w:r>
              <w:rPr>
                <w:rFonts w:hint="eastAsia" w:ascii="Times New Roman" w:hAnsi="Times New Roman" w:cs="Times New Roman"/>
                <w:i/>
              </w:rPr>
              <w:t>ec=5.6918</w:t>
            </w:r>
          </w:p>
        </w:tc>
      </w:tr>
    </w:tbl>
    <w:p>
      <w:pPr>
        <w:adjustRightInd w:val="0"/>
        <w:snapToGrid w:val="0"/>
        <w:spacing w:line="360" w:lineRule="auto"/>
        <w:ind w:firstLine="560" w:firstLineChars="200"/>
        <w:rPr>
          <w:rFonts w:ascii="仿宋_GB2312" w:hAnsi="黑体" w:eastAsia="仿宋_GB2312"/>
          <w:sz w:val="28"/>
          <w:szCs w:val="28"/>
        </w:rPr>
      </w:pP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综上，根据表中数据可知，2021年盐池县人均生态足迹需求（</w:t>
      </w:r>
      <w:r>
        <w:rPr>
          <w:rFonts w:hint="eastAsia" w:ascii="仿宋_GB2312" w:hAnsi="Times New Roman" w:eastAsia="仿宋_GB2312" w:cs="Times New Roman"/>
          <w:i/>
          <w:sz w:val="28"/>
          <w:szCs w:val="28"/>
        </w:rPr>
        <w:t>ef</w:t>
      </w:r>
      <w:r>
        <w:rPr>
          <w:rFonts w:hint="eastAsia" w:ascii="仿宋_GB2312" w:hAnsi="Times New Roman" w:eastAsia="仿宋_GB2312" w:cs="Times New Roman"/>
          <w:sz w:val="28"/>
          <w:szCs w:val="28"/>
        </w:rPr>
        <w:t>=4.1988</w:t>
      </w:r>
      <w:r>
        <w:rPr>
          <w:rFonts w:hint="eastAsia" w:ascii="仿宋_GB2312" w:hAnsi="黑体" w:eastAsia="仿宋_GB2312"/>
          <w:sz w:val="28"/>
          <w:szCs w:val="28"/>
        </w:rPr>
        <w:t>）小于人均生态承载力（</w:t>
      </w:r>
      <w:r>
        <w:rPr>
          <w:rFonts w:hint="eastAsia" w:ascii="仿宋_GB2312" w:hAnsi="Times New Roman" w:eastAsia="仿宋_GB2312" w:cs="Times New Roman"/>
          <w:i/>
          <w:sz w:val="28"/>
          <w:szCs w:val="28"/>
        </w:rPr>
        <w:t>ec</w:t>
      </w:r>
      <w:r>
        <w:rPr>
          <w:rFonts w:hint="eastAsia" w:ascii="仿宋_GB2312" w:hAnsi="Times New Roman" w:eastAsia="仿宋_GB2312" w:cs="Times New Roman"/>
          <w:sz w:val="28"/>
          <w:szCs w:val="28"/>
        </w:rPr>
        <w:t>=5.6918</w:t>
      </w:r>
      <w:r>
        <w:rPr>
          <w:rFonts w:hint="eastAsia" w:ascii="仿宋_GB2312" w:hAnsi="黑体" w:eastAsia="仿宋_GB2312"/>
          <w:sz w:val="28"/>
          <w:szCs w:val="28"/>
        </w:rPr>
        <w:t>）。盐池县总生态盈余</w:t>
      </w:r>
      <w:r>
        <w:rPr>
          <w:rFonts w:hint="eastAsia" w:ascii="仿宋_GB2312" w:hAnsi="Times New Roman" w:eastAsia="仿宋_GB2312" w:cs="Times New Roman"/>
          <w:i/>
          <w:sz w:val="28"/>
          <w:szCs w:val="28"/>
        </w:rPr>
        <w:t>ED=EF-EC</w:t>
      </w:r>
      <w:r>
        <w:rPr>
          <w:rFonts w:hint="eastAsia" w:ascii="仿宋_GB2312" w:hAnsi="Times New Roman" w:eastAsia="仿宋_GB2312" w:cs="Times New Roman"/>
          <w:sz w:val="28"/>
          <w:szCs w:val="28"/>
        </w:rPr>
        <w:t>=726392-984671=-258279。也即在现有技术经济条件下，盐池县具有一定的生态承载力。这是因为</w:t>
      </w:r>
      <w:r>
        <w:rPr>
          <w:rFonts w:hint="eastAsia" w:ascii="仿宋_GB2312" w:hAnsi="黑体" w:eastAsia="仿宋_GB2312"/>
          <w:sz w:val="28"/>
          <w:szCs w:val="28"/>
        </w:rPr>
        <w:t>全县森林覆盖率和草原综合植被盖度较高，且是宁夏国土面积最大的县域，因此人均生态承载力有一定盈余。</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预计到2025年，盐池县总人口达到17.98万，总面积为852220hm</w:t>
      </w:r>
      <w:r>
        <w:rPr>
          <w:rFonts w:hint="eastAsia" w:ascii="仿宋_GB2312" w:hAnsi="黑体" w:eastAsia="仿宋_GB2312"/>
          <w:sz w:val="28"/>
          <w:szCs w:val="28"/>
          <w:vertAlign w:val="superscript"/>
        </w:rPr>
        <w:t>2</w:t>
      </w:r>
      <w:r>
        <w:rPr>
          <w:rFonts w:hint="eastAsia" w:ascii="仿宋_GB2312" w:hAnsi="黑体" w:eastAsia="仿宋_GB2312"/>
          <w:sz w:val="28"/>
          <w:szCs w:val="28"/>
        </w:rPr>
        <w:t>，地区生产总值将达到221.73亿元。则盐池县2025年生态足迹及生态承载力计算结果分别见表6-4和表6-5。</w:t>
      </w:r>
    </w:p>
    <w:p>
      <w:pPr>
        <w:adjustRightInd w:val="0"/>
        <w:snapToGrid w:val="0"/>
        <w:spacing w:line="360" w:lineRule="auto"/>
        <w:ind w:firstLine="560" w:firstLineChars="200"/>
        <w:rPr>
          <w:rFonts w:ascii="仿宋_GB2312" w:hAnsi="Times New Roman" w:eastAsia="仿宋_GB2312" w:cs="Times New Roman"/>
          <w:sz w:val="28"/>
          <w:szCs w:val="28"/>
        </w:rPr>
        <w:sectPr>
          <w:pgSz w:w="11906" w:h="16838"/>
          <w:pgMar w:top="1701" w:right="1701" w:bottom="1701" w:left="1701" w:header="851" w:footer="992" w:gutter="0"/>
          <w:cols w:space="425" w:num="1"/>
          <w:docGrid w:type="lines" w:linePitch="312" w:charSpace="0"/>
        </w:sectPr>
      </w:pPr>
      <w:r>
        <w:rPr>
          <w:rFonts w:hint="eastAsia" w:ascii="仿宋_GB2312" w:hAnsi="黑体" w:eastAsia="仿宋_GB2312"/>
          <w:sz w:val="28"/>
          <w:szCs w:val="28"/>
        </w:rPr>
        <w:t>由表可知，到2025年盐池县人均生态足迹需求（</w:t>
      </w:r>
      <w:r>
        <w:rPr>
          <w:rFonts w:hint="eastAsia" w:ascii="仿宋_GB2312" w:hAnsi="Times New Roman" w:eastAsia="仿宋_GB2312" w:cs="Times New Roman"/>
          <w:i/>
          <w:sz w:val="28"/>
          <w:szCs w:val="28"/>
        </w:rPr>
        <w:t>ef</w:t>
      </w:r>
      <w:r>
        <w:rPr>
          <w:rFonts w:hint="eastAsia" w:ascii="仿宋_GB2312" w:hAnsi="Times New Roman" w:eastAsia="仿宋_GB2312" w:cs="Times New Roman"/>
          <w:sz w:val="28"/>
          <w:szCs w:val="28"/>
        </w:rPr>
        <w:t>=4.1852</w:t>
      </w:r>
      <w:r>
        <w:rPr>
          <w:rFonts w:hint="eastAsia" w:ascii="仿宋_GB2312" w:hAnsi="黑体" w:eastAsia="仿宋_GB2312"/>
          <w:sz w:val="28"/>
          <w:szCs w:val="28"/>
        </w:rPr>
        <w:t>）小于人均生态承载力（</w:t>
      </w:r>
      <w:r>
        <w:rPr>
          <w:rFonts w:hint="eastAsia" w:ascii="仿宋_GB2312" w:hAnsi="Times New Roman" w:eastAsia="仿宋_GB2312" w:cs="Times New Roman"/>
          <w:i/>
          <w:sz w:val="28"/>
          <w:szCs w:val="28"/>
        </w:rPr>
        <w:t>ec</w:t>
      </w:r>
      <w:r>
        <w:rPr>
          <w:rFonts w:hint="eastAsia" w:ascii="仿宋_GB2312" w:hAnsi="Times New Roman" w:eastAsia="仿宋_GB2312" w:cs="Times New Roman"/>
          <w:sz w:val="28"/>
          <w:szCs w:val="28"/>
        </w:rPr>
        <w:t>=5.4766</w:t>
      </w:r>
      <w:r>
        <w:rPr>
          <w:rFonts w:hint="eastAsia" w:ascii="仿宋_GB2312" w:hAnsi="黑体" w:eastAsia="仿宋_GB2312"/>
          <w:sz w:val="28"/>
          <w:szCs w:val="28"/>
        </w:rPr>
        <w:t>）。盐池县总生态盈余</w:t>
      </w:r>
      <w:r>
        <w:rPr>
          <w:rFonts w:hint="eastAsia" w:ascii="仿宋_GB2312" w:hAnsi="Times New Roman" w:eastAsia="仿宋_GB2312" w:cs="Times New Roman"/>
          <w:i/>
          <w:sz w:val="28"/>
          <w:szCs w:val="28"/>
        </w:rPr>
        <w:t>ED=EF-EC</w:t>
      </w:r>
      <w:r>
        <w:rPr>
          <w:rFonts w:hint="eastAsia" w:ascii="仿宋_GB2312" w:hAnsi="Times New Roman" w:eastAsia="仿宋_GB2312" w:cs="Times New Roman"/>
          <w:sz w:val="28"/>
          <w:szCs w:val="28"/>
        </w:rPr>
        <w:t>=747644-900579=-152935。也即达到2025年经济发展水平条件下，盐池县仍具有一定的生态承载力，但通过比较现状年和预测年计算结果发现，人均生态承载力呈明显降低趋势。</w:t>
      </w:r>
    </w:p>
    <w:p>
      <w:pPr>
        <w:adjustRightInd w:val="0"/>
        <w:snapToGrid w:val="0"/>
        <w:jc w:val="center"/>
        <w:rPr>
          <w:rFonts w:ascii="仿宋_GB2312" w:hAnsi="黑体" w:eastAsia="仿宋_GB2312"/>
          <w:sz w:val="28"/>
          <w:szCs w:val="28"/>
        </w:rPr>
      </w:pPr>
      <w:r>
        <w:rPr>
          <w:rFonts w:hint="eastAsia" w:ascii="仿宋_GB2312" w:hAnsi="黑体" w:eastAsia="仿宋_GB2312"/>
          <w:sz w:val="28"/>
          <w:szCs w:val="28"/>
        </w:rPr>
        <w:t>表6-14 盐池县预测年生态足迹计算结果</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1971"/>
        <w:gridCol w:w="1316"/>
        <w:gridCol w:w="1761"/>
        <w:gridCol w:w="1316"/>
        <w:gridCol w:w="1046"/>
        <w:gridCol w:w="1046"/>
        <w:gridCol w:w="1562"/>
        <w:gridCol w:w="1141"/>
        <w:gridCol w:w="14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土地类型</w:t>
            </w:r>
          </w:p>
        </w:tc>
        <w:tc>
          <w:tcPr>
            <w:tcW w:w="722"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资源类型</w:t>
            </w:r>
          </w:p>
        </w:tc>
        <w:tc>
          <w:tcPr>
            <w:tcW w:w="482"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消费量（10</w:t>
            </w:r>
            <w:r>
              <w:rPr>
                <w:rFonts w:ascii="Times New Roman" w:hAnsi="Times New Roman" w:cs="Times New Roman"/>
                <w:b/>
                <w:sz w:val="18"/>
                <w:szCs w:val="18"/>
                <w:vertAlign w:val="superscript"/>
              </w:rPr>
              <w:t>4</w:t>
            </w:r>
            <w:r>
              <w:rPr>
                <w:rFonts w:ascii="Times New Roman" w:hAnsi="Times New Roman" w:cs="Times New Roman"/>
                <w:b/>
                <w:sz w:val="18"/>
                <w:szCs w:val="18"/>
              </w:rPr>
              <w:t>kg）</w:t>
            </w:r>
          </w:p>
        </w:tc>
        <w:tc>
          <w:tcPr>
            <w:tcW w:w="645"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平均产量（kg/hm</w:t>
            </w:r>
            <w:r>
              <w:rPr>
                <w:rFonts w:ascii="Times New Roman" w:hAnsi="Times New Roman" w:cs="Times New Roman"/>
                <w:b/>
                <w:sz w:val="18"/>
                <w:szCs w:val="18"/>
                <w:vertAlign w:val="superscript"/>
              </w:rPr>
              <w:t>2</w:t>
            </w:r>
            <w:r>
              <w:rPr>
                <w:rFonts w:ascii="Times New Roman" w:hAnsi="Times New Roman" w:cs="Times New Roman"/>
                <w:b/>
                <w:sz w:val="18"/>
                <w:szCs w:val="18"/>
              </w:rPr>
              <w:t>）</w:t>
            </w:r>
          </w:p>
        </w:tc>
        <w:tc>
          <w:tcPr>
            <w:tcW w:w="482"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毛生态足迹（hm</w:t>
            </w:r>
            <w:r>
              <w:rPr>
                <w:rFonts w:ascii="Times New Roman" w:hAnsi="Times New Roman" w:cs="Times New Roman"/>
                <w:b/>
                <w:sz w:val="18"/>
                <w:szCs w:val="18"/>
                <w:vertAlign w:val="superscript"/>
              </w:rPr>
              <w:t>2</w:t>
            </w:r>
            <w:r>
              <w:rPr>
                <w:rFonts w:ascii="Times New Roman" w:hAnsi="Times New Roman" w:cs="Times New Roman"/>
                <w:b/>
                <w:sz w:val="18"/>
                <w:szCs w:val="18"/>
              </w:rPr>
              <w:t>）</w:t>
            </w:r>
          </w:p>
        </w:tc>
        <w:tc>
          <w:tcPr>
            <w:tcW w:w="766" w:type="pct"/>
            <w:gridSpan w:val="2"/>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毛人均生态足迹</w:t>
            </w:r>
          </w:p>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（hm</w:t>
            </w:r>
            <w:r>
              <w:rPr>
                <w:rFonts w:ascii="Times New Roman" w:hAnsi="Times New Roman" w:cs="Times New Roman"/>
                <w:b/>
                <w:sz w:val="18"/>
                <w:szCs w:val="18"/>
                <w:vertAlign w:val="superscript"/>
              </w:rPr>
              <w:t>2</w:t>
            </w:r>
            <w:r>
              <w:rPr>
                <w:rFonts w:ascii="Times New Roman" w:hAnsi="Times New Roman" w:cs="Times New Roman"/>
                <w:b/>
                <w:sz w:val="18"/>
                <w:szCs w:val="18"/>
              </w:rPr>
              <w:t>/人）</w:t>
            </w:r>
          </w:p>
        </w:tc>
        <w:tc>
          <w:tcPr>
            <w:tcW w:w="572"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均衡因子（whm</w:t>
            </w:r>
            <w:r>
              <w:rPr>
                <w:rFonts w:ascii="Times New Roman" w:hAnsi="Times New Roman" w:cs="Times New Roman"/>
                <w:b/>
                <w:sz w:val="18"/>
                <w:szCs w:val="18"/>
                <w:vertAlign w:val="superscript"/>
              </w:rPr>
              <w:t>2</w:t>
            </w:r>
            <w:r>
              <w:rPr>
                <w:rFonts w:ascii="Times New Roman" w:hAnsi="Times New Roman" w:cs="Times New Roman"/>
                <w:b/>
                <w:sz w:val="18"/>
                <w:szCs w:val="18"/>
              </w:rPr>
              <w:t>/hm</w:t>
            </w:r>
            <w:r>
              <w:rPr>
                <w:rFonts w:ascii="Times New Roman" w:hAnsi="Times New Roman" w:cs="Times New Roman"/>
                <w:b/>
                <w:sz w:val="18"/>
                <w:szCs w:val="18"/>
                <w:vertAlign w:val="superscript"/>
              </w:rPr>
              <w:t>2</w:t>
            </w:r>
            <w:r>
              <w:rPr>
                <w:rFonts w:ascii="Times New Roman" w:hAnsi="Times New Roman" w:cs="Times New Roman"/>
                <w:b/>
                <w:sz w:val="18"/>
                <w:szCs w:val="18"/>
              </w:rPr>
              <w:t>）</w:t>
            </w:r>
          </w:p>
        </w:tc>
        <w:tc>
          <w:tcPr>
            <w:tcW w:w="41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均衡后总生态足迹（whm</w:t>
            </w:r>
            <w:r>
              <w:rPr>
                <w:rFonts w:ascii="Times New Roman" w:hAnsi="Times New Roman" w:cs="Times New Roman"/>
                <w:b/>
                <w:sz w:val="18"/>
                <w:szCs w:val="18"/>
                <w:vertAlign w:val="superscript"/>
              </w:rPr>
              <w:t>2</w:t>
            </w:r>
            <w:r>
              <w:rPr>
                <w:rFonts w:ascii="Times New Roman" w:hAnsi="Times New Roman" w:cs="Times New Roman"/>
                <w:b/>
                <w:sz w:val="18"/>
                <w:szCs w:val="18"/>
              </w:rPr>
              <w:t>）</w:t>
            </w:r>
          </w:p>
        </w:tc>
        <w:tc>
          <w:tcPr>
            <w:tcW w:w="515"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均衡后人均生态足迹</w:t>
            </w:r>
          </w:p>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（whm</w:t>
            </w:r>
            <w:r>
              <w:rPr>
                <w:rFonts w:ascii="Times New Roman" w:hAnsi="Times New Roman" w:cs="Times New Roman"/>
                <w:b/>
                <w:sz w:val="18"/>
                <w:szCs w:val="18"/>
                <w:vertAlign w:val="superscript"/>
              </w:rPr>
              <w:t>2</w:t>
            </w:r>
            <w:r>
              <w:rPr>
                <w:rFonts w:ascii="Times New Roman" w:hAnsi="Times New Roman" w:cs="Times New Roman"/>
                <w:b/>
                <w:sz w:val="18"/>
                <w:szCs w:val="18"/>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Merge w:val="continue"/>
            <w:vAlign w:val="center"/>
          </w:tcPr>
          <w:p>
            <w:pPr>
              <w:adjustRightInd w:val="0"/>
              <w:snapToGrid w:val="0"/>
              <w:jc w:val="center"/>
              <w:rPr>
                <w:rFonts w:ascii="Times New Roman" w:hAnsi="Times New Roman" w:cs="Times New Roman"/>
                <w:b/>
                <w:sz w:val="18"/>
                <w:szCs w:val="18"/>
              </w:rPr>
            </w:pPr>
          </w:p>
        </w:tc>
        <w:tc>
          <w:tcPr>
            <w:tcW w:w="482" w:type="pct"/>
            <w:vMerge w:val="continue"/>
            <w:vAlign w:val="center"/>
          </w:tcPr>
          <w:p>
            <w:pPr>
              <w:adjustRightInd w:val="0"/>
              <w:snapToGrid w:val="0"/>
              <w:jc w:val="center"/>
              <w:rPr>
                <w:rFonts w:ascii="Times New Roman" w:hAnsi="Times New Roman" w:cs="Times New Roman"/>
                <w:b/>
                <w:sz w:val="18"/>
                <w:szCs w:val="18"/>
              </w:rPr>
            </w:pPr>
          </w:p>
        </w:tc>
        <w:tc>
          <w:tcPr>
            <w:tcW w:w="645" w:type="pct"/>
            <w:vMerge w:val="continue"/>
            <w:vAlign w:val="center"/>
          </w:tcPr>
          <w:p>
            <w:pPr>
              <w:adjustRightInd w:val="0"/>
              <w:snapToGrid w:val="0"/>
              <w:jc w:val="center"/>
              <w:rPr>
                <w:rFonts w:ascii="Times New Roman" w:hAnsi="Times New Roman" w:cs="Times New Roman"/>
                <w:b/>
                <w:sz w:val="18"/>
                <w:szCs w:val="18"/>
              </w:rPr>
            </w:pPr>
          </w:p>
        </w:tc>
        <w:tc>
          <w:tcPr>
            <w:tcW w:w="482" w:type="pct"/>
            <w:vMerge w:val="continue"/>
            <w:vAlign w:val="center"/>
          </w:tcPr>
          <w:p>
            <w:pPr>
              <w:adjustRightInd w:val="0"/>
              <w:snapToGrid w:val="0"/>
              <w:jc w:val="center"/>
              <w:rPr>
                <w:rFonts w:ascii="Times New Roman" w:hAnsi="Times New Roman" w:cs="Times New Roman"/>
                <w:b/>
                <w:sz w:val="18"/>
                <w:szCs w:val="18"/>
              </w:rPr>
            </w:pPr>
          </w:p>
        </w:tc>
        <w:tc>
          <w:tcPr>
            <w:tcW w:w="383"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细目</w:t>
            </w:r>
          </w:p>
        </w:tc>
        <w:tc>
          <w:tcPr>
            <w:tcW w:w="383"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小计</w:t>
            </w:r>
          </w:p>
        </w:tc>
        <w:tc>
          <w:tcPr>
            <w:tcW w:w="572" w:type="pct"/>
            <w:vMerge w:val="continue"/>
            <w:vAlign w:val="center"/>
          </w:tcPr>
          <w:p>
            <w:pPr>
              <w:adjustRightInd w:val="0"/>
              <w:snapToGrid w:val="0"/>
              <w:jc w:val="center"/>
              <w:rPr>
                <w:rFonts w:ascii="Times New Roman" w:hAnsi="Times New Roman" w:cs="Times New Roman"/>
                <w:b/>
                <w:sz w:val="18"/>
                <w:szCs w:val="18"/>
              </w:rPr>
            </w:pPr>
          </w:p>
        </w:tc>
        <w:tc>
          <w:tcPr>
            <w:tcW w:w="418" w:type="pct"/>
            <w:vMerge w:val="continue"/>
            <w:vAlign w:val="center"/>
          </w:tcPr>
          <w:p>
            <w:pPr>
              <w:adjustRightInd w:val="0"/>
              <w:snapToGrid w:val="0"/>
              <w:jc w:val="center"/>
              <w:rPr>
                <w:rFonts w:ascii="Times New Roman" w:hAnsi="Times New Roman" w:cs="Times New Roman"/>
                <w:b/>
                <w:sz w:val="18"/>
                <w:szCs w:val="18"/>
              </w:rPr>
            </w:pPr>
          </w:p>
        </w:tc>
        <w:tc>
          <w:tcPr>
            <w:tcW w:w="515" w:type="pct"/>
            <w:vMerge w:val="continue"/>
            <w:vAlign w:val="center"/>
          </w:tcPr>
          <w:p>
            <w:pPr>
              <w:adjustRightInd w:val="0"/>
              <w:snapToGrid w:val="0"/>
              <w:jc w:val="center"/>
              <w:rPr>
                <w:rFonts w:ascii="Times New Roman" w:hAnsi="Times New Roman" w:cs="Times New Roman"/>
                <w:b/>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耕地</w:t>
            </w:r>
          </w:p>
        </w:tc>
        <w:tc>
          <w:tcPr>
            <w:tcW w:w="722" w:type="pct"/>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粮食（小麦、稻谷、玉米、其他谷物；红薯、马铃薯等薯类及大豆等豆类）</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2026.89</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3168</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6398</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0.035</w:t>
            </w:r>
            <w:r>
              <w:rPr>
                <w:rFonts w:hint="eastAsia" w:ascii="Times New Roman" w:hAnsi="Times New Roman" w:cs="Times New Roman"/>
                <w:sz w:val="18"/>
                <w:szCs w:val="18"/>
              </w:rPr>
              <w:t>6</w:t>
            </w:r>
          </w:p>
        </w:tc>
        <w:tc>
          <w:tcPr>
            <w:tcW w:w="383"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0.23</w:t>
            </w:r>
            <w:r>
              <w:rPr>
                <w:rFonts w:hint="eastAsia" w:ascii="Times New Roman" w:hAnsi="Times New Roman" w:cs="Times New Roman"/>
                <w:sz w:val="18"/>
                <w:szCs w:val="18"/>
              </w:rPr>
              <w:t>77</w:t>
            </w:r>
          </w:p>
        </w:tc>
        <w:tc>
          <w:tcPr>
            <w:tcW w:w="572"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10.139</w:t>
            </w:r>
          </w:p>
        </w:tc>
        <w:tc>
          <w:tcPr>
            <w:tcW w:w="418"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433326</w:t>
            </w:r>
          </w:p>
        </w:tc>
        <w:tc>
          <w:tcPr>
            <w:tcW w:w="515"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2.4101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鲜菜</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1557.07</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20700</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752</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w:t>
            </w:r>
            <w:r>
              <w:rPr>
                <w:rFonts w:hint="eastAsia" w:ascii="Times New Roman" w:hAnsi="Times New Roman" w:cs="Times New Roman"/>
                <w:sz w:val="18"/>
                <w:szCs w:val="18"/>
              </w:rPr>
              <w:t>43</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植物油、动物油</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117.01</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495</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2364</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0.013</w:t>
            </w:r>
            <w:r>
              <w:rPr>
                <w:rFonts w:hint="eastAsia" w:ascii="Times New Roman" w:hAnsi="Times New Roman" w:cs="Times New Roman"/>
                <w:sz w:val="18"/>
                <w:szCs w:val="18"/>
              </w:rPr>
              <w:t>2</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猪肉</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219.61</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85</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25836</w:t>
            </w:r>
          </w:p>
        </w:tc>
        <w:tc>
          <w:tcPr>
            <w:tcW w:w="3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0.1437</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家禽及其他肉禽</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151.21</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878</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1722</w:t>
            </w:r>
          </w:p>
        </w:tc>
        <w:tc>
          <w:tcPr>
            <w:tcW w:w="3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0.0096</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鲜蛋及制品</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178.22</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460</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3875</w:t>
            </w:r>
          </w:p>
        </w:tc>
        <w:tc>
          <w:tcPr>
            <w:tcW w:w="3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0.0196</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茶叶、酒类等</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59.40</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15778</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38</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0.0002</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干鲜瓜果类</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1355.46</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6900</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1965</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0.01</w:t>
            </w:r>
            <w:r>
              <w:rPr>
                <w:rFonts w:hint="eastAsia" w:ascii="Times New Roman" w:hAnsi="Times New Roman" w:cs="Times New Roman"/>
                <w:sz w:val="18"/>
                <w:szCs w:val="18"/>
              </w:rPr>
              <w:t>10</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糖果糕点类</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46.80</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5746</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82</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0.0005</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牧草地</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牛羊肉</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226.81</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30</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75603</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0.42</w:t>
            </w:r>
            <w:r>
              <w:rPr>
                <w:rFonts w:hint="eastAsia" w:ascii="Times New Roman" w:hAnsi="Times New Roman" w:cs="Times New Roman"/>
                <w:sz w:val="18"/>
                <w:szCs w:val="18"/>
              </w:rPr>
              <w:t>05</w:t>
            </w:r>
          </w:p>
        </w:tc>
        <w:tc>
          <w:tcPr>
            <w:tcW w:w="383"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0.4483</w:t>
            </w:r>
          </w:p>
        </w:tc>
        <w:tc>
          <w:tcPr>
            <w:tcW w:w="572" w:type="pct"/>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0.0598</w:t>
            </w:r>
          </w:p>
        </w:tc>
        <w:tc>
          <w:tcPr>
            <w:tcW w:w="418"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4820</w:t>
            </w:r>
          </w:p>
        </w:tc>
        <w:tc>
          <w:tcPr>
            <w:tcW w:w="515"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0.0268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奶和奶制品</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255.62</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501</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5102</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0.02</w:t>
            </w:r>
            <w:r>
              <w:rPr>
                <w:rFonts w:hint="eastAsia" w:ascii="Times New Roman" w:hAnsi="Times New Roman" w:cs="Times New Roman"/>
                <w:sz w:val="18"/>
                <w:szCs w:val="18"/>
              </w:rPr>
              <w:t>84</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trPr>
        <w:tc>
          <w:tcPr>
            <w:tcW w:w="398"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林地</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木材（万m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0.06</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2.1m</w:t>
            </w:r>
            <w:r>
              <w:rPr>
                <w:rFonts w:ascii="Times New Roman" w:hAnsi="Times New Roman" w:cs="Times New Roman"/>
                <w:sz w:val="18"/>
                <w:szCs w:val="18"/>
                <w:vertAlign w:val="superscript"/>
              </w:rPr>
              <w:t>3</w:t>
            </w:r>
            <w:r>
              <w:rPr>
                <w:rFonts w:ascii="Times New Roman" w:hAnsi="Times New Roman" w:cs="Times New Roman"/>
                <w:sz w:val="18"/>
                <w:szCs w:val="18"/>
              </w:rPr>
              <w:t>/hm</w:t>
            </w:r>
            <w:r>
              <w:rPr>
                <w:rFonts w:ascii="Times New Roman" w:hAnsi="Times New Roman" w:cs="Times New Roman"/>
                <w:sz w:val="18"/>
                <w:szCs w:val="18"/>
                <w:vertAlign w:val="superscript"/>
              </w:rPr>
              <w:t>2</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286</w:t>
            </w:r>
          </w:p>
        </w:tc>
        <w:tc>
          <w:tcPr>
            <w:tcW w:w="383"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0.0016</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0.0014</w:t>
            </w:r>
          </w:p>
        </w:tc>
        <w:tc>
          <w:tcPr>
            <w:tcW w:w="572" w:type="pct"/>
            <w:vAlign w:val="center"/>
          </w:tcPr>
          <w:p>
            <w:pPr>
              <w:jc w:val="center"/>
              <w:rPr>
                <w:rFonts w:ascii="Times New Roman" w:hAnsi="Times New Roman" w:cs="Times New Roman"/>
                <w:sz w:val="18"/>
                <w:szCs w:val="18"/>
              </w:rPr>
            </w:pPr>
            <w:r>
              <w:rPr>
                <w:rFonts w:ascii="Times New Roman" w:hAnsi="Times New Roman" w:cs="Times New Roman"/>
                <w:sz w:val="18"/>
                <w:szCs w:val="18"/>
              </w:rPr>
              <w:t>0.0710</w:t>
            </w:r>
          </w:p>
        </w:tc>
        <w:tc>
          <w:tcPr>
            <w:tcW w:w="418"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18</w:t>
            </w:r>
          </w:p>
        </w:tc>
        <w:tc>
          <w:tcPr>
            <w:tcW w:w="515"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水域</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水产品类</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30.43</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68</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4475</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0.02</w:t>
            </w:r>
            <w:r>
              <w:rPr>
                <w:rFonts w:hint="eastAsia" w:ascii="Times New Roman" w:hAnsi="Times New Roman" w:cs="Times New Roman"/>
                <w:sz w:val="18"/>
                <w:szCs w:val="18"/>
              </w:rPr>
              <w:t>50</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0.0249</w:t>
            </w:r>
          </w:p>
        </w:tc>
        <w:tc>
          <w:tcPr>
            <w:tcW w:w="572" w:type="pct"/>
            <w:vAlign w:val="center"/>
          </w:tcPr>
          <w:p>
            <w:pPr>
              <w:jc w:val="center"/>
              <w:rPr>
                <w:rFonts w:ascii="Times New Roman" w:hAnsi="Times New Roman" w:cs="Times New Roman"/>
                <w:sz w:val="18"/>
                <w:szCs w:val="18"/>
              </w:rPr>
            </w:pPr>
            <w:r>
              <w:rPr>
                <w:rFonts w:ascii="Times New Roman" w:hAnsi="Times New Roman" w:cs="Times New Roman"/>
                <w:sz w:val="18"/>
                <w:szCs w:val="18"/>
              </w:rPr>
              <w:t>0.4120</w:t>
            </w:r>
          </w:p>
        </w:tc>
        <w:tc>
          <w:tcPr>
            <w:tcW w:w="418"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1845</w:t>
            </w:r>
          </w:p>
        </w:tc>
        <w:tc>
          <w:tcPr>
            <w:tcW w:w="515"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0.0103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建设用地</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电力</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2600561</w:t>
            </w:r>
            <w:r>
              <w:rPr>
                <w:rFonts w:ascii="Times New Roman" w:hAnsi="Times New Roman" w:cs="Times New Roman"/>
                <w:sz w:val="18"/>
                <w:szCs w:val="18"/>
              </w:rPr>
              <w:t>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469GJ/ hm</w:t>
            </w:r>
            <w:r>
              <w:rPr>
                <w:rFonts w:ascii="Times New Roman" w:hAnsi="Times New Roman" w:cs="Times New Roman"/>
                <w:sz w:val="18"/>
                <w:szCs w:val="18"/>
                <w:vertAlign w:val="superscript"/>
              </w:rPr>
              <w:t>2</w:t>
            </w:r>
          </w:p>
        </w:tc>
        <w:tc>
          <w:tcPr>
            <w:tcW w:w="482" w:type="pct"/>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5545</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0.0308</w:t>
            </w:r>
          </w:p>
        </w:tc>
        <w:tc>
          <w:tcPr>
            <w:tcW w:w="383"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0.1644</w:t>
            </w:r>
          </w:p>
        </w:tc>
        <w:tc>
          <w:tcPr>
            <w:tcW w:w="572" w:type="pct"/>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10.139</w:t>
            </w:r>
          </w:p>
        </w:tc>
        <w:tc>
          <w:tcPr>
            <w:tcW w:w="418"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299700</w:t>
            </w:r>
          </w:p>
        </w:tc>
        <w:tc>
          <w:tcPr>
            <w:tcW w:w="515"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1.6669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热力</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10123772</w:t>
            </w:r>
            <w:r>
              <w:rPr>
                <w:rFonts w:ascii="Times New Roman" w:hAnsi="Times New Roman" w:cs="Times New Roman"/>
                <w:sz w:val="18"/>
                <w:szCs w:val="18"/>
              </w:rPr>
              <w:t>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421GJ/ hm</w:t>
            </w:r>
            <w:r>
              <w:rPr>
                <w:rFonts w:ascii="Times New Roman" w:hAnsi="Times New Roman" w:cs="Times New Roman"/>
                <w:sz w:val="18"/>
                <w:szCs w:val="18"/>
                <w:vertAlign w:val="superscript"/>
              </w:rPr>
              <w:t>2</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24047</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0.13</w:t>
            </w:r>
            <w:r>
              <w:rPr>
                <w:rFonts w:hint="eastAsia" w:ascii="Times New Roman" w:hAnsi="Times New Roman" w:cs="Times New Roman"/>
                <w:sz w:val="18"/>
                <w:szCs w:val="18"/>
              </w:rPr>
              <w:t>37</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restar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化石能源用地</w:t>
            </w: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原煤、洗精煤、焦炭等</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2684403</w:t>
            </w:r>
            <w:r>
              <w:rPr>
                <w:rFonts w:ascii="Times New Roman" w:hAnsi="Times New Roman" w:cs="Times New Roman"/>
                <w:sz w:val="18"/>
                <w:szCs w:val="18"/>
              </w:rPr>
              <w:t>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29GJ/ hm</w:t>
            </w:r>
            <w:r>
              <w:rPr>
                <w:rFonts w:ascii="Times New Roman" w:hAnsi="Times New Roman" w:cs="Times New Roman"/>
                <w:sz w:val="18"/>
                <w:szCs w:val="18"/>
                <w:vertAlign w:val="superscript"/>
              </w:rPr>
              <w:t>2</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92566</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0.514</w:t>
            </w:r>
            <w:r>
              <w:rPr>
                <w:rFonts w:hint="eastAsia" w:ascii="Times New Roman" w:hAnsi="Times New Roman" w:cs="Times New Roman"/>
                <w:sz w:val="18"/>
                <w:szCs w:val="18"/>
              </w:rPr>
              <w:t>8</w:t>
            </w:r>
          </w:p>
        </w:tc>
        <w:tc>
          <w:tcPr>
            <w:tcW w:w="383" w:type="pct"/>
            <w:vMerge w:val="restar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0.9877</w:t>
            </w:r>
          </w:p>
        </w:tc>
        <w:tc>
          <w:tcPr>
            <w:tcW w:w="572"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0.0710</w:t>
            </w:r>
          </w:p>
        </w:tc>
        <w:tc>
          <w:tcPr>
            <w:tcW w:w="418"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12609</w:t>
            </w:r>
          </w:p>
        </w:tc>
        <w:tc>
          <w:tcPr>
            <w:tcW w:w="515" w:type="pct"/>
            <w:vMerge w:val="restar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0.0701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汽油、煤油、柴油、燃料油等</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1430544</w:t>
            </w:r>
            <w:r>
              <w:rPr>
                <w:rFonts w:ascii="Times New Roman" w:hAnsi="Times New Roman" w:cs="Times New Roman"/>
                <w:sz w:val="18"/>
                <w:szCs w:val="18"/>
              </w:rPr>
              <w:t>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46GJ/ hm</w:t>
            </w:r>
            <w:r>
              <w:rPr>
                <w:rFonts w:ascii="Times New Roman" w:hAnsi="Times New Roman" w:cs="Times New Roman"/>
                <w:sz w:val="18"/>
                <w:szCs w:val="18"/>
                <w:vertAlign w:val="superscript"/>
              </w:rPr>
              <w:t>2</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31099</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0.17</w:t>
            </w:r>
            <w:r>
              <w:rPr>
                <w:rFonts w:hint="eastAsia" w:ascii="Times New Roman" w:hAnsi="Times New Roman" w:cs="Times New Roman"/>
                <w:sz w:val="18"/>
                <w:szCs w:val="18"/>
              </w:rPr>
              <w:t>29</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Merge w:val="continue"/>
            <w:vAlign w:val="center"/>
          </w:tcPr>
          <w:p>
            <w:pPr>
              <w:adjustRightInd w:val="0"/>
              <w:snapToGrid w:val="0"/>
              <w:jc w:val="center"/>
              <w:rPr>
                <w:rFonts w:ascii="Times New Roman" w:hAnsi="Times New Roman" w:cs="Times New Roman"/>
                <w:b/>
                <w:sz w:val="18"/>
                <w:szCs w:val="18"/>
              </w:rPr>
            </w:pPr>
          </w:p>
        </w:tc>
        <w:tc>
          <w:tcPr>
            <w:tcW w:w="722"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天然气等液化石油气</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1841386</w:t>
            </w:r>
            <w:r>
              <w:rPr>
                <w:rFonts w:ascii="Times New Roman" w:hAnsi="Times New Roman" w:cs="Times New Roman"/>
                <w:sz w:val="18"/>
                <w:szCs w:val="18"/>
              </w:rPr>
              <w:t>GJ</w:t>
            </w:r>
          </w:p>
        </w:tc>
        <w:tc>
          <w:tcPr>
            <w:tcW w:w="645"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34GJ/ hm</w:t>
            </w:r>
            <w:r>
              <w:rPr>
                <w:rFonts w:ascii="Times New Roman" w:hAnsi="Times New Roman" w:cs="Times New Roman"/>
                <w:sz w:val="18"/>
                <w:szCs w:val="18"/>
                <w:vertAlign w:val="superscript"/>
              </w:rPr>
              <w:t>2</w:t>
            </w:r>
          </w:p>
        </w:tc>
        <w:tc>
          <w:tcPr>
            <w:tcW w:w="482" w:type="pct"/>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54159</w:t>
            </w:r>
          </w:p>
        </w:tc>
        <w:tc>
          <w:tcPr>
            <w:tcW w:w="383" w:type="pct"/>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0.30</w:t>
            </w:r>
            <w:r>
              <w:rPr>
                <w:rFonts w:hint="eastAsia" w:ascii="Times New Roman" w:hAnsi="Times New Roman" w:cs="Times New Roman"/>
                <w:sz w:val="18"/>
                <w:szCs w:val="18"/>
              </w:rPr>
              <w:t>13</w:t>
            </w:r>
          </w:p>
        </w:tc>
        <w:tc>
          <w:tcPr>
            <w:tcW w:w="383" w:type="pct"/>
            <w:vMerge w:val="continue"/>
            <w:vAlign w:val="center"/>
          </w:tcPr>
          <w:p>
            <w:pPr>
              <w:adjustRightInd w:val="0"/>
              <w:snapToGrid w:val="0"/>
              <w:jc w:val="center"/>
              <w:rPr>
                <w:rFonts w:ascii="Times New Roman" w:hAnsi="Times New Roman" w:cs="Times New Roman"/>
                <w:sz w:val="18"/>
                <w:szCs w:val="18"/>
              </w:rPr>
            </w:pPr>
          </w:p>
        </w:tc>
        <w:tc>
          <w:tcPr>
            <w:tcW w:w="572" w:type="pct"/>
            <w:vMerge w:val="continue"/>
            <w:vAlign w:val="center"/>
          </w:tcPr>
          <w:p>
            <w:pPr>
              <w:adjustRightInd w:val="0"/>
              <w:snapToGrid w:val="0"/>
              <w:jc w:val="center"/>
              <w:rPr>
                <w:rFonts w:ascii="Times New Roman" w:hAnsi="Times New Roman" w:cs="Times New Roman"/>
                <w:sz w:val="18"/>
                <w:szCs w:val="18"/>
              </w:rPr>
            </w:pPr>
          </w:p>
        </w:tc>
        <w:tc>
          <w:tcPr>
            <w:tcW w:w="418" w:type="pct"/>
            <w:vMerge w:val="continue"/>
            <w:vAlign w:val="center"/>
          </w:tcPr>
          <w:p>
            <w:pPr>
              <w:adjustRightInd w:val="0"/>
              <w:snapToGrid w:val="0"/>
              <w:jc w:val="center"/>
              <w:rPr>
                <w:rFonts w:ascii="Times New Roman" w:hAnsi="Times New Roman" w:cs="Times New Roman"/>
                <w:sz w:val="18"/>
                <w:szCs w:val="18"/>
              </w:rPr>
            </w:pPr>
          </w:p>
        </w:tc>
        <w:tc>
          <w:tcPr>
            <w:tcW w:w="515" w:type="pct"/>
            <w:vMerge w:val="continue"/>
            <w:vAlign w:val="center"/>
          </w:tcPr>
          <w:p>
            <w:pPr>
              <w:adjustRightInd w:val="0"/>
              <w:snapToGrid w:val="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8" w:type="pct"/>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总计</w:t>
            </w:r>
          </w:p>
        </w:tc>
        <w:tc>
          <w:tcPr>
            <w:tcW w:w="4602" w:type="pct"/>
            <w:gridSpan w:val="9"/>
            <w:vAlign w:val="center"/>
          </w:tcPr>
          <w:p>
            <w:pPr>
              <w:adjustRightInd w:val="0"/>
              <w:snapToGrid w:val="0"/>
              <w:jc w:val="center"/>
              <w:rPr>
                <w:rFonts w:ascii="Times New Roman" w:hAnsi="Times New Roman" w:cs="Times New Roman"/>
                <w:i/>
                <w:szCs w:val="21"/>
              </w:rPr>
            </w:pPr>
            <w:r>
              <w:rPr>
                <w:rFonts w:ascii="Times New Roman" w:hAnsi="Times New Roman" w:cs="Times New Roman"/>
                <w:i/>
                <w:szCs w:val="21"/>
              </w:rPr>
              <w:t>EF=</w:t>
            </w:r>
            <w:r>
              <w:rPr>
                <w:rFonts w:hint="eastAsia" w:ascii="Times New Roman" w:hAnsi="Times New Roman" w:cs="Times New Roman"/>
                <w:i/>
                <w:szCs w:val="21"/>
              </w:rPr>
              <w:t>747644；</w:t>
            </w:r>
            <w:r>
              <w:rPr>
                <w:rFonts w:ascii="Times New Roman" w:hAnsi="Times New Roman" w:cs="Times New Roman"/>
                <w:i/>
                <w:szCs w:val="21"/>
              </w:rPr>
              <w:t>ef=</w:t>
            </w:r>
            <w:r>
              <w:rPr>
                <w:rFonts w:hint="eastAsia" w:ascii="Times New Roman" w:hAnsi="Times New Roman" w:cs="Times New Roman"/>
                <w:i/>
                <w:szCs w:val="21"/>
              </w:rPr>
              <w:t>4.1852</w:t>
            </w:r>
          </w:p>
        </w:tc>
      </w:tr>
    </w:tbl>
    <w:p>
      <w:pPr>
        <w:adjustRightInd w:val="0"/>
        <w:snapToGrid w:val="0"/>
        <w:spacing w:line="360" w:lineRule="auto"/>
        <w:rPr>
          <w:rFonts w:ascii="仿宋_GB2312" w:hAnsi="黑体" w:eastAsia="仿宋_GB2312"/>
          <w:sz w:val="28"/>
          <w:szCs w:val="28"/>
        </w:rPr>
        <w:sectPr>
          <w:pgSz w:w="16838" w:h="11906" w:orient="landscape"/>
          <w:pgMar w:top="1701" w:right="1701" w:bottom="1701" w:left="1701" w:header="851" w:footer="992" w:gutter="0"/>
          <w:cols w:space="425" w:num="1"/>
          <w:docGrid w:type="lines" w:linePitch="312" w:charSpace="0"/>
        </w:sectPr>
      </w:pP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预测年即2025年，盐池县生态承载力计算结果见表6-5。</w:t>
      </w:r>
    </w:p>
    <w:p>
      <w:pPr>
        <w:adjustRightInd w:val="0"/>
        <w:snapToGrid w:val="0"/>
        <w:spacing w:line="360" w:lineRule="auto"/>
        <w:jc w:val="center"/>
        <w:rPr>
          <w:rFonts w:ascii="仿宋_GB2312" w:hAnsi="黑体" w:eastAsia="仿宋_GB2312"/>
          <w:sz w:val="28"/>
          <w:szCs w:val="28"/>
        </w:rPr>
      </w:pPr>
      <w:r>
        <w:rPr>
          <w:rFonts w:hint="eastAsia" w:ascii="仿宋_GB2312" w:hAnsi="黑体" w:eastAsia="仿宋_GB2312"/>
          <w:sz w:val="28"/>
          <w:szCs w:val="28"/>
        </w:rPr>
        <w:t>表6-5  盐池县承载力计算结果（2025年）</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1701"/>
        <w:gridCol w:w="1701"/>
        <w:gridCol w:w="1623"/>
        <w:gridCol w:w="1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rPr>
            </w:pPr>
            <w:r>
              <w:rPr>
                <w:rFonts w:ascii="Times New Roman" w:hAnsi="Times New Roman" w:cs="Times New Roman"/>
                <w:b/>
              </w:rPr>
              <w:t>土地类型</w:t>
            </w:r>
          </w:p>
        </w:tc>
        <w:tc>
          <w:tcPr>
            <w:tcW w:w="1701" w:type="dxa"/>
            <w:vAlign w:val="center"/>
          </w:tcPr>
          <w:p>
            <w:pPr>
              <w:jc w:val="center"/>
              <w:rPr>
                <w:rFonts w:ascii="Times New Roman" w:hAnsi="Times New Roman" w:cs="Times New Roman"/>
                <w:b/>
              </w:rPr>
            </w:pPr>
            <w:r>
              <w:rPr>
                <w:rFonts w:ascii="Times New Roman" w:hAnsi="Times New Roman" w:cs="Times New Roman"/>
                <w:b/>
              </w:rPr>
              <w:t>人均土地面积（</w:t>
            </w:r>
            <w:r>
              <w:rPr>
                <w:rFonts w:hint="eastAsia" w:ascii="Times New Roman" w:hAnsi="Times New Roman" w:cs="Times New Roman"/>
                <w:b/>
              </w:rPr>
              <w:t>hm</w:t>
            </w:r>
            <w:r>
              <w:rPr>
                <w:rFonts w:hint="eastAsia" w:ascii="Times New Roman" w:hAnsi="Times New Roman" w:cs="Times New Roman"/>
                <w:b/>
                <w:vertAlign w:val="superscript"/>
              </w:rPr>
              <w:t>2</w:t>
            </w:r>
            <w:r>
              <w:rPr>
                <w:rFonts w:hint="eastAsia" w:ascii="Times New Roman" w:hAnsi="Times New Roman" w:cs="Times New Roman"/>
                <w:b/>
              </w:rPr>
              <w:t>/人</w:t>
            </w:r>
            <w:r>
              <w:rPr>
                <w:rFonts w:ascii="Times New Roman" w:hAnsi="Times New Roman" w:cs="Times New Roman"/>
                <w:b/>
              </w:rPr>
              <w:t>）</w:t>
            </w:r>
          </w:p>
        </w:tc>
        <w:tc>
          <w:tcPr>
            <w:tcW w:w="1701" w:type="dxa"/>
            <w:vAlign w:val="center"/>
          </w:tcPr>
          <w:p>
            <w:pPr>
              <w:jc w:val="center"/>
              <w:rPr>
                <w:rFonts w:ascii="Times New Roman" w:hAnsi="Times New Roman" w:cs="Times New Roman"/>
                <w:b/>
              </w:rPr>
            </w:pPr>
            <w:r>
              <w:rPr>
                <w:rFonts w:ascii="Times New Roman" w:hAnsi="Times New Roman" w:cs="Times New Roman"/>
                <w:b/>
              </w:rPr>
              <w:t>均衡因子（whm</w:t>
            </w:r>
            <w:r>
              <w:rPr>
                <w:rFonts w:ascii="Times New Roman" w:hAnsi="Times New Roman" w:cs="Times New Roman"/>
                <w:b/>
                <w:vertAlign w:val="superscript"/>
              </w:rPr>
              <w:t>2</w:t>
            </w:r>
            <w:r>
              <w:rPr>
                <w:rFonts w:ascii="Times New Roman" w:hAnsi="Times New Roman" w:cs="Times New Roman"/>
                <w:b/>
              </w:rPr>
              <w:t>/hm</w:t>
            </w:r>
            <w:r>
              <w:rPr>
                <w:rFonts w:hint="eastAsia" w:ascii="Times New Roman" w:hAnsi="Times New Roman" w:cs="Times New Roman"/>
                <w:b/>
                <w:vertAlign w:val="superscript"/>
              </w:rPr>
              <w:t>2</w:t>
            </w:r>
            <w:r>
              <w:rPr>
                <w:rFonts w:ascii="Times New Roman" w:hAnsi="Times New Roman" w:cs="Times New Roman"/>
                <w:b/>
              </w:rPr>
              <w:t>）</w:t>
            </w:r>
          </w:p>
        </w:tc>
        <w:tc>
          <w:tcPr>
            <w:tcW w:w="1623" w:type="dxa"/>
            <w:vAlign w:val="center"/>
          </w:tcPr>
          <w:p>
            <w:pPr>
              <w:jc w:val="center"/>
              <w:rPr>
                <w:rFonts w:ascii="Times New Roman" w:hAnsi="Times New Roman" w:cs="Times New Roman"/>
                <w:b/>
              </w:rPr>
            </w:pPr>
            <w:r>
              <w:rPr>
                <w:rFonts w:ascii="Times New Roman" w:hAnsi="Times New Roman" w:cs="Times New Roman"/>
                <w:b/>
              </w:rPr>
              <w:t>产量因子</w:t>
            </w:r>
          </w:p>
        </w:tc>
        <w:tc>
          <w:tcPr>
            <w:tcW w:w="1744" w:type="dxa"/>
            <w:vAlign w:val="center"/>
          </w:tcPr>
          <w:p>
            <w:pPr>
              <w:jc w:val="center"/>
              <w:rPr>
                <w:rFonts w:ascii="Times New Roman" w:hAnsi="Times New Roman" w:cs="Times New Roman"/>
                <w:b/>
              </w:rPr>
            </w:pPr>
            <w:r>
              <w:rPr>
                <w:rFonts w:ascii="Times New Roman" w:hAnsi="Times New Roman" w:cs="Times New Roman"/>
                <w:b/>
              </w:rPr>
              <w:t>人均生态承载力（</w:t>
            </w:r>
            <w:r>
              <w:rPr>
                <w:rFonts w:hint="eastAsia" w:ascii="Times New Roman" w:hAnsi="Times New Roman" w:cs="Times New Roman"/>
                <w:b/>
              </w:rPr>
              <w:t>whm</w:t>
            </w:r>
            <w:r>
              <w:rPr>
                <w:rFonts w:hint="eastAsia" w:ascii="Times New Roman" w:hAnsi="Times New Roman" w:cs="Times New Roman"/>
                <w:b/>
                <w:vertAlign w:val="superscript"/>
              </w:rPr>
              <w:t>2</w:t>
            </w:r>
            <w:r>
              <w:rPr>
                <w:rFonts w:hint="eastAsia" w:ascii="Times New Roman" w:hAnsi="Times New Roman" w:cs="Times New Roman"/>
                <w:b/>
              </w:rPr>
              <w:t>/人</w:t>
            </w:r>
            <w:r>
              <w:rPr>
                <w:rFonts w:ascii="Times New Roman" w:hAnsi="Times New Roman" w:cs="Times New Roman"/>
                <w:b/>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rPr>
            </w:pPr>
            <w:r>
              <w:rPr>
                <w:rFonts w:ascii="Times New Roman" w:hAnsi="Times New Roman" w:cs="Times New Roman"/>
                <w:b/>
              </w:rPr>
              <w:t>耕地</w:t>
            </w:r>
          </w:p>
        </w:tc>
        <w:tc>
          <w:tcPr>
            <w:tcW w:w="1701" w:type="dxa"/>
            <w:vAlign w:val="center"/>
          </w:tcPr>
          <w:p>
            <w:pPr>
              <w:jc w:val="center"/>
              <w:rPr>
                <w:rFonts w:ascii="Times New Roman" w:hAnsi="Times New Roman" w:cs="Times New Roman"/>
              </w:rPr>
            </w:pPr>
            <w:r>
              <w:rPr>
                <w:rFonts w:hint="eastAsia" w:ascii="Times New Roman" w:hAnsi="Times New Roman" w:cs="Times New Roman"/>
              </w:rPr>
              <w:t>0.6112</w:t>
            </w:r>
          </w:p>
        </w:tc>
        <w:tc>
          <w:tcPr>
            <w:tcW w:w="1701" w:type="dxa"/>
            <w:vAlign w:val="center"/>
          </w:tcPr>
          <w:p>
            <w:pPr>
              <w:jc w:val="center"/>
              <w:rPr>
                <w:rFonts w:ascii="Times New Roman" w:hAnsi="Times New Roman" w:cs="Times New Roman"/>
              </w:rPr>
            </w:pPr>
            <w:r>
              <w:rPr>
                <w:rFonts w:ascii="Times New Roman" w:hAnsi="Times New Roman" w:cs="Times New Roman"/>
              </w:rPr>
              <w:t>10.139</w:t>
            </w:r>
          </w:p>
        </w:tc>
        <w:tc>
          <w:tcPr>
            <w:tcW w:w="1623" w:type="dxa"/>
            <w:vAlign w:val="center"/>
          </w:tcPr>
          <w:p>
            <w:pPr>
              <w:jc w:val="center"/>
              <w:rPr>
                <w:rFonts w:ascii="Times New Roman" w:hAnsi="Times New Roman" w:cs="Times New Roman"/>
              </w:rPr>
            </w:pPr>
            <w:r>
              <w:rPr>
                <w:rFonts w:ascii="Times New Roman" w:hAnsi="Times New Roman" w:cs="Times New Roman"/>
              </w:rPr>
              <w:t>0.758</w:t>
            </w:r>
          </w:p>
        </w:tc>
        <w:tc>
          <w:tcPr>
            <w:tcW w:w="1744" w:type="dxa"/>
            <w:vAlign w:val="center"/>
          </w:tcPr>
          <w:p>
            <w:pPr>
              <w:jc w:val="center"/>
              <w:rPr>
                <w:rFonts w:ascii="Times New Roman" w:hAnsi="Times New Roman" w:cs="Times New Roman"/>
              </w:rPr>
            </w:pPr>
            <w:r>
              <w:rPr>
                <w:rFonts w:hint="eastAsia" w:ascii="Times New Roman" w:hAnsi="Times New Roman" w:cs="Times New Roman"/>
              </w:rPr>
              <w:t>4.6973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rPr>
            </w:pPr>
            <w:r>
              <w:rPr>
                <w:rFonts w:ascii="Times New Roman" w:hAnsi="Times New Roman" w:cs="Times New Roman"/>
                <w:b/>
              </w:rPr>
              <w:t>牧草地</w:t>
            </w:r>
          </w:p>
        </w:tc>
        <w:tc>
          <w:tcPr>
            <w:tcW w:w="1701" w:type="dxa"/>
            <w:vAlign w:val="center"/>
          </w:tcPr>
          <w:p>
            <w:pPr>
              <w:jc w:val="center"/>
              <w:rPr>
                <w:rFonts w:ascii="Times New Roman" w:hAnsi="Times New Roman" w:cs="Times New Roman"/>
              </w:rPr>
            </w:pPr>
            <w:r>
              <w:rPr>
                <w:rFonts w:hint="eastAsia" w:ascii="Times New Roman" w:hAnsi="Times New Roman" w:cs="Times New Roman"/>
              </w:rPr>
              <w:t>1.7608</w:t>
            </w:r>
          </w:p>
        </w:tc>
        <w:tc>
          <w:tcPr>
            <w:tcW w:w="1701" w:type="dxa"/>
            <w:vAlign w:val="center"/>
          </w:tcPr>
          <w:p>
            <w:pPr>
              <w:jc w:val="center"/>
              <w:rPr>
                <w:rFonts w:ascii="Times New Roman" w:hAnsi="Times New Roman" w:cs="Times New Roman"/>
              </w:rPr>
            </w:pPr>
            <w:r>
              <w:rPr>
                <w:rFonts w:ascii="Times New Roman" w:hAnsi="Times New Roman" w:cs="Times New Roman"/>
              </w:rPr>
              <w:t>0.0598</w:t>
            </w:r>
          </w:p>
        </w:tc>
        <w:tc>
          <w:tcPr>
            <w:tcW w:w="1623" w:type="dxa"/>
            <w:vAlign w:val="center"/>
          </w:tcPr>
          <w:p>
            <w:pPr>
              <w:jc w:val="center"/>
              <w:rPr>
                <w:rFonts w:ascii="Times New Roman" w:hAnsi="Times New Roman" w:cs="Times New Roman"/>
              </w:rPr>
            </w:pPr>
            <w:r>
              <w:rPr>
                <w:rFonts w:ascii="Times New Roman" w:hAnsi="Times New Roman" w:cs="Times New Roman"/>
              </w:rPr>
              <w:t>4.536</w:t>
            </w:r>
          </w:p>
        </w:tc>
        <w:tc>
          <w:tcPr>
            <w:tcW w:w="1744" w:type="dxa"/>
            <w:vAlign w:val="center"/>
          </w:tcPr>
          <w:p>
            <w:pPr>
              <w:jc w:val="center"/>
              <w:rPr>
                <w:rFonts w:ascii="Times New Roman" w:hAnsi="Times New Roman" w:cs="Times New Roman"/>
              </w:rPr>
            </w:pPr>
            <w:r>
              <w:rPr>
                <w:rFonts w:hint="eastAsia" w:ascii="Times New Roman" w:hAnsi="Times New Roman" w:cs="Times New Roman"/>
              </w:rPr>
              <w:t>0.4776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rPr>
            </w:pPr>
            <w:r>
              <w:rPr>
                <w:rFonts w:ascii="Times New Roman" w:hAnsi="Times New Roman" w:cs="Times New Roman"/>
                <w:b/>
              </w:rPr>
              <w:t>林地</w:t>
            </w:r>
          </w:p>
        </w:tc>
        <w:tc>
          <w:tcPr>
            <w:tcW w:w="1701" w:type="dxa"/>
            <w:vAlign w:val="center"/>
          </w:tcPr>
          <w:p>
            <w:pPr>
              <w:jc w:val="center"/>
              <w:rPr>
                <w:rFonts w:ascii="Times New Roman" w:hAnsi="Times New Roman" w:cs="Times New Roman"/>
              </w:rPr>
            </w:pPr>
            <w:r>
              <w:rPr>
                <w:rFonts w:hint="eastAsia" w:ascii="Times New Roman" w:hAnsi="Times New Roman" w:cs="Times New Roman"/>
              </w:rPr>
              <w:t>0.7686</w:t>
            </w:r>
          </w:p>
        </w:tc>
        <w:tc>
          <w:tcPr>
            <w:tcW w:w="1701" w:type="dxa"/>
            <w:vAlign w:val="center"/>
          </w:tcPr>
          <w:p>
            <w:pPr>
              <w:jc w:val="center"/>
              <w:rPr>
                <w:rFonts w:ascii="Times New Roman" w:hAnsi="Times New Roman" w:cs="Times New Roman"/>
              </w:rPr>
            </w:pPr>
            <w:r>
              <w:rPr>
                <w:rFonts w:hint="eastAsia" w:ascii="Times New Roman" w:hAnsi="Times New Roman" w:cs="Times New Roman"/>
              </w:rPr>
              <w:t>0.0710</w:t>
            </w:r>
          </w:p>
        </w:tc>
        <w:tc>
          <w:tcPr>
            <w:tcW w:w="1623" w:type="dxa"/>
            <w:vAlign w:val="center"/>
          </w:tcPr>
          <w:p>
            <w:pPr>
              <w:jc w:val="center"/>
              <w:rPr>
                <w:rFonts w:ascii="Times New Roman" w:hAnsi="Times New Roman" w:cs="Times New Roman"/>
              </w:rPr>
            </w:pPr>
            <w:r>
              <w:rPr>
                <w:rFonts w:hint="eastAsia" w:ascii="Times New Roman" w:hAnsi="Times New Roman" w:cs="Times New Roman"/>
              </w:rPr>
              <w:t>0.015</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rPr>
            </w:pPr>
            <w:r>
              <w:rPr>
                <w:rFonts w:ascii="Times New Roman" w:hAnsi="Times New Roman" w:cs="Times New Roman"/>
                <w:b/>
              </w:rPr>
              <w:t>水域</w:t>
            </w:r>
          </w:p>
        </w:tc>
        <w:tc>
          <w:tcPr>
            <w:tcW w:w="1701" w:type="dxa"/>
            <w:vAlign w:val="center"/>
          </w:tcPr>
          <w:p>
            <w:pPr>
              <w:jc w:val="center"/>
              <w:rPr>
                <w:rFonts w:ascii="Times New Roman" w:hAnsi="Times New Roman" w:cs="Times New Roman"/>
              </w:rPr>
            </w:pPr>
            <w:r>
              <w:rPr>
                <w:rFonts w:hint="eastAsia" w:ascii="Times New Roman" w:hAnsi="Times New Roman" w:cs="Times New Roman"/>
              </w:rPr>
              <w:t>0.0006</w:t>
            </w:r>
          </w:p>
        </w:tc>
        <w:tc>
          <w:tcPr>
            <w:tcW w:w="1701" w:type="dxa"/>
            <w:vAlign w:val="center"/>
          </w:tcPr>
          <w:p>
            <w:pPr>
              <w:jc w:val="center"/>
              <w:rPr>
                <w:rFonts w:ascii="Times New Roman" w:hAnsi="Times New Roman" w:cs="Times New Roman"/>
              </w:rPr>
            </w:pPr>
            <w:r>
              <w:rPr>
                <w:rFonts w:hint="eastAsia" w:ascii="Times New Roman" w:hAnsi="Times New Roman" w:cs="Times New Roman"/>
              </w:rPr>
              <w:t>0.4120</w:t>
            </w:r>
          </w:p>
        </w:tc>
        <w:tc>
          <w:tcPr>
            <w:tcW w:w="1623" w:type="dxa"/>
            <w:vAlign w:val="center"/>
          </w:tcPr>
          <w:p>
            <w:pPr>
              <w:jc w:val="center"/>
              <w:rPr>
                <w:rFonts w:ascii="Times New Roman" w:hAnsi="Times New Roman" w:cs="Times New Roman"/>
              </w:rPr>
            </w:pPr>
            <w:r>
              <w:rPr>
                <w:rFonts w:hint="eastAsia" w:ascii="Times New Roman" w:hAnsi="Times New Roman" w:cs="Times New Roman"/>
              </w:rPr>
              <w:t>0.6520</w:t>
            </w:r>
          </w:p>
        </w:tc>
        <w:tc>
          <w:tcPr>
            <w:tcW w:w="1744" w:type="dxa"/>
            <w:vAlign w:val="center"/>
          </w:tcPr>
          <w:p>
            <w:pPr>
              <w:jc w:val="center"/>
              <w:rPr>
                <w:rFonts w:ascii="Times New Roman" w:hAnsi="Times New Roman" w:cs="Times New Roman"/>
              </w:rPr>
            </w:pPr>
            <w:r>
              <w:rPr>
                <w:rFonts w:hint="eastAsia" w:ascii="Times New Roman" w:hAnsi="Times New Roman" w:cs="Times New Roman"/>
              </w:rP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rPr>
            </w:pPr>
            <w:r>
              <w:rPr>
                <w:rFonts w:ascii="Times New Roman" w:hAnsi="Times New Roman" w:cs="Times New Roman"/>
                <w:b/>
              </w:rPr>
              <w:t>建设用地</w:t>
            </w:r>
          </w:p>
        </w:tc>
        <w:tc>
          <w:tcPr>
            <w:tcW w:w="1701" w:type="dxa"/>
            <w:vAlign w:val="center"/>
          </w:tcPr>
          <w:p>
            <w:pPr>
              <w:jc w:val="center"/>
              <w:rPr>
                <w:rFonts w:ascii="Times New Roman" w:hAnsi="Times New Roman" w:cs="Times New Roman"/>
              </w:rPr>
            </w:pPr>
            <w:r>
              <w:rPr>
                <w:rFonts w:hint="eastAsia" w:ascii="Times New Roman" w:hAnsi="Times New Roman" w:cs="Times New Roman"/>
              </w:rPr>
              <w:t>0.1363</w:t>
            </w:r>
          </w:p>
        </w:tc>
        <w:tc>
          <w:tcPr>
            <w:tcW w:w="1701" w:type="dxa"/>
            <w:vAlign w:val="center"/>
          </w:tcPr>
          <w:p>
            <w:pPr>
              <w:jc w:val="center"/>
              <w:rPr>
                <w:rFonts w:ascii="Times New Roman" w:hAnsi="Times New Roman" w:cs="Times New Roman"/>
              </w:rPr>
            </w:pPr>
            <w:r>
              <w:rPr>
                <w:rFonts w:hint="eastAsia" w:ascii="Times New Roman" w:hAnsi="Times New Roman" w:cs="Times New Roman"/>
              </w:rPr>
              <w:t>10.139</w:t>
            </w:r>
          </w:p>
        </w:tc>
        <w:tc>
          <w:tcPr>
            <w:tcW w:w="1623" w:type="dxa"/>
            <w:vAlign w:val="center"/>
          </w:tcPr>
          <w:p>
            <w:pPr>
              <w:jc w:val="center"/>
              <w:rPr>
                <w:rFonts w:ascii="Times New Roman" w:hAnsi="Times New Roman" w:cs="Times New Roman"/>
              </w:rPr>
            </w:pPr>
            <w:r>
              <w:rPr>
                <w:rFonts w:hint="eastAsia" w:ascii="Times New Roman" w:hAnsi="Times New Roman" w:cs="Times New Roman"/>
              </w:rPr>
              <w:t>0.758</w:t>
            </w:r>
          </w:p>
        </w:tc>
        <w:tc>
          <w:tcPr>
            <w:tcW w:w="1744" w:type="dxa"/>
            <w:vAlign w:val="center"/>
          </w:tcPr>
          <w:p>
            <w:pPr>
              <w:jc w:val="center"/>
              <w:rPr>
                <w:rFonts w:ascii="Times New Roman" w:hAnsi="Times New Roman" w:cs="Times New Roman"/>
              </w:rPr>
            </w:pPr>
            <w:r>
              <w:rPr>
                <w:rFonts w:hint="eastAsia" w:ascii="Times New Roman" w:hAnsi="Times New Roman" w:cs="Times New Roman"/>
              </w:rPr>
              <w:t>1.0475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rPr>
            </w:pPr>
            <w:r>
              <w:rPr>
                <w:rFonts w:ascii="Times New Roman" w:hAnsi="Times New Roman" w:cs="Times New Roman"/>
                <w:b/>
              </w:rPr>
              <w:t>化石能源用地</w:t>
            </w:r>
          </w:p>
        </w:tc>
        <w:tc>
          <w:tcPr>
            <w:tcW w:w="1701" w:type="dxa"/>
            <w:vAlign w:val="center"/>
          </w:tcPr>
          <w:p>
            <w:pPr>
              <w:jc w:val="center"/>
              <w:rPr>
                <w:rFonts w:ascii="Times New Roman" w:hAnsi="Times New Roman" w:cs="Times New Roman"/>
              </w:rPr>
            </w:pPr>
            <w:r>
              <w:rPr>
                <w:rFonts w:hint="eastAsia" w:ascii="Times New Roman" w:hAnsi="Times New Roman" w:cs="Times New Roman"/>
              </w:rPr>
              <w:t>/</w:t>
            </w:r>
          </w:p>
        </w:tc>
        <w:tc>
          <w:tcPr>
            <w:tcW w:w="1701" w:type="dxa"/>
            <w:vAlign w:val="center"/>
          </w:tcPr>
          <w:p>
            <w:pPr>
              <w:jc w:val="center"/>
              <w:rPr>
                <w:rFonts w:ascii="Times New Roman" w:hAnsi="Times New Roman" w:cs="Times New Roman"/>
              </w:rPr>
            </w:pPr>
            <w:r>
              <w:rPr>
                <w:rFonts w:hint="eastAsia" w:ascii="Times New Roman" w:hAnsi="Times New Roman" w:cs="Times New Roman"/>
              </w:rPr>
              <w:t>0.0710</w:t>
            </w:r>
          </w:p>
        </w:tc>
        <w:tc>
          <w:tcPr>
            <w:tcW w:w="1623" w:type="dxa"/>
            <w:vAlign w:val="center"/>
          </w:tcPr>
          <w:p>
            <w:pPr>
              <w:jc w:val="center"/>
              <w:rPr>
                <w:rFonts w:ascii="Times New Roman" w:hAnsi="Times New Roman" w:cs="Times New Roman"/>
              </w:rPr>
            </w:pPr>
            <w:r>
              <w:rPr>
                <w:rFonts w:hint="eastAsia" w:ascii="Times New Roman" w:hAnsi="Times New Roman" w:cs="Times New Roman"/>
              </w:rPr>
              <w:t>0.015</w:t>
            </w:r>
          </w:p>
        </w:tc>
        <w:tc>
          <w:tcPr>
            <w:tcW w:w="1744" w:type="dxa"/>
            <w:vAlign w:val="center"/>
          </w:tcPr>
          <w:p>
            <w:pPr>
              <w:jc w:val="center"/>
              <w:rPr>
                <w:rFonts w:ascii="Times New Roman" w:hAnsi="Times New Roman" w:cs="Times New Roman"/>
              </w:rPr>
            </w:pPr>
            <w:r>
              <w:rPr>
                <w:rFonts w:hint="eastAsia"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rPr>
            </w:pPr>
            <w:r>
              <w:rPr>
                <w:rFonts w:ascii="Times New Roman" w:hAnsi="Times New Roman" w:cs="Times New Roman"/>
                <w:b/>
              </w:rPr>
              <w:t>总计</w:t>
            </w:r>
          </w:p>
        </w:tc>
        <w:tc>
          <w:tcPr>
            <w:tcW w:w="1701" w:type="dxa"/>
            <w:vAlign w:val="center"/>
          </w:tcPr>
          <w:p>
            <w:pPr>
              <w:jc w:val="center"/>
              <w:rPr>
                <w:rFonts w:ascii="Times New Roman" w:hAnsi="Times New Roman" w:cs="Times New Roman"/>
              </w:rPr>
            </w:pPr>
          </w:p>
        </w:tc>
        <w:tc>
          <w:tcPr>
            <w:tcW w:w="1701" w:type="dxa"/>
            <w:vAlign w:val="center"/>
          </w:tcPr>
          <w:p>
            <w:pPr>
              <w:jc w:val="center"/>
              <w:rPr>
                <w:rFonts w:ascii="Times New Roman" w:hAnsi="Times New Roman" w:cs="Times New Roman"/>
              </w:rPr>
            </w:pPr>
          </w:p>
        </w:tc>
        <w:tc>
          <w:tcPr>
            <w:tcW w:w="1623" w:type="dxa"/>
            <w:vAlign w:val="center"/>
          </w:tcPr>
          <w:p>
            <w:pPr>
              <w:jc w:val="center"/>
              <w:rPr>
                <w:rFonts w:ascii="Times New Roman" w:hAnsi="Times New Roman" w:cs="Times New Roman"/>
              </w:rPr>
            </w:pPr>
          </w:p>
        </w:tc>
        <w:tc>
          <w:tcPr>
            <w:tcW w:w="1744" w:type="dxa"/>
            <w:vAlign w:val="center"/>
          </w:tcPr>
          <w:p>
            <w:pPr>
              <w:jc w:val="center"/>
              <w:rPr>
                <w:rFonts w:ascii="Times New Roman" w:hAnsi="Times New Roman" w:cs="Times New Roman"/>
              </w:rPr>
            </w:pPr>
            <w:r>
              <w:rPr>
                <w:rFonts w:hint="eastAsia" w:ascii="Times New Roman" w:hAnsi="Times New Roman" w:cs="Times New Roman"/>
              </w:rPr>
              <w:t>6.2234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b/>
                <w:i/>
              </w:rPr>
            </w:pPr>
          </w:p>
        </w:tc>
        <w:tc>
          <w:tcPr>
            <w:tcW w:w="1701" w:type="dxa"/>
            <w:vAlign w:val="center"/>
          </w:tcPr>
          <w:p>
            <w:pPr>
              <w:jc w:val="center"/>
              <w:rPr>
                <w:rFonts w:ascii="Times New Roman" w:hAnsi="Times New Roman" w:cs="Times New Roman"/>
                <w:i/>
              </w:rPr>
            </w:pPr>
          </w:p>
        </w:tc>
        <w:tc>
          <w:tcPr>
            <w:tcW w:w="1701" w:type="dxa"/>
            <w:vAlign w:val="center"/>
          </w:tcPr>
          <w:p>
            <w:pPr>
              <w:jc w:val="center"/>
              <w:rPr>
                <w:rFonts w:ascii="Times New Roman" w:hAnsi="Times New Roman" w:cs="Times New Roman"/>
                <w:i/>
              </w:rPr>
            </w:pPr>
          </w:p>
        </w:tc>
        <w:tc>
          <w:tcPr>
            <w:tcW w:w="1623" w:type="dxa"/>
            <w:vAlign w:val="center"/>
          </w:tcPr>
          <w:p>
            <w:pPr>
              <w:jc w:val="center"/>
              <w:rPr>
                <w:rFonts w:ascii="Times New Roman" w:hAnsi="Times New Roman" w:cs="Times New Roman"/>
                <w:i/>
              </w:rPr>
            </w:pPr>
            <w:r>
              <w:rPr>
                <w:rFonts w:hint="eastAsia" w:ascii="Times New Roman" w:hAnsi="Times New Roman" w:cs="Times New Roman"/>
                <w:i/>
              </w:rPr>
              <w:t>EC=900579</w:t>
            </w:r>
          </w:p>
        </w:tc>
        <w:tc>
          <w:tcPr>
            <w:tcW w:w="1744" w:type="dxa"/>
            <w:vAlign w:val="center"/>
          </w:tcPr>
          <w:p>
            <w:pPr>
              <w:jc w:val="center"/>
              <w:rPr>
                <w:rFonts w:ascii="Times New Roman" w:hAnsi="Times New Roman" w:cs="Times New Roman"/>
                <w:i/>
              </w:rPr>
            </w:pPr>
            <w:r>
              <w:rPr>
                <w:rFonts w:hint="eastAsia" w:ascii="Times New Roman" w:hAnsi="Times New Roman" w:cs="Times New Roman"/>
                <w:i/>
              </w:rPr>
              <w:t>ec=5.4766</w:t>
            </w:r>
          </w:p>
        </w:tc>
      </w:tr>
    </w:tbl>
    <w:p>
      <w:pPr>
        <w:adjustRightInd w:val="0"/>
        <w:snapToGrid w:val="0"/>
        <w:spacing w:line="360" w:lineRule="auto"/>
        <w:ind w:firstLine="560" w:firstLineChars="200"/>
        <w:rPr>
          <w:rFonts w:ascii="仿宋_GB2312" w:hAnsi="黑体" w:eastAsia="仿宋_GB2312"/>
          <w:sz w:val="28"/>
          <w:szCs w:val="28"/>
        </w:rPr>
      </w:pPr>
    </w:p>
    <w:p>
      <w:pPr>
        <w:pStyle w:val="3"/>
        <w:adjustRightInd w:val="0"/>
        <w:snapToGrid w:val="0"/>
        <w:spacing w:before="120" w:after="120" w:line="360" w:lineRule="auto"/>
        <w:ind w:left="210" w:leftChars="100"/>
        <w:rPr>
          <w:rFonts w:ascii="黑体" w:hAnsi="黑体" w:eastAsia="黑体"/>
          <w:kern w:val="0"/>
          <w:sz w:val="30"/>
          <w:szCs w:val="30"/>
        </w:rPr>
      </w:pPr>
      <w:bookmarkStart w:id="26" w:name="_Toc111980883"/>
      <w:r>
        <w:rPr>
          <w:rFonts w:hint="eastAsia" w:ascii="黑体" w:hAnsi="黑体" w:eastAsia="黑体"/>
          <w:kern w:val="0"/>
          <w:sz w:val="30"/>
          <w:szCs w:val="30"/>
        </w:rPr>
        <w:t>6.5可持续发展分析</w:t>
      </w:r>
      <w:bookmarkEnd w:id="26"/>
    </w:p>
    <w:p>
      <w:pPr>
        <w:adjustRightInd w:val="0"/>
        <w:snapToGrid w:val="0"/>
        <w:spacing w:line="360" w:lineRule="auto"/>
        <w:ind w:firstLine="560" w:firstLineChars="200"/>
        <w:rPr>
          <w:rFonts w:ascii="仿宋_GB2312" w:hAnsi="黑体" w:eastAsia="仿宋_GB2312"/>
          <w:sz w:val="28"/>
          <w:szCs w:val="28"/>
        </w:rPr>
      </w:pPr>
      <w:r>
        <w:rPr>
          <w:rFonts w:ascii="仿宋_GB2312" w:hAnsi="黑体" w:eastAsia="仿宋_GB2312"/>
          <w:sz w:val="28"/>
          <w:szCs w:val="28"/>
        </w:rPr>
        <w:t>收集盐池县</w:t>
      </w:r>
      <w:r>
        <w:rPr>
          <w:rFonts w:hint="eastAsia" w:ascii="仿宋_GB2312" w:hAnsi="黑体" w:eastAsia="仿宋_GB2312"/>
          <w:sz w:val="28"/>
          <w:szCs w:val="28"/>
        </w:rPr>
        <w:t>从1978年以来耕地、牧草地、林地、水域、建设用地、化石能源用地以及经济、人口统计数据，计算各类生态足迹结构变化情况，计算结果见图6-5。</w:t>
      </w:r>
    </w:p>
    <w:p>
      <w:pPr>
        <w:adjustRightInd w:val="0"/>
        <w:snapToGrid w:val="0"/>
        <w:spacing w:line="360" w:lineRule="auto"/>
        <w:ind w:firstLine="560" w:firstLineChars="200"/>
        <w:rPr>
          <w:rFonts w:ascii="仿宋_GB2312" w:hAnsi="黑体" w:eastAsia="仿宋_GB2312"/>
          <w:sz w:val="28"/>
          <w:szCs w:val="28"/>
        </w:rPr>
      </w:pPr>
      <w:r>
        <w:rPr>
          <w:rFonts w:ascii="仿宋_GB2312" w:hAnsi="黑体" w:eastAsia="仿宋_GB2312"/>
          <w:sz w:val="28"/>
          <w:szCs w:val="28"/>
        </w:rPr>
        <w:t>从多年的情况来看，粮食类的人均生态足迹最大，其次为牛羊肉和奶类、水产品等消费；</w:t>
      </w:r>
      <w:r>
        <w:rPr>
          <w:rFonts w:hint="eastAsia" w:ascii="仿宋_GB2312" w:hAnsi="黑体" w:eastAsia="仿宋_GB2312"/>
          <w:sz w:val="28"/>
          <w:szCs w:val="28"/>
        </w:rPr>
        <w:t>从</w:t>
      </w:r>
      <w:r>
        <w:rPr>
          <w:rFonts w:ascii="仿宋_GB2312" w:hAnsi="黑体" w:eastAsia="仿宋_GB2312"/>
          <w:sz w:val="28"/>
          <w:szCs w:val="28"/>
        </w:rPr>
        <w:t>生态足迹结构来看，</w:t>
      </w:r>
      <w:r>
        <w:rPr>
          <w:rFonts w:hint="eastAsia" w:ascii="仿宋_GB2312" w:hAnsi="黑体" w:eastAsia="仿宋_GB2312"/>
          <w:sz w:val="28"/>
          <w:szCs w:val="28"/>
        </w:rPr>
        <w:t>人均</w:t>
      </w:r>
      <w:r>
        <w:rPr>
          <w:rFonts w:ascii="仿宋_GB2312" w:hAnsi="黑体" w:eastAsia="仿宋_GB2312"/>
          <w:sz w:val="28"/>
          <w:szCs w:val="28"/>
        </w:rPr>
        <w:t>耕地生态足迹比例最大，其次为草地，建筑用地为第三，且人均耕地生态足迹比例逐年下降，人均草地</w:t>
      </w:r>
      <w:r>
        <w:rPr>
          <w:rFonts w:hint="eastAsia" w:ascii="仿宋_GB2312" w:hAnsi="黑体" w:eastAsia="仿宋_GB2312"/>
          <w:sz w:val="28"/>
          <w:szCs w:val="28"/>
        </w:rPr>
        <w:t>、</w:t>
      </w:r>
      <w:r>
        <w:rPr>
          <w:rFonts w:ascii="仿宋_GB2312" w:hAnsi="黑体" w:eastAsia="仿宋_GB2312"/>
          <w:sz w:val="28"/>
          <w:szCs w:val="28"/>
        </w:rPr>
        <w:t>建筑用地和化石能源用地比例逐年上升。</w:t>
      </w:r>
      <w:r>
        <w:rPr>
          <w:rFonts w:hint="eastAsia" w:ascii="仿宋_GB2312" w:hAnsi="黑体" w:eastAsia="仿宋_GB2312"/>
          <w:sz w:val="28"/>
          <w:szCs w:val="28"/>
        </w:rPr>
        <w:t>说明</w:t>
      </w:r>
      <w:r>
        <w:rPr>
          <w:rFonts w:ascii="仿宋_GB2312" w:hAnsi="黑体" w:eastAsia="仿宋_GB2312"/>
          <w:sz w:val="28"/>
          <w:szCs w:val="28"/>
        </w:rPr>
        <w:t>盐池县近年来人们消费</w:t>
      </w:r>
      <w:r>
        <w:rPr>
          <w:rFonts w:hint="eastAsia" w:ascii="仿宋_GB2312" w:hAnsi="黑体" w:eastAsia="仿宋_GB2312"/>
          <w:sz w:val="28"/>
          <w:szCs w:val="28"/>
        </w:rPr>
        <w:t>结构开始发生变化，高营养和高能量食物的消费有所增加，同时也说明经济结构出现转型，即由第一产业转为第二产业的态势。</w:t>
      </w:r>
    </w:p>
    <w:p>
      <w:pPr>
        <w:adjustRightInd w:val="0"/>
        <w:snapToGrid w:val="0"/>
        <w:spacing w:line="360" w:lineRule="auto"/>
        <w:ind w:firstLine="560" w:firstLineChars="200"/>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adjustRightInd w:val="0"/>
        <w:snapToGrid w:val="0"/>
        <w:spacing w:line="360" w:lineRule="auto"/>
        <w:jc w:val="center"/>
        <w:rPr>
          <w:rFonts w:ascii="仿宋_GB2312" w:hAnsi="黑体" w:eastAsia="仿宋_GB2312"/>
          <w:sz w:val="28"/>
          <w:szCs w:val="28"/>
        </w:rPr>
      </w:pPr>
      <w:r>
        <w:drawing>
          <wp:inline distT="0" distB="0" distL="0" distR="0">
            <wp:extent cx="5400040" cy="2818765"/>
            <wp:effectExtent l="0" t="0" r="10160" b="1968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adjustRightInd w:val="0"/>
        <w:snapToGrid w:val="0"/>
        <w:spacing w:line="360" w:lineRule="auto"/>
        <w:jc w:val="center"/>
        <w:rPr>
          <w:rFonts w:ascii="仿宋_GB2312" w:hAnsi="黑体" w:eastAsia="仿宋_GB2312"/>
          <w:sz w:val="28"/>
          <w:szCs w:val="28"/>
        </w:rPr>
      </w:pPr>
      <w:r>
        <w:rPr>
          <w:rFonts w:ascii="仿宋_GB2312" w:hAnsi="黑体" w:eastAsia="仿宋_GB2312"/>
          <w:sz w:val="28"/>
          <w:szCs w:val="28"/>
        </w:rPr>
        <w:t>图</w:t>
      </w:r>
      <w:r>
        <w:rPr>
          <w:rFonts w:hint="eastAsia" w:ascii="仿宋_GB2312" w:hAnsi="黑体" w:eastAsia="仿宋_GB2312"/>
          <w:sz w:val="28"/>
          <w:szCs w:val="28"/>
        </w:rPr>
        <w:t>6-5 各类生态足迹结构变化趋势</w:t>
      </w:r>
    </w:p>
    <w:p>
      <w:pPr>
        <w:adjustRightInd w:val="0"/>
        <w:snapToGrid w:val="0"/>
        <w:spacing w:line="360" w:lineRule="auto"/>
        <w:ind w:firstLine="560" w:firstLineChars="200"/>
        <w:rPr>
          <w:rFonts w:ascii="仿宋_GB2312" w:hAnsi="黑体" w:eastAsia="仿宋_GB2312"/>
          <w:sz w:val="28"/>
          <w:szCs w:val="28"/>
        </w:rPr>
      </w:pPr>
      <w:r>
        <w:rPr>
          <w:rFonts w:ascii="仿宋_GB2312" w:hAnsi="黑体" w:eastAsia="仿宋_GB2312"/>
          <w:sz w:val="28"/>
          <w:szCs w:val="28"/>
        </w:rPr>
        <w:t>根据计算结果可知，盐池县水资源短缺，生态系统脆弱，严重制约经济、社会的可持续发展。盐池县生态足迹和生态承载力的主要供给部分均有耕地</w:t>
      </w:r>
      <w:r>
        <w:rPr>
          <w:rFonts w:hint="eastAsia" w:ascii="仿宋_GB2312" w:hAnsi="黑体" w:eastAsia="仿宋_GB2312"/>
          <w:sz w:val="28"/>
          <w:szCs w:val="28"/>
        </w:rPr>
        <w:t>、</w:t>
      </w:r>
      <w:r>
        <w:rPr>
          <w:rFonts w:ascii="仿宋_GB2312" w:hAnsi="黑体" w:eastAsia="仿宋_GB2312"/>
          <w:sz w:val="28"/>
          <w:szCs w:val="28"/>
        </w:rPr>
        <w:t>草地，因此在今后的发展中，必须对耕地和草地进行最大限度的保护。保护耕地、合理开发及持续利用宝贵的土地资源和恢复草原植被，扩大草原面积，充分发挥植被的生态保护作用。</w:t>
      </w:r>
    </w:p>
    <w:p>
      <w:pPr>
        <w:adjustRightInd w:val="0"/>
        <w:snapToGrid w:val="0"/>
        <w:spacing w:line="360" w:lineRule="auto"/>
        <w:ind w:firstLine="560" w:firstLineChars="200"/>
        <w:rPr>
          <w:rFonts w:ascii="仿宋_GB2312" w:hAnsi="黑体" w:eastAsia="仿宋_GB2312"/>
          <w:sz w:val="28"/>
          <w:szCs w:val="28"/>
        </w:rPr>
      </w:pPr>
      <w:r>
        <w:rPr>
          <w:rFonts w:ascii="仿宋_GB2312" w:hAnsi="黑体" w:eastAsia="仿宋_GB2312"/>
          <w:sz w:val="28"/>
          <w:szCs w:val="28"/>
        </w:rPr>
        <w:t>（</w:t>
      </w:r>
      <w:r>
        <w:rPr>
          <w:rFonts w:hint="eastAsia" w:ascii="仿宋_GB2312" w:hAnsi="黑体" w:eastAsia="仿宋_GB2312"/>
          <w:sz w:val="28"/>
          <w:szCs w:val="28"/>
        </w:rPr>
        <w:t>1</w:t>
      </w:r>
      <w:r>
        <w:rPr>
          <w:rFonts w:ascii="仿宋_GB2312" w:hAnsi="黑体" w:eastAsia="仿宋_GB2312"/>
          <w:sz w:val="28"/>
          <w:szCs w:val="28"/>
        </w:rPr>
        <w:t>）从</w:t>
      </w:r>
      <w:r>
        <w:rPr>
          <w:rFonts w:hint="eastAsia" w:ascii="仿宋_GB2312" w:hAnsi="黑体" w:eastAsia="仿宋_GB2312"/>
          <w:sz w:val="28"/>
          <w:szCs w:val="28"/>
        </w:rPr>
        <w:t>2010年以来，盐池人均生态足迹处于增长趋势，人均生态承载力一直在降低。</w:t>
      </w:r>
    </w:p>
    <w:p>
      <w:pPr>
        <w:adjustRightInd w:val="0"/>
        <w:snapToGrid w:val="0"/>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（2）2018年是盐池生态经济系统可持续发展状态的转折点，人均生态承载力大幅增加。</w:t>
      </w:r>
    </w:p>
    <w:p>
      <w:pPr>
        <w:adjustRightInd w:val="0"/>
        <w:snapToGrid w:val="0"/>
        <w:spacing w:line="360" w:lineRule="auto"/>
        <w:ind w:firstLine="560" w:firstLineChars="200"/>
        <w:rPr>
          <w:rFonts w:ascii="仿宋_GB2312" w:hAnsi="黑体" w:eastAsia="仿宋_GB2312"/>
          <w:sz w:val="28"/>
          <w:szCs w:val="28"/>
        </w:rPr>
      </w:pPr>
      <w:r>
        <w:rPr>
          <w:rFonts w:ascii="仿宋_GB2312" w:hAnsi="黑体" w:eastAsia="仿宋_GB2312"/>
          <w:sz w:val="28"/>
          <w:szCs w:val="28"/>
        </w:rPr>
        <w:t>（</w:t>
      </w:r>
      <w:r>
        <w:rPr>
          <w:rFonts w:hint="eastAsia" w:ascii="仿宋_GB2312" w:hAnsi="黑体" w:eastAsia="仿宋_GB2312"/>
          <w:sz w:val="28"/>
          <w:szCs w:val="28"/>
        </w:rPr>
        <w:t>3</w:t>
      </w:r>
      <w:r>
        <w:rPr>
          <w:rFonts w:ascii="仿宋_GB2312" w:hAnsi="黑体" w:eastAsia="仿宋_GB2312"/>
          <w:sz w:val="28"/>
          <w:szCs w:val="28"/>
        </w:rPr>
        <w:t>）经济的快速发展和人口的增长，已经给盐池带来了一定的生态压力。</w:t>
      </w:r>
    </w:p>
    <w:p>
      <w:pPr>
        <w:adjustRightInd w:val="0"/>
        <w:snapToGrid w:val="0"/>
        <w:spacing w:line="360" w:lineRule="auto"/>
        <w:ind w:firstLine="560" w:firstLineChars="200"/>
        <w:rPr>
          <w:rFonts w:ascii="仿宋_GB2312" w:hAnsi="黑体" w:eastAsia="仿宋_GB2312"/>
          <w:sz w:val="28"/>
          <w:szCs w:val="28"/>
        </w:rPr>
      </w:pPr>
      <w:r>
        <w:rPr>
          <w:rFonts w:ascii="仿宋_GB2312" w:hAnsi="黑体" w:eastAsia="仿宋_GB2312"/>
          <w:sz w:val="28"/>
          <w:szCs w:val="28"/>
        </w:rPr>
        <w:t>（</w:t>
      </w:r>
      <w:r>
        <w:rPr>
          <w:rFonts w:hint="eastAsia" w:ascii="仿宋_GB2312" w:hAnsi="黑体" w:eastAsia="仿宋_GB2312"/>
          <w:sz w:val="28"/>
          <w:szCs w:val="28"/>
        </w:rPr>
        <w:t>4</w:t>
      </w:r>
      <w:r>
        <w:rPr>
          <w:rFonts w:ascii="仿宋_GB2312" w:hAnsi="黑体" w:eastAsia="仿宋_GB2312"/>
          <w:sz w:val="28"/>
          <w:szCs w:val="28"/>
        </w:rPr>
        <w:t>）耕地和草地是生态承载力的主要供给，水域的承载能力非常脆弱。这也说明了盐池是以农牧业为主，且水资源短缺的现实。</w:t>
      </w:r>
    </w:p>
    <w:p>
      <w:pPr>
        <w:adjustRightInd w:val="0"/>
        <w:snapToGrid w:val="0"/>
        <w:spacing w:line="360" w:lineRule="auto"/>
        <w:jc w:val="center"/>
        <w:rPr>
          <w:rFonts w:ascii="仿宋_GB2312" w:hAnsi="黑体" w:eastAsia="仿宋_GB2312"/>
          <w:sz w:val="28"/>
          <w:szCs w:val="28"/>
        </w:rPr>
        <w:sectPr>
          <w:pgSz w:w="11906" w:h="16838"/>
          <w:pgMar w:top="1701" w:right="1701" w:bottom="1701" w:left="1701" w:header="851" w:footer="992" w:gutter="0"/>
          <w:cols w:space="425" w:num="1"/>
          <w:docGrid w:type="lines" w:linePitch="312" w:charSpace="0"/>
        </w:sectPr>
      </w:pPr>
    </w:p>
    <w:p>
      <w:pPr>
        <w:pStyle w:val="2"/>
        <w:adjustRightInd w:val="0"/>
        <w:snapToGrid w:val="0"/>
        <w:spacing w:before="240" w:after="240" w:line="360" w:lineRule="auto"/>
        <w:rPr>
          <w:rFonts w:ascii="黑体" w:hAnsi="黑体" w:eastAsia="黑体"/>
          <w:sz w:val="32"/>
          <w:szCs w:val="32"/>
        </w:rPr>
      </w:pPr>
      <w:bookmarkStart w:id="27" w:name="_Toc111980884"/>
      <w:r>
        <w:rPr>
          <w:rFonts w:hint="eastAsia" w:ascii="黑体" w:hAnsi="黑体" w:eastAsia="黑体"/>
          <w:sz w:val="32"/>
          <w:szCs w:val="32"/>
        </w:rPr>
        <w:t>7结论及对策建议</w:t>
      </w:r>
      <w:bookmarkEnd w:id="27"/>
    </w:p>
    <w:p>
      <w:pPr>
        <w:pStyle w:val="3"/>
        <w:adjustRightInd w:val="0"/>
        <w:snapToGrid w:val="0"/>
        <w:spacing w:before="120" w:after="120" w:line="360" w:lineRule="auto"/>
        <w:rPr>
          <w:rFonts w:ascii="黑体" w:hAnsi="黑体" w:eastAsia="黑体"/>
          <w:kern w:val="0"/>
          <w:sz w:val="30"/>
          <w:szCs w:val="30"/>
        </w:rPr>
      </w:pPr>
      <w:bookmarkStart w:id="28" w:name="_Toc111980885"/>
      <w:r>
        <w:rPr>
          <w:rFonts w:hint="eastAsia" w:ascii="黑体" w:hAnsi="黑体" w:eastAsia="黑体"/>
          <w:kern w:val="0"/>
          <w:sz w:val="30"/>
          <w:szCs w:val="30"/>
        </w:rPr>
        <w:t>7.1结论</w:t>
      </w:r>
      <w:bookmarkEnd w:id="28"/>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通过对环境现状进行分析，构建指标体系识别出主要环境问题，采用生态足迹模型分析预测了生态环境承载力，为精准治污、科学治污提供决策参考。</w:t>
      </w:r>
    </w:p>
    <w:p>
      <w:pPr>
        <w:pStyle w:val="3"/>
        <w:adjustRightInd w:val="0"/>
        <w:snapToGrid w:val="0"/>
        <w:spacing w:before="120" w:after="120" w:line="360" w:lineRule="auto"/>
        <w:rPr>
          <w:rFonts w:ascii="黑体" w:hAnsi="黑体" w:eastAsia="黑体"/>
          <w:kern w:val="0"/>
          <w:sz w:val="30"/>
          <w:szCs w:val="30"/>
        </w:rPr>
      </w:pPr>
      <w:bookmarkStart w:id="29" w:name="_Toc111980886"/>
      <w:r>
        <w:rPr>
          <w:rFonts w:hint="eastAsia" w:ascii="黑体" w:hAnsi="黑体" w:eastAsia="黑体"/>
          <w:kern w:val="0"/>
          <w:sz w:val="30"/>
          <w:szCs w:val="30"/>
        </w:rPr>
        <w:t>7.2对策建议</w:t>
      </w:r>
      <w:bookmarkEnd w:id="29"/>
    </w:p>
    <w:p>
      <w:pPr>
        <w:widowControl/>
        <w:adjustRightInd w:val="0"/>
        <w:snapToGrid w:val="0"/>
        <w:spacing w:line="360" w:lineRule="auto"/>
        <w:ind w:firstLine="592" w:firstLineChars="200"/>
        <w:rPr>
          <w:rFonts w:ascii="仿宋_GB2312" w:hAnsi="宋体" w:eastAsia="仿宋_GB2312" w:cs="宋体"/>
          <w:kern w:val="0"/>
          <w:sz w:val="28"/>
          <w:szCs w:val="28"/>
        </w:rPr>
      </w:pPr>
      <w:r>
        <w:rPr>
          <w:rFonts w:hint="eastAsia" w:ascii="仿宋_GB2312" w:hAnsi="Arial" w:eastAsia="仿宋_GB2312" w:cs="Arial"/>
          <w:spacing w:val="8"/>
          <w:kern w:val="0"/>
          <w:sz w:val="28"/>
          <w:szCs w:val="28"/>
          <w:shd w:val="clear" w:color="auto" w:fill="FFFFFF"/>
        </w:rPr>
        <w:t>生态环保工作任重道远。我们要保持攻坚力度、延伸攻坚深度、拓展攻坚广度，稳中求进，推动污染防治攻坚取得新突破。</w:t>
      </w:r>
    </w:p>
    <w:p>
      <w:pPr>
        <w:widowControl/>
        <w:adjustRightInd w:val="0"/>
        <w:snapToGrid w:val="0"/>
        <w:spacing w:line="360" w:lineRule="auto"/>
        <w:ind w:firstLine="592" w:firstLineChars="200"/>
        <w:rPr>
          <w:rFonts w:ascii="仿宋_GB2312" w:hAnsi="宋体" w:eastAsia="仿宋_GB2312" w:cs="宋体"/>
          <w:kern w:val="0"/>
          <w:sz w:val="28"/>
          <w:szCs w:val="28"/>
        </w:rPr>
      </w:pPr>
      <w:r>
        <w:rPr>
          <w:rFonts w:hint="eastAsia" w:ascii="仿宋_GB2312" w:hAnsi="Arial" w:eastAsia="仿宋_GB2312" w:cs="Arial"/>
          <w:spacing w:val="8"/>
          <w:kern w:val="0"/>
          <w:sz w:val="28"/>
          <w:szCs w:val="28"/>
          <w:shd w:val="clear" w:color="auto" w:fill="FFFFFF"/>
        </w:rPr>
        <w:t>要更加有力地落实“三个治污”的工作方针。过去的一年，尽管受到疫情等不利因素影响，盐池县仍圆满完成了污染防治攻坚战阶段性目标任务。一个重要的做法就是认真落实精准治污、科学治污、依法治污“三个治污”方针，切实提高了污染治理成效。实践证明，“三个治污”方针是深入打好污染防治攻坚战的“纲”和“本”。精准治污是目标和要求，科学治污是基础，依法治污是手段。在精准治污方面，要更加聚焦工作重心，做到问题、时间、区域、对象、措施“五个精准”。在科学治污方面，要更加突出科学施策。坚持系统观念，遵循客观规律，强化对环境问题成因机理及时空和内在演变规律研究，做到科学决策、科学监管、科学治理。在依法治污方面，要增强法治思维、运用法治方式，从立法、执法、守法等各个环节推进依法治污，以法律的武器治理环境污染，用法治的力量保护生态环境。</w:t>
      </w:r>
    </w:p>
    <w:p>
      <w:pPr>
        <w:widowControl/>
        <w:adjustRightInd w:val="0"/>
        <w:snapToGrid w:val="0"/>
        <w:spacing w:line="360" w:lineRule="auto"/>
        <w:ind w:firstLine="592" w:firstLineChars="200"/>
        <w:rPr>
          <w:rFonts w:ascii="仿宋_GB2312" w:hAnsi="宋体" w:eastAsia="仿宋_GB2312" w:cs="宋体"/>
          <w:kern w:val="0"/>
          <w:sz w:val="28"/>
          <w:szCs w:val="28"/>
        </w:rPr>
      </w:pPr>
      <w:r>
        <w:rPr>
          <w:rFonts w:hint="eastAsia" w:ascii="仿宋_GB2312" w:hAnsi="Arial" w:eastAsia="仿宋_GB2312" w:cs="Arial"/>
          <w:spacing w:val="8"/>
          <w:kern w:val="0"/>
          <w:sz w:val="28"/>
          <w:szCs w:val="28"/>
          <w:shd w:val="clear" w:color="auto" w:fill="FFFFFF"/>
        </w:rPr>
        <w:t>要进一步强化系统观念，统筹兼顾、整体施策、多措并举，全方位、全领域、全过程协调推进治污攻坚。系统观念是解决发展不平衡、不充分的突出问题和矛盾的重要原则，更是指导生态环境保护工作的重要思想理念。山水林田湖草是相互依存、紧密联系的生命共同体，牵一发而动全身。一些污染问题表现在地下、在水里，根子却在地上、在岸上。这就要求我们，要用系统论的思想方法看问题，把系统观念贯彻落实到生态环境保护实践和具体工作中。要在强化末端治理、过程治理的同时，更加注重源头治理、系统治理、整体治理。从生态系统整体性和系统性出发，找出问题根源，从源头上系统开展生态环境修复和保护，防止头痛医头、脚痛医脚。加强协同联动，强化山水林田湖草等各生态要素的协同治理、重点区域的协同治理、上中下游地区间的协同治理，增强各项举措的关联性和耦合性。要注重整体推进，在重点突破的同时，加强综合治理系统性和整体性，防止畸重畸轻、单兵突进、顾此失彼。</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7.2.1加快调整产业结构</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存在产业结构偏重、能源结构偏煤、产业布局偏乱、交通运输结构不合理等结构性污染问题。聚焦结构性污染的突出领域，梳理四大结构优化调整中的重点难点，加强规划设计，分解目标任务，明确时限要求，持续从源头上治污减排。  </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（1）降低能耗，紧盯 “双碳”目标。</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深入贯彻新发展理念，牢固树立底线思维和红线意识，加快传统产业低碳转型，推进重点领域节能降耗，促进经济社会绿色发展，全力打好实现碳达峰碳中和这场硬仗。</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一是全面优化能源结构，构建新型工业体系。聚焦光伏、风电、氨气等领域，立足我县土地资源和区位优势，积极推进光伏一体化发展规划，力促制氢、储能、装备制造等配套产业落地盐池。全县引进风电光伏企业28家，累计完成并网发电4381兆瓦，实现工业总产值30.25亿元，同比增长2.7%。发挥天利丰等3家天然气加工企业先进工艺技术和稳定气源优势，全县日处理加工天然气能力达250万方；围绕青石昂、定北两个千亿方级气田开发建设，谋划天然气就地转化利用等资源能源开发建设项目13个。2021上半年，全县清洁能源企业预计实现产值38.57亿元，占规上工业企业总产值的32%。</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二是持续推进护林植绿，提升生态汇碳能力。加强森林资源培育，持续增强草原、绿地、湖泊、湿地等自然生态系统固碳能力。全年计划完成造林绿化任务14万亩，已完成未成林抚育提升及退化林改造0.55万亩。大力推动县城绿色化发展，严守生态保护红线、环境质量底线、资源利用上线，不断提升全县森林覆盖率、草原综合植被盖度两项指标，确保稳定达到国家级森林城市标准。</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三是加快推进固废处理，提升资源利用效率。充分发挥固废处理对碳达峰碳中和目标实现的协同作用，加快推进县域原生资源节约化、可</w:t>
      </w:r>
      <w:r>
        <w:rPr>
          <w:rFonts w:hint="eastAsia" w:ascii="仿宋_GB2312" w:hAnsi="Arial" w:eastAsia="仿宋_GB2312" w:cs="Arial"/>
          <w:sz w:val="28"/>
          <w:szCs w:val="28"/>
          <w:lang w:val="en-US" w:eastAsia="zh-CN"/>
        </w:rPr>
        <w:t>替代</w:t>
      </w:r>
      <w:r>
        <w:rPr>
          <w:rFonts w:hint="eastAsia" w:ascii="仿宋_GB2312" w:hAnsi="Arial" w:eastAsia="仿宋_GB2312" w:cs="Arial"/>
          <w:sz w:val="28"/>
          <w:szCs w:val="28"/>
        </w:rPr>
        <w:t>化。引进萌生环保等固废处理企业，推广综合利用产品在建筑材料等领域的利用。对宝丰能源四股泉煤矿等20家企业一般固体废物处置情况实施全年监测。重点培育固废协同处置综合利用，建设固废危废协同处置环保示范园。</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四是健全双碳工作机制，创新发展服务模式。建立政策措施落实清单，通过争取专项资金、贷款贴息和</w:t>
      </w:r>
      <w:r>
        <w:rPr>
          <w:rFonts w:hint="eastAsia" w:ascii="仿宋_GB2312" w:hAnsi="Arial" w:eastAsia="仿宋_GB2312" w:cs="Arial"/>
          <w:sz w:val="28"/>
          <w:szCs w:val="28"/>
          <w:lang w:val="en-US" w:eastAsia="zh-CN"/>
        </w:rPr>
        <w:t>纾困</w:t>
      </w:r>
      <w:r>
        <w:rPr>
          <w:rFonts w:hint="eastAsia" w:ascii="仿宋_GB2312" w:hAnsi="Arial" w:eastAsia="仿宋_GB2312" w:cs="Arial"/>
          <w:sz w:val="28"/>
          <w:szCs w:val="28"/>
        </w:rPr>
        <w:t>基金等方式，加大对清洁能源企业的支持力度。研究制定节能减碳协同增效工作方案，明确要求各企业加强新技术、新工艺、新设备等方面的转型升级和低碳改造，确保全县重点用能企业煤炭消耗量只降不增，通过第三方机构对全县重点用能企业进行能耗诊断，科学合理控制能耗指标，力争单位工业增加值能耗强度完成自治区下达目标。</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（2）推动产业绿色发展</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推进绿色发展并不是不发展工业，关键是要调整工业发展思路，顺应新时代发展的潮流。一是要建设高质量 “1+4+X”特色产业体系。二是推动传统产业转型升级。切实改变现有石膏、煤炭开采、石油化工生产等粗放、无序发展的态势。</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（3）提升新兴产业发展水平</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发展智慧商圈，积极培育新型消费业态，壮大电子商务、网络零售等新兴产业，鼓励传统商贸企业商业模式创新。加快推进县货运物流中心、乡镇电商综合服务站、村级电商综合服务点为主的三级物流配送网络建设，畅通城乡商贸物流通道，促进城市物流和农村物流的高效衔接，实现乡镇物流配送全覆盖。持续推进商贸服务业转型升级，培育发展商贸流通市场主体。加大餐饮住宿服务业上档升级力度，努力推广原生态美食。</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7.2.2加大生态环境保护力度</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围绕国土绿化各年度目标，大力实施乡村振兴绿化、退耕还林、天然林保护、重点景区绿化、公路主干道沿线补绿等造林绿化工程。深入推行河长制，加强河长制信息化平台建设。加强水土流失和地质灾害治理，加大森林、河流、湖泊、湿地和野生动植物资源保护力度，严禁非法违规使用和破坏自然生态资源行为。坚持“生态产业化”发展理念，科学开发利用自然生态资源，合理释放经济效益。</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加强环境污染综合治理。坚持全民共治、源头防治，持续开展五大环保行动，加快建设环保设施网，切实解决人民群众关心的突出环境问题。着力削减大气、水等污染物排放总量，加大二次扬尘和噪音污染整治力度，县城空气环境质量优良天数保持在330天以上。持续推进乡镇生活污水处理厂建设并规范运营。控制农村面源污染，开展农村生活垃圾专项治理，深入推进县城和乡镇生活污水集中处理。强化土壤污染管控和修复。加强农村畜禽养殖污染防治。加强城市声环境管理。倡导简约适度、绿色低碳的生活方式，反对奢侈浪费和不合理消费，开展创建节约型机关、绿色家庭、绿色学校、绿色社区和绿色出行等行动。</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7.2.3污染减排重点</w:t>
      </w:r>
    </w:p>
    <w:p>
      <w:pPr>
        <w:widowControl/>
        <w:adjustRightInd w:val="0"/>
        <w:snapToGrid w:val="0"/>
        <w:spacing w:line="360" w:lineRule="auto"/>
        <w:ind w:firstLine="560" w:firstLineChars="200"/>
        <w:rPr>
          <w:rFonts w:ascii="仿宋_GB2312" w:hAnsi="Arial" w:eastAsia="仿宋_GB2312" w:cs="Arial"/>
          <w:spacing w:val="8"/>
          <w:kern w:val="0"/>
          <w:sz w:val="28"/>
          <w:szCs w:val="28"/>
          <w:shd w:val="clear" w:color="auto" w:fill="FFFFFF"/>
        </w:rPr>
      </w:pPr>
      <w:r>
        <w:rPr>
          <w:rFonts w:hint="eastAsia" w:ascii="仿宋_GB2312" w:hAnsi="黑体" w:eastAsia="仿宋_GB2312"/>
          <w:sz w:val="28"/>
          <w:szCs w:val="28"/>
        </w:rPr>
        <w:t>精确识别，精确治理。全面掌握污染源的基本信息，工业、农业、生活等不同类别污染源的数量、机构、区域分布，建立健全污染源基本信息数据库，为环境管理提供决策依据。精确锁定治污过程中的重点区域、重点时段、重点污染因子、重点行业。</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（1）重点区域</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产业园区历经多年的发展，已成为经济和工业发展的重要载体，是地方政府实现绿色高质量发展、深入推进生态文明建设的重要抓手。园区内能源、资源消费集中，是温室气体和各类污染物排放的重要源头。在碳达峰、碳中和背景下，产业园区是减污降碳协同增效的重点领域。</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要突出协同增效、协同推进碳达峰与环境治理，强化源头防控、加速形成有利于减污降碳的产业结构、生产方式和生活方式，优化治理目标与技术路线、强化多污染物与温室气体协同控制，探索绿色电价制度、阶梯电价、用水定额、重污染天气绩效分级管控等激励约束机制创新。开展产业园区减污降碳协同创新，鼓励各类产业园区根据自身主导产业和污染物、碳排放水平积极探索推进减污降碳协同增效，优化园区空间布局，大力推广使用新能源，促进园区能源系统优化和梯级利用、水资源集约节约高效循环利用、废物综合利用，升级改造污水处理设施、供热、供气设施等，提升基础设施绿色低碳发展水平。</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一是创新管理机制，建立健全园区规范管理制度体系。核定园区管理名录，划定各园区四至范围和生产运营边界。成立跨部门园区管理机构，配备强有力领导班子，由本级政府主要领导干部亲自挂帅，定期研究、部署、推动园区减污降碳协同增效。统筹产城融合、多园协同发展，结合园区发展水平、主导产业和生态环境保护需求，“一园一策”系统修订园区长期发展规划，制定减污降碳协同增效发展方案，动态更新企业入园标准，提高一张蓝图绘到底的执行力和约束力。</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二是加快构建园区能源、资源消费和污染物排放统计核算体系，加强园区统计核算和监测能力建设。编制园区温室气体排放清单指南，出台园区温室气体清单编制、上报工作机制。开展能源资源和温室气体排放信息化管控、污染物排放在线监测、地下管网漏水检测等系统建设，实现动态监测、精准控制和优化管理。</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三是坚持减污降碳协同增效目标导向，以提高资源、能源、土地经济产出为重点，囊括产业共生、低碳基础设施、污染排放、生态保护修复、运营管理水平等方面，以相关性、引导性和可操作性为原则，突出减污降碳协同增效，开展园区减污降碳协同增效评价，持续引导园区提升减污降碳协同度，实现绿色高质量发展。</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（2）重点行业</w:t>
      </w:r>
    </w:p>
    <w:p>
      <w:pPr>
        <w:widowControl/>
        <w:adjustRightInd w:val="0"/>
        <w:snapToGrid w:val="0"/>
        <w:spacing w:line="360" w:lineRule="auto"/>
        <w:ind w:firstLine="560"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kern w:val="0"/>
          <w:sz w:val="28"/>
          <w:szCs w:val="28"/>
        </w:rPr>
        <w:t>对主要行业深度治。紧紧抓住影响区域环境质量改善的煤炭、石油化工、化工新材料、石膏建材等主要行业和重点企业，明确治理标准，编制技术指南，指导重点行业企业开展全流程、全方位升级改造和污染治理。同时，研究出台支持鼓励相关行业企业绿色升级的差别化电价、水价，以及财政、税收等补贴优惠政策，激发企业治污减排的内生动力。</w:t>
      </w:r>
    </w:p>
    <w:p>
      <w:pPr>
        <w:pStyle w:val="31"/>
        <w:widowControl/>
        <w:numPr>
          <w:ilvl w:val="0"/>
          <w:numId w:val="1"/>
        </w:numPr>
        <w:adjustRightInd w:val="0"/>
        <w:snapToGrid w:val="0"/>
        <w:spacing w:line="360" w:lineRule="auto"/>
        <w:ind w:left="0" w:firstLine="592"/>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煤炭开采及洗选行业</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对国能宁煤金家渠煤矿、金凤煤矿、长城能源宋新庄煤矿、宝丰四股泉煤矿进行生态环境综合治理，建立健全煤炭开采企业环境保护长效机制，确保一般工业固废处置率达到90%以上，矿井水排放达标率保持在100%，矿区周边环境明显改善，采煤塌陷区有效治理，切实提升生态文明建设水平。</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加大对洗配煤企业污染环境、违法生产等行为的查处力度，着力解决洗配煤企业生产规模小、污染防治设施不健全、煤尘污染、煤矸石和煤泥</w:t>
      </w:r>
      <w:r>
        <w:rPr>
          <w:rFonts w:hint="eastAsia" w:ascii="仿宋_GB2312" w:hAnsi="宋体" w:eastAsia="仿宋_GB2312" w:cs="宋体"/>
          <w:spacing w:val="8"/>
          <w:kern w:val="0"/>
          <w:sz w:val="28"/>
          <w:szCs w:val="28"/>
          <w:shd w:val="clear" w:color="auto" w:fill="FFFFFF"/>
        </w:rPr>
        <w:t>等固废处置不规范</w:t>
      </w:r>
      <w:r>
        <w:rPr>
          <w:rFonts w:hint="eastAsia" w:ascii="仿宋_GB2312" w:hAnsi="Arial" w:eastAsia="仿宋_GB2312" w:cs="Arial"/>
          <w:spacing w:val="8"/>
          <w:kern w:val="0"/>
          <w:sz w:val="28"/>
          <w:szCs w:val="28"/>
          <w:shd w:val="clear" w:color="auto" w:fill="FFFFFF"/>
        </w:rPr>
        <w:t>等问题，改善洗配煤企业周边生态环境。对照《产业结构调整指导目录》（2019年本）、《自治区能耗双控产业结构调整指导目录（试行）》，坚决淘汰落后产能。</w:t>
      </w:r>
    </w:p>
    <w:p>
      <w:pPr>
        <w:pStyle w:val="31"/>
        <w:widowControl/>
        <w:numPr>
          <w:ilvl w:val="0"/>
          <w:numId w:val="1"/>
        </w:numPr>
        <w:adjustRightInd w:val="0"/>
        <w:snapToGrid w:val="0"/>
        <w:spacing w:line="360" w:lineRule="auto"/>
        <w:ind w:left="0" w:firstLine="592"/>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石膏粉加工行业</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全面实施石膏加工行业对标行动，排查整治石膏粉加工行业生态环保、工艺流程、产业准入、节能降耗等方面的问题，淘汰落后产能，重点整治石膏行业工业炉窑二氧化硫、氮氧化物、烟尘超标排放的问题。着力构建产业结构合理、质量效益显著、资源综合利用水平高、绿色可持续发展能力强的石膏产业发展新格局。</w:t>
      </w:r>
    </w:p>
    <w:p>
      <w:pPr>
        <w:pStyle w:val="31"/>
        <w:widowControl/>
        <w:numPr>
          <w:ilvl w:val="0"/>
          <w:numId w:val="1"/>
        </w:numPr>
        <w:adjustRightInd w:val="0"/>
        <w:snapToGrid w:val="0"/>
        <w:spacing w:line="360" w:lineRule="auto"/>
        <w:ind w:left="0" w:firstLine="592"/>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矿山开采</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重点核查石灰岩等矿山开采企业环境恢复治理责任落实情况，对矿山企业表土剥离堆放、废渣废料回填、回填区域覆土、复垦区域复绿等工作开展情况进行检查，强化扬尘污染防治，加大噪音监测和监管力度。</w:t>
      </w:r>
    </w:p>
    <w:p>
      <w:pPr>
        <w:pStyle w:val="31"/>
        <w:widowControl/>
        <w:numPr>
          <w:ilvl w:val="0"/>
          <w:numId w:val="1"/>
        </w:numPr>
        <w:adjustRightInd w:val="0"/>
        <w:snapToGrid w:val="0"/>
        <w:spacing w:line="360" w:lineRule="auto"/>
        <w:ind w:left="0" w:firstLine="592"/>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非煤矿山</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对全县非煤矿山矿产资源开发利用、土地复垦、扬尘污染管控等措施落实情况进行全面排查，按照“一矿一策”的原则开展矿山地质环境治理和土地复垦整治。重点整治</w:t>
      </w:r>
      <w:r>
        <w:rPr>
          <w:rFonts w:hint="eastAsia" w:ascii="仿宋_GB2312" w:hAnsi="Arial" w:eastAsia="仿宋_GB2312" w:cs="Arial"/>
          <w:spacing w:val="8"/>
          <w:kern w:val="0"/>
          <w:sz w:val="28"/>
          <w:szCs w:val="28"/>
          <w:shd w:val="clear" w:color="auto" w:fill="FFFFFF"/>
          <w:lang w:val="en-US" w:eastAsia="zh-CN"/>
        </w:rPr>
        <w:t>黏土</w:t>
      </w:r>
      <w:r>
        <w:rPr>
          <w:rFonts w:hint="eastAsia" w:ascii="仿宋_GB2312" w:hAnsi="Arial" w:eastAsia="仿宋_GB2312" w:cs="Arial"/>
          <w:spacing w:val="8"/>
          <w:kern w:val="0"/>
          <w:sz w:val="28"/>
          <w:szCs w:val="28"/>
          <w:shd w:val="clear" w:color="auto" w:fill="FFFFFF"/>
        </w:rPr>
        <w:t>砖窑、石膏、砂石料场等非煤矿山开采行业，规范矿山开采行为，建立健全全县</w:t>
      </w:r>
      <w:r>
        <w:rPr>
          <w:rFonts w:hint="eastAsia" w:ascii="仿宋_GB2312" w:hAnsi="Arial" w:eastAsia="仿宋_GB2312" w:cs="Arial"/>
          <w:spacing w:val="8"/>
          <w:kern w:val="0"/>
          <w:sz w:val="28"/>
          <w:szCs w:val="28"/>
          <w:shd w:val="clear" w:color="auto" w:fill="FFFFFF"/>
          <w:lang w:val="en-US" w:eastAsia="zh-CN"/>
        </w:rPr>
        <w:t>黏土</w:t>
      </w:r>
      <w:r>
        <w:rPr>
          <w:rFonts w:hint="eastAsia" w:ascii="仿宋_GB2312" w:hAnsi="Arial" w:eastAsia="仿宋_GB2312" w:cs="Arial"/>
          <w:spacing w:val="8"/>
          <w:kern w:val="0"/>
          <w:sz w:val="28"/>
          <w:szCs w:val="28"/>
          <w:shd w:val="clear" w:color="auto" w:fill="FFFFFF"/>
        </w:rPr>
        <w:t>砖窑、砂石料场等信息台账。</w:t>
      </w:r>
    </w:p>
    <w:p>
      <w:pPr>
        <w:pStyle w:val="31"/>
        <w:widowControl/>
        <w:numPr>
          <w:ilvl w:val="0"/>
          <w:numId w:val="1"/>
        </w:numPr>
        <w:adjustRightInd w:val="0"/>
        <w:snapToGrid w:val="0"/>
        <w:spacing w:line="360" w:lineRule="auto"/>
        <w:ind w:left="0" w:firstLine="592"/>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石油开采及加工</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摸清全县产油井现状，全面推进标准化井场建设，规范污染物收集运输处置。按照原始地貌开展植被恢复，加快油区绿化工作，对暂缓开采井场和临时用地在环保整治后全部进行植被恢复。排查废弃油气井场站点，建立清单，动态监管。</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（3）重点企业</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sectPr>
          <w:pgSz w:w="11906" w:h="16838"/>
          <w:pgMar w:top="1701" w:right="1701" w:bottom="1701" w:left="1701" w:header="851" w:footer="992" w:gutter="0"/>
          <w:cols w:space="425" w:num="1"/>
          <w:docGrid w:type="lines" w:linePitch="312" w:charSpace="0"/>
        </w:sectPr>
      </w:pPr>
      <w:r>
        <w:rPr>
          <w:rFonts w:hint="eastAsia" w:ascii="仿宋_GB2312" w:hAnsi="Arial" w:eastAsia="仿宋_GB2312" w:cs="Arial"/>
          <w:spacing w:val="8"/>
          <w:kern w:val="0"/>
          <w:sz w:val="28"/>
          <w:szCs w:val="28"/>
          <w:shd w:val="clear" w:color="auto" w:fill="FFFFFF"/>
        </w:rPr>
        <w:t>根据统计数据，盐池县重点企业及企业主要污染物识别情况见表7-1。</w:t>
      </w:r>
    </w:p>
    <w:p>
      <w:pPr>
        <w:adjustRightInd w:val="0"/>
        <w:snapToGrid w:val="0"/>
        <w:spacing w:line="360" w:lineRule="auto"/>
        <w:jc w:val="center"/>
        <w:rPr>
          <w:rFonts w:ascii="Times New Roman" w:hAnsi="Times New Roman" w:cs="Times New Roman"/>
          <w:b/>
        </w:rPr>
      </w:pPr>
      <w:r>
        <w:rPr>
          <w:rFonts w:ascii="Times New Roman" w:hAnsi="Times New Roman" w:cs="Times New Roman"/>
          <w:b/>
        </w:rPr>
        <w:t>表</w:t>
      </w:r>
      <w:r>
        <w:rPr>
          <w:rFonts w:hint="eastAsia" w:ascii="Times New Roman" w:hAnsi="Times New Roman" w:cs="Times New Roman"/>
          <w:b/>
        </w:rPr>
        <w:t>7</w:t>
      </w:r>
      <w:r>
        <w:rPr>
          <w:rFonts w:ascii="Times New Roman" w:hAnsi="Times New Roman" w:cs="Times New Roman"/>
          <w:b/>
        </w:rPr>
        <w:t>-1</w:t>
      </w:r>
      <w:r>
        <w:rPr>
          <w:rFonts w:hint="eastAsia" w:ascii="Times New Roman" w:hAnsi="Times New Roman" w:cs="Times New Roman"/>
          <w:b/>
        </w:rPr>
        <w:t>盐池</w:t>
      </w:r>
      <w:r>
        <w:rPr>
          <w:rFonts w:ascii="Times New Roman" w:hAnsi="Times New Roman" w:cs="Times New Roman"/>
          <w:b/>
        </w:rPr>
        <w:t>县重点企业及重点污染因子</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3175"/>
        <w:gridCol w:w="2354"/>
        <w:gridCol w:w="1616"/>
        <w:gridCol w:w="2045"/>
        <w:gridCol w:w="1985"/>
        <w:gridCol w:w="1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47" w:type="pct"/>
            <w:shd w:val="clear" w:color="auto" w:fill="auto"/>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序号</w:t>
            </w:r>
          </w:p>
        </w:tc>
        <w:tc>
          <w:tcPr>
            <w:tcW w:w="1163" w:type="pct"/>
            <w:shd w:val="clear" w:color="auto" w:fill="auto"/>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企业名称</w:t>
            </w:r>
          </w:p>
        </w:tc>
        <w:tc>
          <w:tcPr>
            <w:tcW w:w="862" w:type="pct"/>
            <w:shd w:val="clear" w:color="auto" w:fill="auto"/>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产品</w:t>
            </w:r>
          </w:p>
        </w:tc>
        <w:tc>
          <w:tcPr>
            <w:tcW w:w="592" w:type="pct"/>
            <w:shd w:val="clear" w:color="auto" w:fill="auto"/>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规模</w:t>
            </w:r>
          </w:p>
        </w:tc>
        <w:tc>
          <w:tcPr>
            <w:tcW w:w="749" w:type="pct"/>
            <w:shd w:val="clear" w:color="auto" w:fill="auto"/>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废水</w:t>
            </w:r>
          </w:p>
        </w:tc>
        <w:tc>
          <w:tcPr>
            <w:tcW w:w="727" w:type="pct"/>
            <w:shd w:val="clear" w:color="auto" w:fill="auto"/>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废气</w:t>
            </w:r>
          </w:p>
        </w:tc>
        <w:tc>
          <w:tcPr>
            <w:tcW w:w="660" w:type="pct"/>
            <w:shd w:val="clear" w:color="auto" w:fill="auto"/>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所在区块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宁夏宁鲁石化有限公司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炼油</w:t>
            </w:r>
          </w:p>
        </w:tc>
        <w:tc>
          <w:tcPr>
            <w:tcW w:w="592" w:type="pct"/>
            <w:shd w:val="clear" w:color="auto" w:fill="auto"/>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年产55万吨芳烃、60万吨重油催化裂解和20万吨轻烃改质</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二氧化硫、氮氧化物、挥发性有机物、二氧化碳</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宁夏深燃众源天然气有限公司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液化天然气</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宁夏金裕海化工有限公司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C4加工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40万吨/年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中能北方天然气股份有限公司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燃气输配，液化天然气</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宁夏神瑞工贸有限责任公司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混烃</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宁夏润广石化有限公司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混烃</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宁夏嘉华固井材料有限公司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固井复合材料、水泥制造及销售</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宁夏瀛海天池建材有限公司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水泥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90万吨/年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宁夏盐池县鑫海食品有限公司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滩羊养殖及加工</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宁夏迪葳食品有限公司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蔬菜脱水加工</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宁夏环太生物科技有限公司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苦荞加工</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宁夏澳仕盾线缆有限公司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电线、电缆</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盐池县忠信畜产品开发有限公司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羊裘皮制品</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宁夏三木装饰材料制造有限公司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木门</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1"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宁夏盐池锦辉长城电力设备制造有限公司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风力发电</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机组塔架</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县城功能区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宁夏新珂源能源利用有限公司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液化天然气</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8.1万吨/年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高沙窝工业集中区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宁夏天利丰能源利用有限公司</w:t>
            </w:r>
          </w:p>
        </w:tc>
        <w:tc>
          <w:tcPr>
            <w:tcW w:w="862" w:type="pct"/>
            <w:shd w:val="clear" w:color="auto" w:fill="auto"/>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液化天然气及氦气</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高沙窝工业集中区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宁夏星邦豹丰涂料科技有限公司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涂料</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0.96万吨/年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氮氧化物、</w:t>
            </w: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宁夏恒汇鲁丰科技有限公司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甲醇钠</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5万吨/年甲醇钠液体生产装置</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宁夏晟旺达工贸有限公司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煤炭洗选加工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宁夏昕源兴泰煤业有限公司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煤炭洗选加工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120万吨/年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4"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宁夏宁远化工有限公司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甲醇钠</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2万吨/年甲醇钠甲醇溶液、2500吨/年固体甲醇钠</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宁夏巨丰油气管道运输有限公司</w:t>
            </w:r>
          </w:p>
        </w:tc>
        <w:tc>
          <w:tcPr>
            <w:tcW w:w="862" w:type="pct"/>
            <w:shd w:val="clear" w:color="auto" w:fill="auto"/>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对燃气管网建设的投资与管理</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高沙窝工业集中区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宁夏宝圣达矿用材料有限公司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矿用树脂锚固剂、速凝剂、金属锚杆、钢筋网、木材等矿用支护产品</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宁夏金昊磊商贸有限公司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煤炭洗选加工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烟粉尘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宁夏盐池长源工贸有限公司</w:t>
            </w:r>
          </w:p>
        </w:tc>
        <w:tc>
          <w:tcPr>
            <w:tcW w:w="862" w:type="pct"/>
            <w:shd w:val="clear" w:color="auto" w:fill="auto"/>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低密度油井混合料及粉煤灰销售</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烟粉尘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宁夏佳能创科化工有限公司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p>
        </w:tc>
        <w:tc>
          <w:tcPr>
            <w:tcW w:w="592" w:type="pct"/>
            <w:shd w:val="clear" w:color="auto" w:fill="auto"/>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10万吨/年稳定轻烃、燃料油、溶剂油</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宁夏众汇工贸有限公司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煤炭洗选加工</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宁夏东胜雪山煤业有限公司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煤炭洗选加工</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宁夏峰腾塑业有限公司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编织袋</w:t>
            </w:r>
          </w:p>
        </w:tc>
        <w:tc>
          <w:tcPr>
            <w:tcW w:w="592" w:type="pct"/>
            <w:shd w:val="clear" w:color="auto" w:fill="auto"/>
            <w:vAlign w:val="center"/>
          </w:tcPr>
          <w:p>
            <w:pPr>
              <w:widowControl/>
              <w:jc w:val="left"/>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31</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宁夏皇富达工贸有限公司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煤炭洗选加工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35万吨/年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32</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宁夏盐池中科能源化工有限公司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费托精细蜡、费托蜡、聚乙烯蜡</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33</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宁夏富宝工贸有限公司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煤炭洗选加工</w:t>
            </w:r>
          </w:p>
        </w:tc>
        <w:tc>
          <w:tcPr>
            <w:tcW w:w="592" w:type="pct"/>
            <w:shd w:val="clear" w:color="auto" w:fill="auto"/>
            <w:vAlign w:val="center"/>
          </w:tcPr>
          <w:p>
            <w:pPr>
              <w:widowControl/>
              <w:jc w:val="center"/>
              <w:rPr>
                <w:rFonts w:ascii="Times New Roman" w:hAnsi="Times New Roman" w:eastAsia="宋体" w:cs="Times New Roman"/>
                <w:kern w:val="0"/>
                <w:szCs w:val="21"/>
              </w:rPr>
            </w:pP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3"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34</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宁夏新辰新材料有限公司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煤基费托蜡，聚乙烯蜡和聚丙烯蜡</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0.67万吨/年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二氧化硫、氮氧化物、挥发性有机物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35</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宁夏友恒工贸有限公司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煤炭洗选加工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氮氧化物</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高沙窝宝塔工业园区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36</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宁夏巨拓实业有限公司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石膏及石膏类制品</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深加工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12条石膏艺术线条流水线装置。6条高晶板生产流水线装置</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氮氧化物</w:t>
            </w:r>
          </w:p>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烟粉尘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青山功能区（大水坑区块）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37</w:t>
            </w:r>
          </w:p>
        </w:tc>
        <w:tc>
          <w:tcPr>
            <w:tcW w:w="1163" w:type="pct"/>
            <w:shd w:val="clear" w:color="auto" w:fill="auto"/>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宁夏盐池县宇联石膏有限公司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石膏及石膏类制品</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深加工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氮氧化物</w:t>
            </w:r>
          </w:p>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烟粉尘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青山功能区（大水坑区块）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38</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盐池县信和石膏矿业</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石膏及石膏类制品</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深加工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氮氧化物</w:t>
            </w:r>
          </w:p>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烟粉尘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青山功能区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39</w:t>
            </w:r>
          </w:p>
        </w:tc>
        <w:tc>
          <w:tcPr>
            <w:tcW w:w="1163"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宁夏盐池县永泰石膏有限公司</w:t>
            </w:r>
          </w:p>
        </w:tc>
        <w:tc>
          <w:tcPr>
            <w:tcW w:w="86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石膏及石膏类制品</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深加工</w:t>
            </w:r>
          </w:p>
        </w:tc>
        <w:tc>
          <w:tcPr>
            <w:tcW w:w="592"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25万吨/年</w:t>
            </w:r>
          </w:p>
        </w:tc>
        <w:tc>
          <w:tcPr>
            <w:tcW w:w="749"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化学需氧量、氨氮</w:t>
            </w:r>
          </w:p>
        </w:tc>
        <w:tc>
          <w:tcPr>
            <w:tcW w:w="727"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二氧化硫</w:t>
            </w:r>
          </w:p>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氮氧化物</w:t>
            </w:r>
          </w:p>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烟粉尘</w:t>
            </w:r>
          </w:p>
        </w:tc>
        <w:tc>
          <w:tcPr>
            <w:tcW w:w="660" w:type="pct"/>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青山功能区</w:t>
            </w:r>
          </w:p>
        </w:tc>
      </w:tr>
    </w:tbl>
    <w:p>
      <w:pPr>
        <w:adjustRightInd w:val="0"/>
        <w:snapToGrid w:val="0"/>
        <w:spacing w:line="360" w:lineRule="auto"/>
        <w:jc w:val="center"/>
        <w:rPr>
          <w:rFonts w:ascii="Times New Roman" w:hAnsi="Times New Roman" w:cs="Times New Roman"/>
          <w:b/>
        </w:rPr>
      </w:pP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sectPr>
          <w:pgSz w:w="16838" w:h="11906" w:orient="landscape"/>
          <w:pgMar w:top="1701" w:right="1701" w:bottom="1701" w:left="1701" w:header="851" w:footer="992" w:gutter="0"/>
          <w:cols w:space="425" w:num="1"/>
          <w:docGrid w:type="lines" w:linePitch="312" w:charSpace="0"/>
        </w:sectPr>
      </w:pP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（4）重点时段</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在重点时段差异管。秋冬季重度污染和夏季臭氧污染是造成污染指数居高、优良天数减少的主要原因和短板，也是精准治污减排的重点和难点。应加强联防联控，加强预测预警和差异化管控，科学制定应急管控预案和差异化减排措施，不断完善秋冬季分级管控的行业企业清单，积极探索夏季PM2.5和臭氧的协同防治机制措施，努力做到重点时段多减污少减产。</w:t>
      </w:r>
      <w:r>
        <w:rPr>
          <w:rFonts w:hint="eastAsia" w:ascii="仿宋_GB2312" w:hAnsi="Arial" w:eastAsia="仿宋_GB2312" w:cs="Arial"/>
          <w:spacing w:val="8"/>
          <w:kern w:val="0"/>
          <w:sz w:val="28"/>
          <w:szCs w:val="28"/>
          <w:shd w:val="clear" w:color="auto" w:fill="FFFFFF"/>
        </w:rPr>
        <w:t>针对臭氧污染易在高温、干燥、静稳气象条件下形成的机理，对排放臭氧污染前体物VOCs和氮氧化物的企业，在夏秋季高温时段实施错时生产，同时采取更加科学、精准的错时生产管控措施，如在春夏之交和夏秋之交相对低温时段，错时生产可缩短一些；而盛夏相对高温时段，错时生产可延长一些。</w:t>
      </w:r>
    </w:p>
    <w:p>
      <w:pPr>
        <w:widowControl/>
        <w:adjustRightInd w:val="0"/>
        <w:snapToGrid w:val="0"/>
        <w:spacing w:line="360" w:lineRule="auto"/>
        <w:ind w:firstLine="592" w:firstLineChars="200"/>
        <w:rPr>
          <w:rFonts w:ascii="仿宋_GB2312" w:hAnsi="Arial" w:eastAsia="仿宋_GB2312" w:cs="Arial"/>
          <w:color w:val="292929"/>
          <w:kern w:val="0"/>
          <w:sz w:val="28"/>
          <w:szCs w:val="28"/>
        </w:rPr>
      </w:pPr>
      <w:r>
        <w:rPr>
          <w:rFonts w:hint="eastAsia" w:ascii="仿宋_GB2312" w:hAnsi="Arial" w:eastAsia="仿宋_GB2312" w:cs="Arial"/>
          <w:spacing w:val="8"/>
          <w:kern w:val="0"/>
          <w:sz w:val="28"/>
          <w:szCs w:val="28"/>
          <w:shd w:val="clear" w:color="auto" w:fill="FFFFFF"/>
        </w:rPr>
        <w:t>借鉴秋冬季重污染天气对企业实施的绩效分级管控措施，在夏季臭氧高发时段，对VOCs和氮氧化物排放企业和车辆持续落实“多排多限，少排少限，不排不限”举措。在预判将有极端高温天气来临、可能产生臭氧重污染发生时，对臭氧污染前体物排放重点企业和重型车辆及非道路移动机械实施更加严格的调控举措。这样既有利于调动企业治污的积极性，也有利于臭氧防控实际举措的真正落实。</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（5）重点因子</w:t>
      </w:r>
    </w:p>
    <w:p>
      <w:pPr>
        <w:pStyle w:val="31"/>
        <w:widowControl/>
        <w:numPr>
          <w:ilvl w:val="0"/>
          <w:numId w:val="2"/>
        </w:numPr>
        <w:adjustRightInd w:val="0"/>
        <w:snapToGrid w:val="0"/>
        <w:spacing w:line="360" w:lineRule="auto"/>
        <w:ind w:left="0" w:firstLine="56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协同控制臭氧、氮氧化物、挥发性有机物，同时降低二氧化碳排放量</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源头治理是减少VOCs和氮氧化物排放、减轻臭氧污染程度的根本举措。各种治理技术设施更新日新月异，甚至有的地方在推动臭氧污染源头治理过程中，出现了年年让企业更新治理设施这种不科学不合理的情况。对此，建议对所有VOCs和氮氧化物排放企业和车辆治理底数进行建档立案，跟踪完善“一企一策”，“有什么问题就解决什么问题，哪个环节有污染问题就重点治理那个环节”。对症下药，尽量减少企业重复投资、浪费型投资，引导企业走上良性、有序治理轨道。</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将降碳贯穿于经济社会发展全过程和各方面，重点实施能源绿色低碳转型、节能降碳增效、工业领域节碳改造、交通运输低碳转型、生态碳汇建设等工程，降低二氧化碳排放量，确保单位GDP二氧化碳排放强度到达自治区考核要求，助力碳达峰目标实现。</w:t>
      </w:r>
    </w:p>
    <w:p>
      <w:pPr>
        <w:pStyle w:val="31"/>
        <w:widowControl/>
        <w:numPr>
          <w:ilvl w:val="0"/>
          <w:numId w:val="2"/>
        </w:numPr>
        <w:adjustRightInd w:val="0"/>
        <w:snapToGrid w:val="0"/>
        <w:spacing w:line="360" w:lineRule="auto"/>
        <w:ind w:left="0" w:firstLine="56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继续实施化学需氧量和氨氮减排工程</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持续推进工业领域减排工程。开展企业纳管标准执行情况排查，严控工业废水未经处理或未有效处理直接排入集中式污水处理设施收集系统，严查偷排漏排、超标排放。推进工业园区污水处理设施配套管网建设，实现工业园区废水全收集、全处理。大力推进工业园区节水改造和水循环利用新技术的应用，加大采油区、食品酿造、化工、皮草、医药等高耗水行业的水污染控制。严格控制新增污染，执行新建项目排放总量审批制度，做到增产减污。县域内所有超标排放或超总量排放、直排干支流等的工业企业限期整改。</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提升城镇生活污水治理效能。完善城镇污水处理厂配套管网建设，重点提高城乡</w:t>
      </w:r>
      <w:r>
        <w:rPr>
          <w:rFonts w:hint="eastAsia" w:ascii="仿宋_GB2312" w:hAnsi="Arial" w:eastAsia="仿宋_GB2312" w:cs="Arial"/>
          <w:color w:val="292929"/>
          <w:kern w:val="0"/>
          <w:sz w:val="28"/>
          <w:szCs w:val="28"/>
          <w:lang w:val="en-US" w:eastAsia="zh-CN"/>
        </w:rPr>
        <w:t>接合</w:t>
      </w:r>
      <w:r>
        <w:rPr>
          <w:rFonts w:hint="eastAsia" w:ascii="仿宋_GB2312" w:hAnsi="Arial" w:eastAsia="仿宋_GB2312" w:cs="Arial"/>
          <w:color w:val="292929"/>
          <w:kern w:val="0"/>
          <w:sz w:val="28"/>
          <w:szCs w:val="28"/>
        </w:rPr>
        <w:t>部污水收集能力，提高污水收集率。实施污水处理提质增效，开展管网漏接、错接治理，提高城镇污水处理厂处理效率。加强污水处理厂规范化运行管理，加快提升处理能力，重点解决满负荷或超负荷运行等问题，确保稳定运行。继续加大已建管网维护修缮力度，持续推进雨污分流改造，因地制宜建设一批雨水调蓄净化设施，控制初期雨水径流污染和溢流污染。进一步提高乡镇生活污水集中收集处理率。</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开展黑臭水体整治专项行动。全面开展县城和农村黑臭水体排查整治，开展水质监测，编制黑臭水体整治清单，制定实施方案并定期向社会公开治理进展情况。实施农村清洁河道行动，统筹农村黑臭水体与农村生活污水、畜禽粪污等综合治理，建立治理长效机制，确保水体长治久清。</w:t>
      </w:r>
    </w:p>
    <w:p>
      <w:pPr>
        <w:widowControl/>
        <w:adjustRightInd w:val="0"/>
        <w:snapToGrid w:val="0"/>
        <w:spacing w:line="360" w:lineRule="auto"/>
        <w:ind w:firstLine="560" w:firstLineChars="20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推动再生水循环利用。统筹排水、污水处理及再生水利用设施建设，加大再生水、雨水利用，城市绿化、环境卫生、生态景观优先使用非常规水。充分利用现有污水处理厂、人工湿地，深度净化污水处理厂尾水。推动矿井水再生利用，实施再生水资源调蓄工程，完善城区绿化、农田灌溉和再生水回用管网建设，强化城乡污水处理设施改造提级及水资源综合利用。</w:t>
      </w:r>
    </w:p>
    <w:p>
      <w:pPr>
        <w:pStyle w:val="31"/>
        <w:widowControl/>
        <w:numPr>
          <w:ilvl w:val="0"/>
          <w:numId w:val="2"/>
        </w:numPr>
        <w:adjustRightInd w:val="0"/>
        <w:snapToGrid w:val="0"/>
        <w:spacing w:line="360" w:lineRule="auto"/>
        <w:ind w:left="0" w:firstLine="560"/>
        <w:rPr>
          <w:rFonts w:ascii="仿宋_GB2312" w:hAnsi="Arial" w:eastAsia="仿宋_GB2312" w:cs="Arial"/>
          <w:color w:val="292929"/>
          <w:kern w:val="0"/>
          <w:sz w:val="28"/>
          <w:szCs w:val="28"/>
        </w:rPr>
      </w:pPr>
      <w:r>
        <w:rPr>
          <w:rFonts w:hint="eastAsia" w:ascii="仿宋_GB2312" w:hAnsi="Arial" w:eastAsia="仿宋_GB2312" w:cs="Arial"/>
          <w:color w:val="292929"/>
          <w:kern w:val="0"/>
          <w:sz w:val="28"/>
          <w:szCs w:val="28"/>
        </w:rPr>
        <w:t>加强砷、汞、铅、镉等重金属管控</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color w:val="292929"/>
          <w:sz w:val="28"/>
          <w:szCs w:val="28"/>
        </w:rPr>
      </w:pPr>
      <w:r>
        <w:rPr>
          <w:rFonts w:hint="eastAsia" w:ascii="仿宋_GB2312" w:hAnsi="Arial" w:eastAsia="仿宋_GB2312" w:cs="Arial"/>
          <w:color w:val="292929"/>
          <w:sz w:val="28"/>
          <w:szCs w:val="28"/>
        </w:rPr>
        <w:t>按照《宁夏回族自治区重点重金属“十四五”污染防控工作方案》的要求，对铅、汞、镉、铬和砷五种重点重金属污染物排放量实施总量控制。企业是落实重金属污染防控工作任务、实现减排目标的责任主体，</w:t>
      </w:r>
      <w:r>
        <w:rPr>
          <w:rFonts w:hint="eastAsia" w:ascii="仿宋_GB2312" w:hAnsi="Times New Roman" w:eastAsia="仿宋_GB2312" w:cs="Times New Roman"/>
          <w:color w:val="000000"/>
          <w:sz w:val="28"/>
          <w:szCs w:val="28"/>
          <w:shd w:val="clear" w:color="auto" w:fill="FFFFFF"/>
        </w:rPr>
        <w:t>应加强对县域内涉重企业的监管，确保</w:t>
      </w:r>
      <w:r>
        <w:rPr>
          <w:rFonts w:hint="eastAsia" w:ascii="仿宋_GB2312" w:hAnsi="微软雅黑" w:eastAsia="仿宋_GB2312"/>
          <w:color w:val="000000"/>
          <w:sz w:val="28"/>
          <w:szCs w:val="28"/>
          <w:shd w:val="clear" w:color="auto" w:fill="FFFFFF"/>
        </w:rPr>
        <w:t>涉重金属企业污染物稳定达标排放，全面开展重点企业强制性清洁生产审核工作，重点企业强制性清洁生产审核验收率达到</w:t>
      </w:r>
      <w:r>
        <w:rPr>
          <w:rFonts w:hint="eastAsia" w:ascii="仿宋_GB2312" w:hAnsi="Times New Roman" w:eastAsia="仿宋_GB2312" w:cs="Times New Roman"/>
          <w:color w:val="000000"/>
          <w:sz w:val="28"/>
          <w:szCs w:val="28"/>
          <w:shd w:val="clear" w:color="auto" w:fill="FFFFFF"/>
        </w:rPr>
        <w:t>100%</w:t>
      </w:r>
      <w:r>
        <w:rPr>
          <w:rFonts w:hint="eastAsia" w:ascii="仿宋_GB2312" w:hAnsi="微软雅黑" w:eastAsia="仿宋_GB2312"/>
          <w:color w:val="000000"/>
          <w:sz w:val="28"/>
          <w:szCs w:val="28"/>
          <w:shd w:val="clear" w:color="auto" w:fill="FFFFFF"/>
        </w:rPr>
        <w:t>。加强重金属污染源头防控，重点关注原辅料中的重金属，重点行业企业补充成分分析。加强涉重金属固体废物环境管理，重点行业企业加强废渣场环境管理，完善防渗漏、防流失、防扬散等措施。加强废渣场环境监管，每年组织废渣场管理情况检查，确保环境污染防治措施高标准落实。</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7.2.4强化生态环境执法监管</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Arial" w:eastAsia="仿宋_GB2312" w:cs="Arial"/>
          <w:sz w:val="28"/>
          <w:szCs w:val="28"/>
        </w:rPr>
      </w:pPr>
      <w:r>
        <w:rPr>
          <w:rFonts w:hint="eastAsia" w:ascii="仿宋_GB2312" w:hAnsi="Arial" w:eastAsia="仿宋_GB2312" w:cs="Arial"/>
          <w:sz w:val="28"/>
          <w:szCs w:val="28"/>
        </w:rPr>
        <w:t>坚持环境执法“零容忍、出重拳”，全面压实环境保护“党政同责、一岗双责、失职追责”责任。严厉查处环境违法行为，严肃问责环保责任落实不力的单位和个人，深度曝光生态环保负面典型。保持环境监管执法高压态势，强力解决突出环境问题，持续改善环境质量。加大节能执法及淘汰落后产能的监管力度。将全年的节能目标任务逐级分解,倒逼企业落实节能主体责任，形成严格约束的长效机制。另外，加强对万吨耗能企业能耗情况一对一实时跟踪监测，密切监控企业生产运行情况，对能源消费增长较快的企业要早发现、早预警、早调控，及时采取节能降耗措施，防止能耗过快增长。</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在监管执法方面，要对治理设施低端、管理水平低、有污染久拖不治或不正常使用治理设施，甚至公然造假的企业实施常态化严厉执法检查，严厉打击各种违法排污行为。同时，要对深度治理达标、在绩效评级中被评为A级的守法企业，落实“不停产、不限产、少检查、不打扰”优待政策，坚决杜绝执法检查“一刀切”。</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7.2.5加强政策激励</w:t>
      </w:r>
    </w:p>
    <w:p>
      <w:pPr>
        <w:widowControl/>
        <w:adjustRightInd w:val="0"/>
        <w:snapToGrid w:val="0"/>
        <w:spacing w:line="360" w:lineRule="auto"/>
        <w:ind w:firstLine="592" w:firstLineChars="200"/>
        <w:rPr>
          <w:rFonts w:ascii="仿宋_GB2312" w:hAnsi="Arial" w:eastAsia="仿宋_GB2312" w:cs="Arial"/>
          <w:spacing w:val="8"/>
          <w:kern w:val="0"/>
          <w:sz w:val="28"/>
          <w:szCs w:val="28"/>
          <w:shd w:val="clear" w:color="auto" w:fill="FFFFFF"/>
        </w:rPr>
      </w:pPr>
      <w:r>
        <w:rPr>
          <w:rFonts w:hint="eastAsia" w:ascii="仿宋_GB2312" w:hAnsi="Arial" w:eastAsia="仿宋_GB2312" w:cs="Arial"/>
          <w:spacing w:val="8"/>
          <w:kern w:val="0"/>
          <w:sz w:val="28"/>
          <w:szCs w:val="28"/>
          <w:shd w:val="clear" w:color="auto" w:fill="FFFFFF"/>
        </w:rPr>
        <w:t>要有效利用中央和地方对企业污染治理实施资金奖励的优待政策机制。对率先治理、深度治理、守法经营的企业，在奖励资金申报、奖励资金额度上实施奖补政策。激励更多企业有污早治、快治、深治，持续推进高质量发展。对治理设施低端、管理水平低下、依法治污不到位的企业，少奖励或不奖励。切实做到奖先</w:t>
      </w:r>
      <w:r>
        <w:rPr>
          <w:rFonts w:hint="eastAsia" w:ascii="仿宋_GB2312" w:hAnsi="Arial" w:eastAsia="仿宋_GB2312" w:cs="Arial"/>
          <w:spacing w:val="8"/>
          <w:kern w:val="0"/>
          <w:sz w:val="28"/>
          <w:szCs w:val="28"/>
          <w:shd w:val="clear" w:color="auto" w:fill="FFFFFF"/>
          <w:lang w:val="en-US" w:eastAsia="zh-CN"/>
        </w:rPr>
        <w:t>进</w:t>
      </w:r>
      <w:bookmarkStart w:id="30" w:name="_GoBack"/>
      <w:bookmarkEnd w:id="30"/>
      <w:r>
        <w:rPr>
          <w:rFonts w:hint="eastAsia" w:ascii="仿宋_GB2312" w:hAnsi="Arial" w:eastAsia="仿宋_GB2312" w:cs="Arial"/>
          <w:spacing w:val="8"/>
          <w:kern w:val="0"/>
          <w:sz w:val="28"/>
          <w:szCs w:val="28"/>
          <w:shd w:val="clear" w:color="auto" w:fill="FFFFFF"/>
        </w:rPr>
        <w:t>、奖优、不奖污，引领各层次企业走向积极防控污染的良性发展之路。</w:t>
      </w:r>
    </w:p>
    <w:p>
      <w:pPr>
        <w:pStyle w:val="4"/>
        <w:adjustRightInd w:val="0"/>
        <w:snapToGrid w:val="0"/>
        <w:spacing w:before="120" w:after="120" w:line="360" w:lineRule="auto"/>
        <w:rPr>
          <w:rFonts w:ascii="黑体" w:hAnsi="黑体" w:eastAsia="黑体"/>
          <w:kern w:val="0"/>
          <w:sz w:val="28"/>
          <w:szCs w:val="28"/>
        </w:rPr>
      </w:pPr>
      <w:r>
        <w:rPr>
          <w:rFonts w:hint="eastAsia" w:ascii="黑体" w:hAnsi="黑体" w:eastAsia="黑体"/>
          <w:kern w:val="0"/>
          <w:sz w:val="28"/>
          <w:szCs w:val="28"/>
        </w:rPr>
        <w:t>7.2.6完善生态保护机制</w:t>
      </w:r>
    </w:p>
    <w:p>
      <w:pPr>
        <w:pStyle w:val="13"/>
        <w:shd w:val="clear" w:color="auto" w:fill="FFFFFF"/>
        <w:adjustRightInd w:val="0"/>
        <w:snapToGrid w:val="0"/>
        <w:spacing w:before="0" w:beforeAutospacing="0" w:after="0" w:afterAutospacing="0" w:line="360" w:lineRule="auto"/>
        <w:ind w:firstLine="560" w:firstLineChars="200"/>
        <w:jc w:val="both"/>
        <w:rPr>
          <w:rFonts w:ascii="仿宋_GB2312" w:hAnsi="仿宋_GB2312" w:eastAsia="仿宋_GB2312" w:cs="仿宋_GB2312"/>
          <w:sz w:val="28"/>
          <w:szCs w:val="28"/>
        </w:rPr>
      </w:pPr>
      <w:r>
        <w:rPr>
          <w:rFonts w:hint="eastAsia" w:ascii="仿宋_GB2312" w:hAnsi="Arial" w:eastAsia="仿宋_GB2312" w:cs="Arial"/>
          <w:sz w:val="28"/>
          <w:szCs w:val="28"/>
        </w:rPr>
        <w:t>实行最严格的环境保护制度。推进生态环境监管体制改革，健全自然资源资产产权制度，深化环保垂直管理制度改革。完善生态保护、排污许可、环境信息公开等制度及举报体系。强化落实产业禁投清单和建设项目全过程管理制度。落实防治大气污染、规范畜禽养殖、保护饮用水源、林地和湿地等行政规章。落实资源有偿使用制度、排污权、碳排放权初始分配和交易以及生态补偿制度。加快构建政府为主导、企业为主体、社会组织和公众</w:t>
      </w:r>
      <w:r>
        <w:rPr>
          <w:rFonts w:hint="eastAsia" w:ascii="仿宋_GB2312" w:hAnsi="仿宋_GB2312" w:eastAsia="仿宋_GB2312" w:cs="仿宋_GB2312"/>
          <w:sz w:val="28"/>
          <w:szCs w:val="28"/>
        </w:rPr>
        <w:t>共同参与的环境治理体系。</w:t>
      </w:r>
    </w:p>
    <w:sectPr>
      <w:pgSz w:w="11906" w:h="16838"/>
      <w:pgMar w:top="1701"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ZFSK--GBK1-0">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309119"/>
      <w:docPartObj>
        <w:docPartGallery w:val="AutoText"/>
      </w:docPartObj>
    </w:sdtPr>
    <w:sdtEndPr>
      <w:rPr>
        <w:rFonts w:ascii="Times New Roman" w:hAnsi="Times New Roman" w:cs="Times New Roman" w:eastAsiaTheme="majorEastAsia"/>
        <w:sz w:val="21"/>
        <w:szCs w:val="21"/>
      </w:rPr>
    </w:sdtEndPr>
    <w:sdtContent>
      <w:p>
        <w:pPr>
          <w:pStyle w:val="9"/>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fldChar w:fldCharType="begin"/>
        </w:r>
        <w:r>
          <w:rPr>
            <w:rFonts w:ascii="Times New Roman" w:hAnsi="Times New Roman" w:cs="Times New Roman" w:eastAsiaTheme="majorEastAsia"/>
            <w:sz w:val="21"/>
            <w:szCs w:val="21"/>
          </w:rPr>
          <w:instrText xml:space="preserve">PAGE   \* MERGEFORMAT</w:instrText>
        </w:r>
        <w:r>
          <w:rPr>
            <w:rFonts w:ascii="Times New Roman" w:hAnsi="Times New Roman" w:cs="Times New Roman" w:eastAsiaTheme="majorEastAsia"/>
            <w:sz w:val="21"/>
            <w:szCs w:val="21"/>
          </w:rPr>
          <w:fldChar w:fldCharType="separate"/>
        </w:r>
        <w:r>
          <w:rPr>
            <w:rFonts w:ascii="Times New Roman" w:hAnsi="Times New Roman" w:cs="Times New Roman" w:eastAsiaTheme="majorEastAsia"/>
            <w:sz w:val="21"/>
            <w:szCs w:val="21"/>
            <w:lang w:val="zh-CN"/>
          </w:rPr>
          <w:t>97</w:t>
        </w:r>
        <w:r>
          <w:rPr>
            <w:rFonts w:ascii="Times New Roman" w:hAnsi="Times New Roman" w:cs="Times New Roman" w:eastAsiaTheme="majorEastAsia"/>
            <w:sz w:val="21"/>
            <w:szCs w:val="21"/>
          </w:rP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D07D94"/>
    <w:multiLevelType w:val="multilevel"/>
    <w:tmpl w:val="28D07D94"/>
    <w:lvl w:ilvl="0" w:tentative="0">
      <w:start w:val="1"/>
      <w:numFmt w:val="bullet"/>
      <w:lvlText w:val=""/>
      <w:lvlJc w:val="righ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362E507F"/>
    <w:multiLevelType w:val="multilevel"/>
    <w:tmpl w:val="362E507F"/>
    <w:lvl w:ilvl="0" w:tentative="0">
      <w:start w:val="1"/>
      <w:numFmt w:val="bullet"/>
      <w:lvlText w:val=""/>
      <w:lvlJc w:val="right"/>
      <w:pPr>
        <w:ind w:left="1012" w:hanging="420"/>
      </w:pPr>
      <w:rPr>
        <w:rFonts w:hint="default" w:ascii="Wingdings" w:hAnsi="Wingdings"/>
      </w:rPr>
    </w:lvl>
    <w:lvl w:ilvl="1" w:tentative="0">
      <w:start w:val="1"/>
      <w:numFmt w:val="bullet"/>
      <w:lvlText w:val=""/>
      <w:lvlJc w:val="left"/>
      <w:pPr>
        <w:ind w:left="1432" w:hanging="420"/>
      </w:pPr>
      <w:rPr>
        <w:rFonts w:hint="default" w:ascii="Wingdings" w:hAnsi="Wingdings"/>
      </w:rPr>
    </w:lvl>
    <w:lvl w:ilvl="2" w:tentative="0">
      <w:start w:val="1"/>
      <w:numFmt w:val="bullet"/>
      <w:lvlText w:val=""/>
      <w:lvlJc w:val="left"/>
      <w:pPr>
        <w:ind w:left="1852" w:hanging="420"/>
      </w:pPr>
      <w:rPr>
        <w:rFonts w:hint="default" w:ascii="Wingdings" w:hAnsi="Wingdings"/>
      </w:rPr>
    </w:lvl>
    <w:lvl w:ilvl="3" w:tentative="0">
      <w:start w:val="1"/>
      <w:numFmt w:val="bullet"/>
      <w:lvlText w:val=""/>
      <w:lvlJc w:val="left"/>
      <w:pPr>
        <w:ind w:left="2272" w:hanging="420"/>
      </w:pPr>
      <w:rPr>
        <w:rFonts w:hint="default" w:ascii="Wingdings" w:hAnsi="Wingdings"/>
      </w:rPr>
    </w:lvl>
    <w:lvl w:ilvl="4" w:tentative="0">
      <w:start w:val="1"/>
      <w:numFmt w:val="bullet"/>
      <w:lvlText w:val=""/>
      <w:lvlJc w:val="left"/>
      <w:pPr>
        <w:ind w:left="2692" w:hanging="420"/>
      </w:pPr>
      <w:rPr>
        <w:rFonts w:hint="default" w:ascii="Wingdings" w:hAnsi="Wingdings"/>
      </w:rPr>
    </w:lvl>
    <w:lvl w:ilvl="5" w:tentative="0">
      <w:start w:val="1"/>
      <w:numFmt w:val="bullet"/>
      <w:lvlText w:val=""/>
      <w:lvlJc w:val="left"/>
      <w:pPr>
        <w:ind w:left="3112" w:hanging="420"/>
      </w:pPr>
      <w:rPr>
        <w:rFonts w:hint="default" w:ascii="Wingdings" w:hAnsi="Wingdings"/>
      </w:rPr>
    </w:lvl>
    <w:lvl w:ilvl="6" w:tentative="0">
      <w:start w:val="1"/>
      <w:numFmt w:val="bullet"/>
      <w:lvlText w:val=""/>
      <w:lvlJc w:val="left"/>
      <w:pPr>
        <w:ind w:left="3532" w:hanging="420"/>
      </w:pPr>
      <w:rPr>
        <w:rFonts w:hint="default" w:ascii="Wingdings" w:hAnsi="Wingdings"/>
      </w:rPr>
    </w:lvl>
    <w:lvl w:ilvl="7" w:tentative="0">
      <w:start w:val="1"/>
      <w:numFmt w:val="bullet"/>
      <w:lvlText w:val=""/>
      <w:lvlJc w:val="left"/>
      <w:pPr>
        <w:ind w:left="3952" w:hanging="420"/>
      </w:pPr>
      <w:rPr>
        <w:rFonts w:hint="default" w:ascii="Wingdings" w:hAnsi="Wingdings"/>
      </w:rPr>
    </w:lvl>
    <w:lvl w:ilvl="8" w:tentative="0">
      <w:start w:val="1"/>
      <w:numFmt w:val="bullet"/>
      <w:lvlText w:val=""/>
      <w:lvlJc w:val="left"/>
      <w:pPr>
        <w:ind w:left="4372"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ZTY2NmRmMmI3MzE2MmViYmIwMDIzYzFmZDAxNWYifQ=="/>
  </w:docVars>
  <w:rsids>
    <w:rsidRoot w:val="00826608"/>
    <w:rsid w:val="0000013D"/>
    <w:rsid w:val="00002E89"/>
    <w:rsid w:val="0000335F"/>
    <w:rsid w:val="0000440D"/>
    <w:rsid w:val="00007317"/>
    <w:rsid w:val="000119D9"/>
    <w:rsid w:val="00011DA1"/>
    <w:rsid w:val="00013813"/>
    <w:rsid w:val="000164B0"/>
    <w:rsid w:val="000212D8"/>
    <w:rsid w:val="00027572"/>
    <w:rsid w:val="00030DA2"/>
    <w:rsid w:val="00032D83"/>
    <w:rsid w:val="000413EB"/>
    <w:rsid w:val="00043DCF"/>
    <w:rsid w:val="0005104D"/>
    <w:rsid w:val="000518EE"/>
    <w:rsid w:val="00056274"/>
    <w:rsid w:val="00060CC5"/>
    <w:rsid w:val="00061A11"/>
    <w:rsid w:val="0006247A"/>
    <w:rsid w:val="00062EEE"/>
    <w:rsid w:val="000647C6"/>
    <w:rsid w:val="000666DD"/>
    <w:rsid w:val="000675C9"/>
    <w:rsid w:val="0007258F"/>
    <w:rsid w:val="000811FA"/>
    <w:rsid w:val="00086CC0"/>
    <w:rsid w:val="0008737D"/>
    <w:rsid w:val="00096845"/>
    <w:rsid w:val="00097918"/>
    <w:rsid w:val="000A17BF"/>
    <w:rsid w:val="000A1F8D"/>
    <w:rsid w:val="000A4797"/>
    <w:rsid w:val="000A69DB"/>
    <w:rsid w:val="000B012C"/>
    <w:rsid w:val="000B1500"/>
    <w:rsid w:val="000B3DB0"/>
    <w:rsid w:val="000B4D38"/>
    <w:rsid w:val="000B53FD"/>
    <w:rsid w:val="000B726A"/>
    <w:rsid w:val="000C1A1B"/>
    <w:rsid w:val="000C5521"/>
    <w:rsid w:val="000C6A95"/>
    <w:rsid w:val="000D7877"/>
    <w:rsid w:val="000E079A"/>
    <w:rsid w:val="000E07C6"/>
    <w:rsid w:val="000E3EC4"/>
    <w:rsid w:val="000E42DA"/>
    <w:rsid w:val="000E4317"/>
    <w:rsid w:val="000E73AE"/>
    <w:rsid w:val="000E7B2F"/>
    <w:rsid w:val="000F0E42"/>
    <w:rsid w:val="000F1C3C"/>
    <w:rsid w:val="000F3259"/>
    <w:rsid w:val="000F3F80"/>
    <w:rsid w:val="000F6EB4"/>
    <w:rsid w:val="0010169E"/>
    <w:rsid w:val="00105F27"/>
    <w:rsid w:val="001164C2"/>
    <w:rsid w:val="0012498D"/>
    <w:rsid w:val="001300BA"/>
    <w:rsid w:val="001309A4"/>
    <w:rsid w:val="0013234E"/>
    <w:rsid w:val="00132B75"/>
    <w:rsid w:val="0013601C"/>
    <w:rsid w:val="001366E6"/>
    <w:rsid w:val="00143893"/>
    <w:rsid w:val="001448C2"/>
    <w:rsid w:val="00147D5A"/>
    <w:rsid w:val="00151A83"/>
    <w:rsid w:val="00151E6E"/>
    <w:rsid w:val="001661A1"/>
    <w:rsid w:val="00167B34"/>
    <w:rsid w:val="00170163"/>
    <w:rsid w:val="00170467"/>
    <w:rsid w:val="00170D5F"/>
    <w:rsid w:val="001722C9"/>
    <w:rsid w:val="00172BE4"/>
    <w:rsid w:val="0018045E"/>
    <w:rsid w:val="0018184C"/>
    <w:rsid w:val="00181EE4"/>
    <w:rsid w:val="001847CA"/>
    <w:rsid w:val="0019241C"/>
    <w:rsid w:val="00192F37"/>
    <w:rsid w:val="001A044A"/>
    <w:rsid w:val="001A2022"/>
    <w:rsid w:val="001A4592"/>
    <w:rsid w:val="001A7C66"/>
    <w:rsid w:val="001B148B"/>
    <w:rsid w:val="001B3E78"/>
    <w:rsid w:val="001C23DB"/>
    <w:rsid w:val="001D026D"/>
    <w:rsid w:val="001D24BF"/>
    <w:rsid w:val="001D2FB6"/>
    <w:rsid w:val="001D3CB1"/>
    <w:rsid w:val="001E0847"/>
    <w:rsid w:val="001E2496"/>
    <w:rsid w:val="001E37CF"/>
    <w:rsid w:val="001E4CCA"/>
    <w:rsid w:val="001E7CF6"/>
    <w:rsid w:val="001F24B5"/>
    <w:rsid w:val="001F28BB"/>
    <w:rsid w:val="001F724D"/>
    <w:rsid w:val="002019F5"/>
    <w:rsid w:val="00201F58"/>
    <w:rsid w:val="00205903"/>
    <w:rsid w:val="002065DD"/>
    <w:rsid w:val="00212FBB"/>
    <w:rsid w:val="00213F4C"/>
    <w:rsid w:val="00214E6C"/>
    <w:rsid w:val="00221C45"/>
    <w:rsid w:val="002226B4"/>
    <w:rsid w:val="002238D0"/>
    <w:rsid w:val="00226403"/>
    <w:rsid w:val="00240ACA"/>
    <w:rsid w:val="00241C67"/>
    <w:rsid w:val="00250826"/>
    <w:rsid w:val="002514BB"/>
    <w:rsid w:val="00252201"/>
    <w:rsid w:val="00253BA3"/>
    <w:rsid w:val="002540EF"/>
    <w:rsid w:val="0025717C"/>
    <w:rsid w:val="00257736"/>
    <w:rsid w:val="00257E2F"/>
    <w:rsid w:val="0026610D"/>
    <w:rsid w:val="00272705"/>
    <w:rsid w:val="00274932"/>
    <w:rsid w:val="002757F0"/>
    <w:rsid w:val="00280D6B"/>
    <w:rsid w:val="00281D64"/>
    <w:rsid w:val="00287A32"/>
    <w:rsid w:val="00287E72"/>
    <w:rsid w:val="00292A17"/>
    <w:rsid w:val="002941EF"/>
    <w:rsid w:val="0029775E"/>
    <w:rsid w:val="002A083C"/>
    <w:rsid w:val="002A477F"/>
    <w:rsid w:val="002A573E"/>
    <w:rsid w:val="002A70BF"/>
    <w:rsid w:val="002A7E1F"/>
    <w:rsid w:val="002C2F8D"/>
    <w:rsid w:val="002C3F88"/>
    <w:rsid w:val="002C4255"/>
    <w:rsid w:val="002C52A9"/>
    <w:rsid w:val="002D0BA3"/>
    <w:rsid w:val="002D31A5"/>
    <w:rsid w:val="002D553F"/>
    <w:rsid w:val="002D5F5A"/>
    <w:rsid w:val="002F0616"/>
    <w:rsid w:val="002F0D6C"/>
    <w:rsid w:val="002F260A"/>
    <w:rsid w:val="002F26F1"/>
    <w:rsid w:val="002F5E24"/>
    <w:rsid w:val="00303E5B"/>
    <w:rsid w:val="003118A4"/>
    <w:rsid w:val="003169DA"/>
    <w:rsid w:val="00317285"/>
    <w:rsid w:val="00323306"/>
    <w:rsid w:val="00325AD1"/>
    <w:rsid w:val="00326A9D"/>
    <w:rsid w:val="00330000"/>
    <w:rsid w:val="00334D9D"/>
    <w:rsid w:val="0034626B"/>
    <w:rsid w:val="00354B6D"/>
    <w:rsid w:val="0036540D"/>
    <w:rsid w:val="00366EF8"/>
    <w:rsid w:val="00367EC3"/>
    <w:rsid w:val="00373D92"/>
    <w:rsid w:val="0037648F"/>
    <w:rsid w:val="00384005"/>
    <w:rsid w:val="00387A2C"/>
    <w:rsid w:val="00392565"/>
    <w:rsid w:val="003952ED"/>
    <w:rsid w:val="003A281A"/>
    <w:rsid w:val="003A422B"/>
    <w:rsid w:val="003B285B"/>
    <w:rsid w:val="003B32E3"/>
    <w:rsid w:val="003C09A9"/>
    <w:rsid w:val="003C3408"/>
    <w:rsid w:val="003C3F7C"/>
    <w:rsid w:val="003C62BA"/>
    <w:rsid w:val="003D690F"/>
    <w:rsid w:val="003E44B0"/>
    <w:rsid w:val="003E4D7B"/>
    <w:rsid w:val="003F0001"/>
    <w:rsid w:val="003F220E"/>
    <w:rsid w:val="003F2B82"/>
    <w:rsid w:val="003F2F05"/>
    <w:rsid w:val="003F52B3"/>
    <w:rsid w:val="003F55C1"/>
    <w:rsid w:val="004009DC"/>
    <w:rsid w:val="0040141C"/>
    <w:rsid w:val="00401734"/>
    <w:rsid w:val="00403398"/>
    <w:rsid w:val="00410439"/>
    <w:rsid w:val="00414C58"/>
    <w:rsid w:val="00430224"/>
    <w:rsid w:val="00430BDC"/>
    <w:rsid w:val="00430FDF"/>
    <w:rsid w:val="00435023"/>
    <w:rsid w:val="00435CDC"/>
    <w:rsid w:val="004462F4"/>
    <w:rsid w:val="00450905"/>
    <w:rsid w:val="004565E8"/>
    <w:rsid w:val="00461D63"/>
    <w:rsid w:val="004637EC"/>
    <w:rsid w:val="00464710"/>
    <w:rsid w:val="0046732F"/>
    <w:rsid w:val="004749E0"/>
    <w:rsid w:val="00477BDF"/>
    <w:rsid w:val="0048167F"/>
    <w:rsid w:val="004854F2"/>
    <w:rsid w:val="004857E7"/>
    <w:rsid w:val="00485903"/>
    <w:rsid w:val="00486290"/>
    <w:rsid w:val="00493FD5"/>
    <w:rsid w:val="004A24EE"/>
    <w:rsid w:val="004A3119"/>
    <w:rsid w:val="004A611B"/>
    <w:rsid w:val="004A6931"/>
    <w:rsid w:val="004A6C41"/>
    <w:rsid w:val="004A6E41"/>
    <w:rsid w:val="004B2789"/>
    <w:rsid w:val="004B7E06"/>
    <w:rsid w:val="004C7018"/>
    <w:rsid w:val="004D3D38"/>
    <w:rsid w:val="004E28FF"/>
    <w:rsid w:val="004E3D20"/>
    <w:rsid w:val="004E5F51"/>
    <w:rsid w:val="004E7F27"/>
    <w:rsid w:val="00501697"/>
    <w:rsid w:val="00503271"/>
    <w:rsid w:val="00503704"/>
    <w:rsid w:val="005047B0"/>
    <w:rsid w:val="00505F4A"/>
    <w:rsid w:val="005101B4"/>
    <w:rsid w:val="00515021"/>
    <w:rsid w:val="0051614A"/>
    <w:rsid w:val="0052129E"/>
    <w:rsid w:val="00530BA2"/>
    <w:rsid w:val="00536FEA"/>
    <w:rsid w:val="00544F20"/>
    <w:rsid w:val="005537F6"/>
    <w:rsid w:val="00561487"/>
    <w:rsid w:val="00564859"/>
    <w:rsid w:val="0056683B"/>
    <w:rsid w:val="005709EB"/>
    <w:rsid w:val="005741C6"/>
    <w:rsid w:val="0057426A"/>
    <w:rsid w:val="0057665D"/>
    <w:rsid w:val="0058091F"/>
    <w:rsid w:val="00581C7B"/>
    <w:rsid w:val="00582729"/>
    <w:rsid w:val="00582C4B"/>
    <w:rsid w:val="00583E4D"/>
    <w:rsid w:val="00586033"/>
    <w:rsid w:val="00593FAC"/>
    <w:rsid w:val="005A2A6A"/>
    <w:rsid w:val="005A5851"/>
    <w:rsid w:val="005A6D5F"/>
    <w:rsid w:val="005B1C86"/>
    <w:rsid w:val="005B2E6B"/>
    <w:rsid w:val="005B7789"/>
    <w:rsid w:val="005C0FB1"/>
    <w:rsid w:val="005D4A9D"/>
    <w:rsid w:val="005E7C9B"/>
    <w:rsid w:val="005F70F2"/>
    <w:rsid w:val="006010C5"/>
    <w:rsid w:val="0060713E"/>
    <w:rsid w:val="00613C89"/>
    <w:rsid w:val="00615053"/>
    <w:rsid w:val="00615431"/>
    <w:rsid w:val="00617203"/>
    <w:rsid w:val="00622909"/>
    <w:rsid w:val="00624F15"/>
    <w:rsid w:val="00626CA6"/>
    <w:rsid w:val="006308A0"/>
    <w:rsid w:val="00630DA2"/>
    <w:rsid w:val="00632721"/>
    <w:rsid w:val="00632D29"/>
    <w:rsid w:val="0063379F"/>
    <w:rsid w:val="00633BEC"/>
    <w:rsid w:val="00634455"/>
    <w:rsid w:val="00634A81"/>
    <w:rsid w:val="006365F1"/>
    <w:rsid w:val="00637DF2"/>
    <w:rsid w:val="0064002F"/>
    <w:rsid w:val="006414FA"/>
    <w:rsid w:val="0064156C"/>
    <w:rsid w:val="00643EFC"/>
    <w:rsid w:val="0064522F"/>
    <w:rsid w:val="00647856"/>
    <w:rsid w:val="00651ECE"/>
    <w:rsid w:val="00652509"/>
    <w:rsid w:val="00666F63"/>
    <w:rsid w:val="00672C1E"/>
    <w:rsid w:val="00673D6F"/>
    <w:rsid w:val="00691164"/>
    <w:rsid w:val="00694606"/>
    <w:rsid w:val="00695A20"/>
    <w:rsid w:val="006A0EFE"/>
    <w:rsid w:val="006A3ECF"/>
    <w:rsid w:val="006A41B9"/>
    <w:rsid w:val="006A78D6"/>
    <w:rsid w:val="006B42B3"/>
    <w:rsid w:val="006B5AF1"/>
    <w:rsid w:val="006C4D42"/>
    <w:rsid w:val="006D0A07"/>
    <w:rsid w:val="006D233C"/>
    <w:rsid w:val="006D5AFC"/>
    <w:rsid w:val="006E1F90"/>
    <w:rsid w:val="006E2996"/>
    <w:rsid w:val="006E5724"/>
    <w:rsid w:val="006E5C9B"/>
    <w:rsid w:val="006F08BD"/>
    <w:rsid w:val="006F1D3A"/>
    <w:rsid w:val="006F3E25"/>
    <w:rsid w:val="006F6E55"/>
    <w:rsid w:val="00700C3E"/>
    <w:rsid w:val="00701254"/>
    <w:rsid w:val="00707D42"/>
    <w:rsid w:val="00710C09"/>
    <w:rsid w:val="00711BCD"/>
    <w:rsid w:val="007163D9"/>
    <w:rsid w:val="00721875"/>
    <w:rsid w:val="007219D6"/>
    <w:rsid w:val="00732D94"/>
    <w:rsid w:val="00743C02"/>
    <w:rsid w:val="007458C8"/>
    <w:rsid w:val="00746E20"/>
    <w:rsid w:val="00751D2E"/>
    <w:rsid w:val="00756183"/>
    <w:rsid w:val="00763987"/>
    <w:rsid w:val="007716AB"/>
    <w:rsid w:val="007773DD"/>
    <w:rsid w:val="007776F4"/>
    <w:rsid w:val="00783FEE"/>
    <w:rsid w:val="00787582"/>
    <w:rsid w:val="00791064"/>
    <w:rsid w:val="00791D61"/>
    <w:rsid w:val="0079318C"/>
    <w:rsid w:val="00793399"/>
    <w:rsid w:val="007955AF"/>
    <w:rsid w:val="0079669C"/>
    <w:rsid w:val="007A1C31"/>
    <w:rsid w:val="007A1F93"/>
    <w:rsid w:val="007A312E"/>
    <w:rsid w:val="007A737E"/>
    <w:rsid w:val="007B2992"/>
    <w:rsid w:val="007B30FD"/>
    <w:rsid w:val="007B4DEF"/>
    <w:rsid w:val="007B611C"/>
    <w:rsid w:val="007C47B4"/>
    <w:rsid w:val="007C4F11"/>
    <w:rsid w:val="007D0A7B"/>
    <w:rsid w:val="007D15F2"/>
    <w:rsid w:val="007D1AF7"/>
    <w:rsid w:val="007D4E2D"/>
    <w:rsid w:val="007D6047"/>
    <w:rsid w:val="007E40BA"/>
    <w:rsid w:val="007E63E7"/>
    <w:rsid w:val="007E7446"/>
    <w:rsid w:val="007F45B0"/>
    <w:rsid w:val="007F77CF"/>
    <w:rsid w:val="00801D19"/>
    <w:rsid w:val="008027B4"/>
    <w:rsid w:val="00802DD6"/>
    <w:rsid w:val="00804C1C"/>
    <w:rsid w:val="00807025"/>
    <w:rsid w:val="0081004E"/>
    <w:rsid w:val="008124A6"/>
    <w:rsid w:val="0081740D"/>
    <w:rsid w:val="0082231F"/>
    <w:rsid w:val="00826608"/>
    <w:rsid w:val="00843241"/>
    <w:rsid w:val="008467D6"/>
    <w:rsid w:val="008502D1"/>
    <w:rsid w:val="008503E6"/>
    <w:rsid w:val="00850F1B"/>
    <w:rsid w:val="00855A3C"/>
    <w:rsid w:val="00861979"/>
    <w:rsid w:val="008632E0"/>
    <w:rsid w:val="00863C3F"/>
    <w:rsid w:val="00870944"/>
    <w:rsid w:val="00870F18"/>
    <w:rsid w:val="008717B7"/>
    <w:rsid w:val="00877C6C"/>
    <w:rsid w:val="00882128"/>
    <w:rsid w:val="0088699C"/>
    <w:rsid w:val="0088722C"/>
    <w:rsid w:val="00894DED"/>
    <w:rsid w:val="00894FD8"/>
    <w:rsid w:val="00895702"/>
    <w:rsid w:val="008A2D7C"/>
    <w:rsid w:val="008A5643"/>
    <w:rsid w:val="008A5920"/>
    <w:rsid w:val="008A6947"/>
    <w:rsid w:val="008B0933"/>
    <w:rsid w:val="008B662E"/>
    <w:rsid w:val="008C3C6F"/>
    <w:rsid w:val="008C67DA"/>
    <w:rsid w:val="008C7593"/>
    <w:rsid w:val="008D253D"/>
    <w:rsid w:val="008D44C7"/>
    <w:rsid w:val="008D7700"/>
    <w:rsid w:val="008D78D6"/>
    <w:rsid w:val="008E057C"/>
    <w:rsid w:val="008E2457"/>
    <w:rsid w:val="008E40EF"/>
    <w:rsid w:val="008E79F7"/>
    <w:rsid w:val="008F11FC"/>
    <w:rsid w:val="008F2217"/>
    <w:rsid w:val="008F27B2"/>
    <w:rsid w:val="008F52E8"/>
    <w:rsid w:val="008F601E"/>
    <w:rsid w:val="008F636B"/>
    <w:rsid w:val="00901213"/>
    <w:rsid w:val="009023B9"/>
    <w:rsid w:val="00903A0B"/>
    <w:rsid w:val="0090432E"/>
    <w:rsid w:val="00904575"/>
    <w:rsid w:val="00905058"/>
    <w:rsid w:val="009064FD"/>
    <w:rsid w:val="00910E13"/>
    <w:rsid w:val="00911F3F"/>
    <w:rsid w:val="00912E00"/>
    <w:rsid w:val="009135B6"/>
    <w:rsid w:val="0091685D"/>
    <w:rsid w:val="009206F3"/>
    <w:rsid w:val="00922115"/>
    <w:rsid w:val="00927FF0"/>
    <w:rsid w:val="00931F47"/>
    <w:rsid w:val="00932B99"/>
    <w:rsid w:val="0093572D"/>
    <w:rsid w:val="009361DF"/>
    <w:rsid w:val="009448DB"/>
    <w:rsid w:val="009448F5"/>
    <w:rsid w:val="009533AF"/>
    <w:rsid w:val="009626B1"/>
    <w:rsid w:val="0096509D"/>
    <w:rsid w:val="009662BC"/>
    <w:rsid w:val="009671ED"/>
    <w:rsid w:val="009718A2"/>
    <w:rsid w:val="009722C2"/>
    <w:rsid w:val="00972590"/>
    <w:rsid w:val="00981E6E"/>
    <w:rsid w:val="00986A06"/>
    <w:rsid w:val="00986F6D"/>
    <w:rsid w:val="00992349"/>
    <w:rsid w:val="00997BB3"/>
    <w:rsid w:val="009A2ECB"/>
    <w:rsid w:val="009A5CAA"/>
    <w:rsid w:val="009A6989"/>
    <w:rsid w:val="009A6B5C"/>
    <w:rsid w:val="009B150E"/>
    <w:rsid w:val="009B1C05"/>
    <w:rsid w:val="009B2C39"/>
    <w:rsid w:val="009B4DE2"/>
    <w:rsid w:val="009C236E"/>
    <w:rsid w:val="009C7356"/>
    <w:rsid w:val="009D24E6"/>
    <w:rsid w:val="009D5950"/>
    <w:rsid w:val="009E30CA"/>
    <w:rsid w:val="009E4B74"/>
    <w:rsid w:val="009E4E57"/>
    <w:rsid w:val="009F1F80"/>
    <w:rsid w:val="00A0159F"/>
    <w:rsid w:val="00A02BF9"/>
    <w:rsid w:val="00A042BE"/>
    <w:rsid w:val="00A0458D"/>
    <w:rsid w:val="00A06596"/>
    <w:rsid w:val="00A10D0F"/>
    <w:rsid w:val="00A210B7"/>
    <w:rsid w:val="00A22EA5"/>
    <w:rsid w:val="00A255DB"/>
    <w:rsid w:val="00A34DCD"/>
    <w:rsid w:val="00A40DD9"/>
    <w:rsid w:val="00A42120"/>
    <w:rsid w:val="00A43049"/>
    <w:rsid w:val="00A441D5"/>
    <w:rsid w:val="00A54DD4"/>
    <w:rsid w:val="00A556DC"/>
    <w:rsid w:val="00A56EC2"/>
    <w:rsid w:val="00A602E1"/>
    <w:rsid w:val="00A65C99"/>
    <w:rsid w:val="00A80111"/>
    <w:rsid w:val="00A813FF"/>
    <w:rsid w:val="00A8627D"/>
    <w:rsid w:val="00A8684E"/>
    <w:rsid w:val="00A91064"/>
    <w:rsid w:val="00A952CA"/>
    <w:rsid w:val="00A955B7"/>
    <w:rsid w:val="00A96CD2"/>
    <w:rsid w:val="00AA1F81"/>
    <w:rsid w:val="00AA3AC4"/>
    <w:rsid w:val="00AA6C10"/>
    <w:rsid w:val="00AB10B3"/>
    <w:rsid w:val="00AB480C"/>
    <w:rsid w:val="00AB5340"/>
    <w:rsid w:val="00AC05DE"/>
    <w:rsid w:val="00AC0C3B"/>
    <w:rsid w:val="00AC22BB"/>
    <w:rsid w:val="00AD3F54"/>
    <w:rsid w:val="00AE22AA"/>
    <w:rsid w:val="00AF2615"/>
    <w:rsid w:val="00AF3FCF"/>
    <w:rsid w:val="00AF573E"/>
    <w:rsid w:val="00AF77D7"/>
    <w:rsid w:val="00B007E8"/>
    <w:rsid w:val="00B11BBC"/>
    <w:rsid w:val="00B132C0"/>
    <w:rsid w:val="00B13BDF"/>
    <w:rsid w:val="00B168ED"/>
    <w:rsid w:val="00B17D42"/>
    <w:rsid w:val="00B21EC1"/>
    <w:rsid w:val="00B320F1"/>
    <w:rsid w:val="00B418AE"/>
    <w:rsid w:val="00B42AE9"/>
    <w:rsid w:val="00B47DC5"/>
    <w:rsid w:val="00B50A89"/>
    <w:rsid w:val="00B5110E"/>
    <w:rsid w:val="00B53800"/>
    <w:rsid w:val="00B62643"/>
    <w:rsid w:val="00B62AE3"/>
    <w:rsid w:val="00B72AFD"/>
    <w:rsid w:val="00B7700D"/>
    <w:rsid w:val="00B82981"/>
    <w:rsid w:val="00B82EAF"/>
    <w:rsid w:val="00B833AD"/>
    <w:rsid w:val="00B8490B"/>
    <w:rsid w:val="00B86A18"/>
    <w:rsid w:val="00B929AA"/>
    <w:rsid w:val="00B92A10"/>
    <w:rsid w:val="00B94440"/>
    <w:rsid w:val="00BB15E3"/>
    <w:rsid w:val="00BB2FC9"/>
    <w:rsid w:val="00BB5C03"/>
    <w:rsid w:val="00BC6939"/>
    <w:rsid w:val="00BC6CBD"/>
    <w:rsid w:val="00BC7CC7"/>
    <w:rsid w:val="00BD03FC"/>
    <w:rsid w:val="00BD1109"/>
    <w:rsid w:val="00BD19FB"/>
    <w:rsid w:val="00BD1D83"/>
    <w:rsid w:val="00BD207A"/>
    <w:rsid w:val="00BD3213"/>
    <w:rsid w:val="00BD7B15"/>
    <w:rsid w:val="00BE1AB2"/>
    <w:rsid w:val="00BE5593"/>
    <w:rsid w:val="00BE56CA"/>
    <w:rsid w:val="00BE7876"/>
    <w:rsid w:val="00BF0E01"/>
    <w:rsid w:val="00BF2AB6"/>
    <w:rsid w:val="00BF51EA"/>
    <w:rsid w:val="00BF5D02"/>
    <w:rsid w:val="00C0059C"/>
    <w:rsid w:val="00C118EB"/>
    <w:rsid w:val="00C12F87"/>
    <w:rsid w:val="00C14C68"/>
    <w:rsid w:val="00C24879"/>
    <w:rsid w:val="00C25937"/>
    <w:rsid w:val="00C27FDD"/>
    <w:rsid w:val="00C30432"/>
    <w:rsid w:val="00C31D17"/>
    <w:rsid w:val="00C330E3"/>
    <w:rsid w:val="00C34BA9"/>
    <w:rsid w:val="00C35ABF"/>
    <w:rsid w:val="00C4213E"/>
    <w:rsid w:val="00C42E62"/>
    <w:rsid w:val="00C43B8B"/>
    <w:rsid w:val="00C53EBE"/>
    <w:rsid w:val="00C54F32"/>
    <w:rsid w:val="00C551D7"/>
    <w:rsid w:val="00C557F0"/>
    <w:rsid w:val="00C60086"/>
    <w:rsid w:val="00C6035B"/>
    <w:rsid w:val="00C630EE"/>
    <w:rsid w:val="00C67B03"/>
    <w:rsid w:val="00C71015"/>
    <w:rsid w:val="00C81A12"/>
    <w:rsid w:val="00C84422"/>
    <w:rsid w:val="00C86D6A"/>
    <w:rsid w:val="00C91174"/>
    <w:rsid w:val="00C91A54"/>
    <w:rsid w:val="00C92356"/>
    <w:rsid w:val="00C936F6"/>
    <w:rsid w:val="00C94CE7"/>
    <w:rsid w:val="00C9679B"/>
    <w:rsid w:val="00CA20AD"/>
    <w:rsid w:val="00CA3288"/>
    <w:rsid w:val="00CB411C"/>
    <w:rsid w:val="00CB500C"/>
    <w:rsid w:val="00CD0565"/>
    <w:rsid w:val="00CD22CC"/>
    <w:rsid w:val="00CD6253"/>
    <w:rsid w:val="00CD6F16"/>
    <w:rsid w:val="00CD7129"/>
    <w:rsid w:val="00CD7823"/>
    <w:rsid w:val="00CE4473"/>
    <w:rsid w:val="00CF0BF5"/>
    <w:rsid w:val="00CF6F3B"/>
    <w:rsid w:val="00CF7FFD"/>
    <w:rsid w:val="00D02DCF"/>
    <w:rsid w:val="00D031E9"/>
    <w:rsid w:val="00D04506"/>
    <w:rsid w:val="00D04A69"/>
    <w:rsid w:val="00D06420"/>
    <w:rsid w:val="00D07F15"/>
    <w:rsid w:val="00D205BC"/>
    <w:rsid w:val="00D20FF8"/>
    <w:rsid w:val="00D25F40"/>
    <w:rsid w:val="00D31DCB"/>
    <w:rsid w:val="00D3237C"/>
    <w:rsid w:val="00D41984"/>
    <w:rsid w:val="00D44033"/>
    <w:rsid w:val="00D4453C"/>
    <w:rsid w:val="00D4644A"/>
    <w:rsid w:val="00D525EE"/>
    <w:rsid w:val="00D57930"/>
    <w:rsid w:val="00D60341"/>
    <w:rsid w:val="00D62DC1"/>
    <w:rsid w:val="00D66CEB"/>
    <w:rsid w:val="00D67369"/>
    <w:rsid w:val="00D7570C"/>
    <w:rsid w:val="00D76C5A"/>
    <w:rsid w:val="00D81496"/>
    <w:rsid w:val="00D817EB"/>
    <w:rsid w:val="00D8451E"/>
    <w:rsid w:val="00D877B6"/>
    <w:rsid w:val="00D91D77"/>
    <w:rsid w:val="00DA0E43"/>
    <w:rsid w:val="00DA471B"/>
    <w:rsid w:val="00DA6087"/>
    <w:rsid w:val="00DA6325"/>
    <w:rsid w:val="00DA6A03"/>
    <w:rsid w:val="00DB0BBD"/>
    <w:rsid w:val="00DB4895"/>
    <w:rsid w:val="00DB7054"/>
    <w:rsid w:val="00DC68D9"/>
    <w:rsid w:val="00DD0657"/>
    <w:rsid w:val="00DD44D0"/>
    <w:rsid w:val="00DD7279"/>
    <w:rsid w:val="00DE362F"/>
    <w:rsid w:val="00DE43FB"/>
    <w:rsid w:val="00DE6F8F"/>
    <w:rsid w:val="00DF6AE5"/>
    <w:rsid w:val="00E03EEB"/>
    <w:rsid w:val="00E04312"/>
    <w:rsid w:val="00E043DC"/>
    <w:rsid w:val="00E051BE"/>
    <w:rsid w:val="00E07E6F"/>
    <w:rsid w:val="00E10756"/>
    <w:rsid w:val="00E145E7"/>
    <w:rsid w:val="00E20502"/>
    <w:rsid w:val="00E2056C"/>
    <w:rsid w:val="00E23BD4"/>
    <w:rsid w:val="00E32749"/>
    <w:rsid w:val="00E353CF"/>
    <w:rsid w:val="00E46E2D"/>
    <w:rsid w:val="00E47B1C"/>
    <w:rsid w:val="00E50A7C"/>
    <w:rsid w:val="00E53657"/>
    <w:rsid w:val="00E62E91"/>
    <w:rsid w:val="00E672BA"/>
    <w:rsid w:val="00E70B3F"/>
    <w:rsid w:val="00E75B13"/>
    <w:rsid w:val="00E9163C"/>
    <w:rsid w:val="00E918CF"/>
    <w:rsid w:val="00E94CA7"/>
    <w:rsid w:val="00E9588D"/>
    <w:rsid w:val="00E97718"/>
    <w:rsid w:val="00EA0007"/>
    <w:rsid w:val="00EA00F6"/>
    <w:rsid w:val="00EA3C98"/>
    <w:rsid w:val="00EA4B70"/>
    <w:rsid w:val="00EA4DEA"/>
    <w:rsid w:val="00EA7A23"/>
    <w:rsid w:val="00EB404D"/>
    <w:rsid w:val="00EB45F9"/>
    <w:rsid w:val="00EB4EF3"/>
    <w:rsid w:val="00EC1830"/>
    <w:rsid w:val="00EC59BF"/>
    <w:rsid w:val="00EC5DA8"/>
    <w:rsid w:val="00EC6FDC"/>
    <w:rsid w:val="00ED493E"/>
    <w:rsid w:val="00EE1494"/>
    <w:rsid w:val="00EE6E6F"/>
    <w:rsid w:val="00EF0AF9"/>
    <w:rsid w:val="00F034C0"/>
    <w:rsid w:val="00F034E2"/>
    <w:rsid w:val="00F061ED"/>
    <w:rsid w:val="00F1513D"/>
    <w:rsid w:val="00F159E4"/>
    <w:rsid w:val="00F15BD1"/>
    <w:rsid w:val="00F201F0"/>
    <w:rsid w:val="00F2021C"/>
    <w:rsid w:val="00F2069B"/>
    <w:rsid w:val="00F24D25"/>
    <w:rsid w:val="00F26DC3"/>
    <w:rsid w:val="00F32B3C"/>
    <w:rsid w:val="00F43270"/>
    <w:rsid w:val="00F433C4"/>
    <w:rsid w:val="00F5104C"/>
    <w:rsid w:val="00F560F4"/>
    <w:rsid w:val="00F60C16"/>
    <w:rsid w:val="00F64A2A"/>
    <w:rsid w:val="00F64ECF"/>
    <w:rsid w:val="00F67467"/>
    <w:rsid w:val="00F67E0E"/>
    <w:rsid w:val="00F70466"/>
    <w:rsid w:val="00F7100D"/>
    <w:rsid w:val="00F809F7"/>
    <w:rsid w:val="00F8571F"/>
    <w:rsid w:val="00F85E4F"/>
    <w:rsid w:val="00F86066"/>
    <w:rsid w:val="00F8607C"/>
    <w:rsid w:val="00F92E34"/>
    <w:rsid w:val="00F933D9"/>
    <w:rsid w:val="00F93A75"/>
    <w:rsid w:val="00F95D01"/>
    <w:rsid w:val="00FA1434"/>
    <w:rsid w:val="00FA5590"/>
    <w:rsid w:val="00FA597E"/>
    <w:rsid w:val="00FA726A"/>
    <w:rsid w:val="00FB2282"/>
    <w:rsid w:val="00FB38F7"/>
    <w:rsid w:val="00FB56B6"/>
    <w:rsid w:val="00FB7007"/>
    <w:rsid w:val="00FC1C04"/>
    <w:rsid w:val="00FC44B9"/>
    <w:rsid w:val="00FC5228"/>
    <w:rsid w:val="00FD05FA"/>
    <w:rsid w:val="00FE0311"/>
    <w:rsid w:val="00FE3A81"/>
    <w:rsid w:val="00FE5C5A"/>
    <w:rsid w:val="00FF2118"/>
    <w:rsid w:val="00FF5950"/>
    <w:rsid w:val="03BD5A2A"/>
    <w:rsid w:val="07920D91"/>
    <w:rsid w:val="07C14128"/>
    <w:rsid w:val="086E3C47"/>
    <w:rsid w:val="13A9462C"/>
    <w:rsid w:val="15196ACB"/>
    <w:rsid w:val="1AA13BF7"/>
    <w:rsid w:val="1E092862"/>
    <w:rsid w:val="205D18F6"/>
    <w:rsid w:val="243B103A"/>
    <w:rsid w:val="266108E9"/>
    <w:rsid w:val="273F73A6"/>
    <w:rsid w:val="30ED2830"/>
    <w:rsid w:val="346A4846"/>
    <w:rsid w:val="3471419B"/>
    <w:rsid w:val="34A212E6"/>
    <w:rsid w:val="34D23A78"/>
    <w:rsid w:val="39E60BE9"/>
    <w:rsid w:val="3C7020ED"/>
    <w:rsid w:val="3C824009"/>
    <w:rsid w:val="426254CD"/>
    <w:rsid w:val="4C220D1E"/>
    <w:rsid w:val="4D191237"/>
    <w:rsid w:val="50617331"/>
    <w:rsid w:val="51C40829"/>
    <w:rsid w:val="539227A8"/>
    <w:rsid w:val="54556A24"/>
    <w:rsid w:val="585907D4"/>
    <w:rsid w:val="695B03FD"/>
    <w:rsid w:val="6AB11EA0"/>
    <w:rsid w:val="6B250AB5"/>
    <w:rsid w:val="781B6E93"/>
    <w:rsid w:val="79D91008"/>
    <w:rsid w:val="7AB16F51"/>
    <w:rsid w:val="7E592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4"/>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35"/>
    <w:unhideWhenUsed/>
    <w:qFormat/>
    <w:uiPriority w:val="99"/>
    <w:pPr>
      <w:spacing w:after="120"/>
    </w:pPr>
    <w:rPr>
      <w:szCs w:val="24"/>
    </w:rPr>
  </w:style>
  <w:style w:type="paragraph" w:styleId="7">
    <w:name w:val="Date"/>
    <w:basedOn w:val="1"/>
    <w:next w:val="1"/>
    <w:link w:val="21"/>
    <w:semiHidden/>
    <w:unhideWhenUsed/>
    <w:qFormat/>
    <w:uiPriority w:val="99"/>
    <w:pPr>
      <w:ind w:left="100" w:leftChars="2500"/>
    </w:pPr>
  </w:style>
  <w:style w:type="paragraph" w:styleId="8">
    <w:name w:val="Balloon Text"/>
    <w:basedOn w:val="1"/>
    <w:link w:val="25"/>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494"/>
      </w:tabs>
      <w:adjustRightInd w:val="0"/>
      <w:snapToGrid w:val="0"/>
      <w:spacing w:line="360" w:lineRule="auto"/>
    </w:pPr>
    <w:rPr>
      <w:rFonts w:ascii="Times New Roman" w:hAnsi="Times New Roman" w:cs="Times New Roman"/>
      <w:sz w:val="24"/>
      <w:szCs w:val="24"/>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页眉 Char"/>
    <w:basedOn w:val="16"/>
    <w:link w:val="10"/>
    <w:qFormat/>
    <w:uiPriority w:val="99"/>
    <w:rPr>
      <w:sz w:val="18"/>
      <w:szCs w:val="18"/>
    </w:rPr>
  </w:style>
  <w:style w:type="character" w:customStyle="1" w:styleId="20">
    <w:name w:val="页脚 Char"/>
    <w:basedOn w:val="16"/>
    <w:link w:val="9"/>
    <w:qFormat/>
    <w:uiPriority w:val="99"/>
    <w:rPr>
      <w:sz w:val="18"/>
      <w:szCs w:val="18"/>
    </w:rPr>
  </w:style>
  <w:style w:type="character" w:customStyle="1" w:styleId="21">
    <w:name w:val="日期 Char"/>
    <w:basedOn w:val="16"/>
    <w:link w:val="7"/>
    <w:semiHidden/>
    <w:qFormat/>
    <w:uiPriority w:val="99"/>
  </w:style>
  <w:style w:type="character" w:customStyle="1" w:styleId="22">
    <w:name w:val="标题 1 Char"/>
    <w:basedOn w:val="16"/>
    <w:link w:val="2"/>
    <w:qFormat/>
    <w:uiPriority w:val="9"/>
    <w:rPr>
      <w:b/>
      <w:bCs/>
      <w:kern w:val="44"/>
      <w:sz w:val="44"/>
      <w:szCs w:val="44"/>
    </w:rPr>
  </w:style>
  <w:style w:type="character" w:customStyle="1" w:styleId="23">
    <w:name w:val="标题 2 Char"/>
    <w:basedOn w:val="16"/>
    <w:link w:val="3"/>
    <w:qFormat/>
    <w:uiPriority w:val="9"/>
    <w:rPr>
      <w:rFonts w:asciiTheme="majorHAnsi" w:hAnsiTheme="majorHAnsi" w:eastAsiaTheme="majorEastAsia" w:cstheme="majorBidi"/>
      <w:b/>
      <w:bCs/>
      <w:sz w:val="32"/>
      <w:szCs w:val="32"/>
    </w:rPr>
  </w:style>
  <w:style w:type="character" w:customStyle="1" w:styleId="24">
    <w:name w:val="标题 3 Char"/>
    <w:basedOn w:val="16"/>
    <w:link w:val="4"/>
    <w:qFormat/>
    <w:uiPriority w:val="9"/>
    <w:rPr>
      <w:b/>
      <w:bCs/>
      <w:sz w:val="32"/>
      <w:szCs w:val="32"/>
    </w:rPr>
  </w:style>
  <w:style w:type="character" w:customStyle="1" w:styleId="25">
    <w:name w:val="批注框文本 Char"/>
    <w:basedOn w:val="16"/>
    <w:link w:val="8"/>
    <w:semiHidden/>
    <w:qFormat/>
    <w:uiPriority w:val="99"/>
    <w:rPr>
      <w:sz w:val="18"/>
      <w:szCs w:val="18"/>
    </w:rPr>
  </w:style>
  <w:style w:type="character" w:customStyle="1" w:styleId="26">
    <w:name w:val="fontstyle01"/>
    <w:qFormat/>
    <w:uiPriority w:val="0"/>
    <w:rPr>
      <w:rFonts w:hint="default" w:ascii="FZFSK--GBK1-0" w:hAnsi="FZFSK--GBK1-0"/>
      <w:color w:val="000000"/>
      <w:sz w:val="28"/>
      <w:szCs w:val="28"/>
    </w:rPr>
  </w:style>
  <w:style w:type="paragraph" w:customStyle="1" w:styleId="27">
    <w:name w:val="MTDisplayEquation"/>
    <w:basedOn w:val="1"/>
    <w:next w:val="1"/>
    <w:link w:val="28"/>
    <w:qFormat/>
    <w:uiPriority w:val="0"/>
    <w:pPr>
      <w:tabs>
        <w:tab w:val="center" w:pos="4240"/>
        <w:tab w:val="right" w:pos="8500"/>
      </w:tabs>
      <w:adjustRightInd w:val="0"/>
      <w:snapToGrid w:val="0"/>
      <w:spacing w:line="360" w:lineRule="auto"/>
      <w:ind w:firstLine="560" w:firstLineChars="200"/>
    </w:pPr>
    <w:rPr>
      <w:rFonts w:ascii="仿宋_GB2312" w:hAnsi="黑体" w:eastAsia="仿宋_GB2312"/>
      <w:sz w:val="28"/>
      <w:szCs w:val="28"/>
    </w:rPr>
  </w:style>
  <w:style w:type="character" w:customStyle="1" w:styleId="28">
    <w:name w:val="MTDisplayEquation Char"/>
    <w:basedOn w:val="16"/>
    <w:link w:val="27"/>
    <w:qFormat/>
    <w:uiPriority w:val="0"/>
    <w:rPr>
      <w:rFonts w:ascii="仿宋_GB2312" w:hAnsi="黑体" w:eastAsia="仿宋_GB2312"/>
      <w:sz w:val="28"/>
      <w:szCs w:val="28"/>
    </w:rPr>
  </w:style>
  <w:style w:type="paragraph" w:customStyle="1" w:styleId="29">
    <w:name w:val="western"/>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30">
    <w:name w:val="网格型1"/>
    <w:basedOn w:val="14"/>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1">
    <w:name w:val="List Paragraph"/>
    <w:basedOn w:val="1"/>
    <w:qFormat/>
    <w:uiPriority w:val="34"/>
    <w:pPr>
      <w:ind w:firstLine="420" w:firstLineChars="200"/>
    </w:pPr>
  </w:style>
  <w:style w:type="character" w:customStyle="1" w:styleId="32">
    <w:name w:val="表格标题2 Char"/>
    <w:link w:val="33"/>
    <w:qFormat/>
    <w:uiPriority w:val="0"/>
    <w:rPr>
      <w:rFonts w:ascii="Arial" w:hAnsi="Arial" w:eastAsia="黑体"/>
      <w:b/>
      <w:sz w:val="24"/>
    </w:rPr>
  </w:style>
  <w:style w:type="paragraph" w:customStyle="1" w:styleId="33">
    <w:name w:val="表格标题2"/>
    <w:basedOn w:val="1"/>
    <w:link w:val="32"/>
    <w:qFormat/>
    <w:uiPriority w:val="0"/>
    <w:pPr>
      <w:keepNext/>
      <w:widowControl/>
      <w:overflowPunct w:val="0"/>
      <w:adjustRightInd w:val="0"/>
      <w:snapToGrid w:val="0"/>
      <w:spacing w:before="360" w:after="120" w:line="360" w:lineRule="auto"/>
      <w:jc w:val="center"/>
      <w:textAlignment w:val="baseline"/>
    </w:pPr>
    <w:rPr>
      <w:rFonts w:ascii="Arial" w:hAnsi="Arial" w:eastAsia="黑体"/>
      <w:b/>
      <w:sz w:val="24"/>
    </w:rPr>
  </w:style>
  <w:style w:type="character" w:customStyle="1" w:styleId="34">
    <w:name w:val="标题 4 Char"/>
    <w:basedOn w:val="16"/>
    <w:link w:val="5"/>
    <w:semiHidden/>
    <w:qFormat/>
    <w:uiPriority w:val="9"/>
    <w:rPr>
      <w:rFonts w:asciiTheme="majorHAnsi" w:hAnsiTheme="majorHAnsi" w:eastAsiaTheme="majorEastAsia" w:cstheme="majorBidi"/>
      <w:b/>
      <w:bCs/>
      <w:sz w:val="28"/>
      <w:szCs w:val="28"/>
    </w:rPr>
  </w:style>
  <w:style w:type="character" w:customStyle="1" w:styleId="35">
    <w:name w:val="正文文本 Char"/>
    <w:basedOn w:val="16"/>
    <w:link w:val="6"/>
    <w:qFormat/>
    <w:uiPriority w:val="99"/>
    <w:rPr>
      <w:szCs w:val="24"/>
    </w:rPr>
  </w:style>
  <w:style w:type="paragraph" w:customStyle="1" w:styleId="36">
    <w:name w:val="Table Paragraph"/>
    <w:basedOn w:val="1"/>
    <w:qFormat/>
    <w:uiPriority w:val="1"/>
    <w:pPr>
      <w:autoSpaceDE w:val="0"/>
      <w:autoSpaceDN w:val="0"/>
      <w:spacing w:before="130"/>
      <w:ind w:left="497"/>
      <w:jc w:val="center"/>
    </w:pPr>
    <w:rPr>
      <w:rFonts w:ascii="Times New Roman" w:hAnsi="Times New Roman" w:eastAsia="Times New Roman" w:cs="Times New Roman"/>
      <w:kern w:val="0"/>
      <w:sz w:val="22"/>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chart" Target="charts/chart27.xml"/><Relationship Id="rId44" Type="http://schemas.openxmlformats.org/officeDocument/2006/relationships/image" Target="media/image9.wmf"/><Relationship Id="rId43" Type="http://schemas.openxmlformats.org/officeDocument/2006/relationships/oleObject" Target="embeddings/oleObject4.bin"/><Relationship Id="rId42" Type="http://schemas.openxmlformats.org/officeDocument/2006/relationships/image" Target="media/image8.wmf"/><Relationship Id="rId41" Type="http://schemas.openxmlformats.org/officeDocument/2006/relationships/oleObject" Target="embeddings/oleObject3.bin"/><Relationship Id="rId40" Type="http://schemas.openxmlformats.org/officeDocument/2006/relationships/image" Target="media/image7.wmf"/><Relationship Id="rId4" Type="http://schemas.openxmlformats.org/officeDocument/2006/relationships/footer" Target="footer2.xml"/><Relationship Id="rId39" Type="http://schemas.openxmlformats.org/officeDocument/2006/relationships/oleObject" Target="embeddings/oleObject2.bin"/><Relationship Id="rId38" Type="http://schemas.openxmlformats.org/officeDocument/2006/relationships/chart" Target="charts/chart26.xml"/><Relationship Id="rId37" Type="http://schemas.openxmlformats.org/officeDocument/2006/relationships/chart" Target="charts/chart25.xml"/><Relationship Id="rId36" Type="http://schemas.openxmlformats.org/officeDocument/2006/relationships/chart" Target="charts/chart24.xml"/><Relationship Id="rId35" Type="http://schemas.openxmlformats.org/officeDocument/2006/relationships/chart" Target="charts/chart23.xml"/><Relationship Id="rId34" Type="http://schemas.openxmlformats.org/officeDocument/2006/relationships/chart" Target="charts/chart22.xml"/><Relationship Id="rId33" Type="http://schemas.openxmlformats.org/officeDocument/2006/relationships/chart" Target="charts/chart21.xml"/><Relationship Id="rId32" Type="http://schemas.openxmlformats.org/officeDocument/2006/relationships/chart" Target="charts/chart20.xml"/><Relationship Id="rId31" Type="http://schemas.openxmlformats.org/officeDocument/2006/relationships/chart" Target="charts/chart19.xml"/><Relationship Id="rId30" Type="http://schemas.openxmlformats.org/officeDocument/2006/relationships/chart" Target="charts/chart18.xml"/><Relationship Id="rId3" Type="http://schemas.openxmlformats.org/officeDocument/2006/relationships/footer" Target="footer1.xml"/><Relationship Id="rId29" Type="http://schemas.openxmlformats.org/officeDocument/2006/relationships/chart" Target="charts/chart17.xml"/><Relationship Id="rId28" Type="http://schemas.openxmlformats.org/officeDocument/2006/relationships/chart" Target="charts/chart16.xml"/><Relationship Id="rId27" Type="http://schemas.openxmlformats.org/officeDocument/2006/relationships/chart" Target="charts/chart15.xml"/><Relationship Id="rId26" Type="http://schemas.openxmlformats.org/officeDocument/2006/relationships/chart" Target="charts/chart14.xml"/><Relationship Id="rId25" Type="http://schemas.openxmlformats.org/officeDocument/2006/relationships/chart" Target="charts/chart13.xml"/><Relationship Id="rId24" Type="http://schemas.openxmlformats.org/officeDocument/2006/relationships/chart" Target="charts/chart12.xml"/><Relationship Id="rId23" Type="http://schemas.openxmlformats.org/officeDocument/2006/relationships/chart" Target="charts/chart11.xml"/><Relationship Id="rId22" Type="http://schemas.openxmlformats.org/officeDocument/2006/relationships/chart" Target="charts/chart10.xml"/><Relationship Id="rId21" Type="http://schemas.openxmlformats.org/officeDocument/2006/relationships/chart" Target="charts/chart9.xml"/><Relationship Id="rId20" Type="http://schemas.openxmlformats.org/officeDocument/2006/relationships/chart" Target="charts/chart8.xml"/><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image" Target="media/image6.jpeg"/><Relationship Id="rId12" Type="http://schemas.openxmlformats.org/officeDocument/2006/relationships/chart" Target="charts/chart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21046;&#2227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21046;&#2227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30416;&#27744;&#31934;&#20934;&#27835;&#27745;&#21313;&#22235;&#20116;&#35268;&#21010;\&#30416;&#27744;&#21439;&#31934;&#20934;&#27835;&#27745;&#21313;&#22235;&#20116;&#35268;&#21010;&#21450;&#30740;&#31350;&#25253;&#21578;\&#30011;&#2227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esktop\&#21046;&#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spPr>
              <a:solidFill>
                <a:srgbClr val="C00000"/>
              </a:solidFill>
            </c:spPr>
          </c:dPt>
          <c:dPt>
            <c:idx val="2"/>
            <c:invertIfNegative val="0"/>
            <c:bubble3D val="0"/>
            <c:spPr>
              <a:solidFill>
                <a:srgbClr val="7030A0"/>
              </a:solidFill>
            </c:spPr>
          </c:dPt>
          <c:dPt>
            <c:idx val="3"/>
            <c:invertIfNegative val="0"/>
            <c:bubble3D val="0"/>
            <c:spPr>
              <a:solidFill>
                <a:srgbClr val="00B0F0"/>
              </a:solidFill>
            </c:spPr>
          </c:dPt>
          <c:dPt>
            <c:idx val="4"/>
            <c:invertIfNegative val="0"/>
            <c:bubble3D val="0"/>
            <c:spPr>
              <a:solidFill>
                <a:srgbClr val="0000CC"/>
              </a:solidFill>
            </c:spPr>
          </c:dPt>
          <c:dPt>
            <c:idx val="5"/>
            <c:invertIfNegative val="0"/>
            <c:bubble3D val="0"/>
            <c:spPr>
              <a:solidFill>
                <a:srgbClr val="00B05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Sheet1!$C$8:$H$8</c:f>
              <c:strCache>
                <c:ptCount val="6"/>
                <c:pt idx="0">
                  <c:v>2016年</c:v>
                </c:pt>
                <c:pt idx="1">
                  <c:v>2017年</c:v>
                </c:pt>
                <c:pt idx="2">
                  <c:v>2018年</c:v>
                </c:pt>
                <c:pt idx="3">
                  <c:v>2019年</c:v>
                </c:pt>
                <c:pt idx="4">
                  <c:v>2020年</c:v>
                </c:pt>
                <c:pt idx="5">
                  <c:v>2021年</c:v>
                </c:pt>
              </c:strCache>
            </c:strRef>
          </c:cat>
          <c:val>
            <c:numRef>
              <c:f>Sheet1!$C$9:$H$9</c:f>
              <c:numCache>
                <c:formatCode>0.0000_ </c:formatCode>
                <c:ptCount val="6"/>
                <c:pt idx="0">
                  <c:v>0.6173</c:v>
                </c:pt>
                <c:pt idx="1">
                  <c:v>0.6395</c:v>
                </c:pt>
                <c:pt idx="2">
                  <c:v>0.522</c:v>
                </c:pt>
                <c:pt idx="3">
                  <c:v>0.4941</c:v>
                </c:pt>
                <c:pt idx="4">
                  <c:v>0.5157</c:v>
                </c:pt>
                <c:pt idx="5">
                  <c:v>0.4473</c:v>
                </c:pt>
              </c:numCache>
            </c:numRef>
          </c:val>
        </c:ser>
        <c:dLbls>
          <c:showLegendKey val="0"/>
          <c:showVal val="0"/>
          <c:showCatName val="0"/>
          <c:showSerName val="0"/>
          <c:showPercent val="0"/>
          <c:showBubbleSize val="0"/>
        </c:dLbls>
        <c:gapWidth val="150"/>
        <c:axId val="371839360"/>
        <c:axId val="372783360"/>
      </c:barChart>
      <c:catAx>
        <c:axId val="37183936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72783360"/>
        <c:crosses val="autoZero"/>
        <c:auto val="1"/>
        <c:lblAlgn val="ctr"/>
        <c:lblOffset val="100"/>
        <c:noMultiLvlLbl val="0"/>
      </c:catAx>
      <c:valAx>
        <c:axId val="372783360"/>
        <c:scaling>
          <c:orientation val="minMax"/>
        </c:scaling>
        <c:delete val="0"/>
        <c:axPos val="l"/>
        <c:majorGridlines/>
        <c:numFmt formatCode="0.00_ "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71839360"/>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spPr>
              <a:solidFill>
                <a:srgbClr val="FF00FF"/>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主要污染物排放量!$B$241:$G$241</c:f>
              <c:strCache>
                <c:ptCount val="6"/>
                <c:pt idx="0">
                  <c:v>石油、煤炭及其他燃料加工业</c:v>
                </c:pt>
                <c:pt idx="1">
                  <c:v>石油天然气开采业</c:v>
                </c:pt>
                <c:pt idx="2">
                  <c:v>非金属矿物制品业</c:v>
                </c:pt>
                <c:pt idx="3">
                  <c:v>化学原料和化学品制造</c:v>
                </c:pt>
                <c:pt idx="4">
                  <c:v>非煤矿山开采业</c:v>
                </c:pt>
                <c:pt idx="5">
                  <c:v>其他</c:v>
                </c:pt>
              </c:strCache>
            </c:strRef>
          </c:cat>
          <c:val>
            <c:numRef>
              <c:f>主要污染物排放量!$B$242:$G$242</c:f>
              <c:numCache>
                <c:formatCode>0.0%</c:formatCode>
                <c:ptCount val="6"/>
                <c:pt idx="0">
                  <c:v>0.336</c:v>
                </c:pt>
                <c:pt idx="1">
                  <c:v>0.224</c:v>
                </c:pt>
                <c:pt idx="2">
                  <c:v>0.168</c:v>
                </c:pt>
                <c:pt idx="3">
                  <c:v>0.131</c:v>
                </c:pt>
                <c:pt idx="4">
                  <c:v>0.073</c:v>
                </c:pt>
                <c:pt idx="5">
                  <c:v>0.068</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spPr>
              <a:solidFill>
                <a:srgbClr val="0000FF"/>
              </a:solidFill>
            </c:spPr>
          </c:dPt>
          <c:dPt>
            <c:idx val="7"/>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主要污染物排放量!$B$276:$I$276</c:f>
              <c:strCache>
                <c:ptCount val="8"/>
                <c:pt idx="0">
                  <c:v>非金属矿物制品业</c:v>
                </c:pt>
                <c:pt idx="1">
                  <c:v>石油、煤炭及其他燃料加工业</c:v>
                </c:pt>
                <c:pt idx="2">
                  <c:v>集中供热</c:v>
                </c:pt>
                <c:pt idx="3">
                  <c:v>交通运输</c:v>
                </c:pt>
                <c:pt idx="4">
                  <c:v>化学原料和化学制品制造业</c:v>
                </c:pt>
                <c:pt idx="5">
                  <c:v>石油天然气开采业</c:v>
                </c:pt>
                <c:pt idx="6">
                  <c:v>煤炭开采和洗选业等其他行业</c:v>
                </c:pt>
                <c:pt idx="7">
                  <c:v>其他</c:v>
                </c:pt>
              </c:strCache>
            </c:strRef>
          </c:cat>
          <c:val>
            <c:numRef>
              <c:f>主要污染物排放量!$B$277:$I$277</c:f>
              <c:numCache>
                <c:formatCode>0.0%</c:formatCode>
                <c:ptCount val="8"/>
                <c:pt idx="0">
                  <c:v>0.205</c:v>
                </c:pt>
                <c:pt idx="1">
                  <c:v>0.184</c:v>
                </c:pt>
                <c:pt idx="2">
                  <c:v>0.162</c:v>
                </c:pt>
                <c:pt idx="3">
                  <c:v>0.158</c:v>
                </c:pt>
                <c:pt idx="4">
                  <c:v>0.106</c:v>
                </c:pt>
                <c:pt idx="5">
                  <c:v>0.064</c:v>
                </c:pt>
                <c:pt idx="6">
                  <c:v>0.048</c:v>
                </c:pt>
                <c:pt idx="7">
                  <c:v>0.073</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0000FF"/>
              </a:solidFill>
            </c:spPr>
          </c:dPt>
          <c:dPt>
            <c:idx val="1"/>
            <c:bubble3D val="0"/>
          </c:dPt>
          <c:dPt>
            <c:idx val="2"/>
            <c:bubble3D val="0"/>
          </c:dPt>
          <c:dPt>
            <c:idx val="3"/>
            <c:bubble3D val="0"/>
          </c:dPt>
          <c:dPt>
            <c:idx val="4"/>
            <c:bubble3D val="0"/>
            <c:spPr>
              <a:solidFill>
                <a:srgbClr val="00B0F0"/>
              </a:solidFill>
            </c:spPr>
          </c:dPt>
          <c:dPt>
            <c:idx val="5"/>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Sheet1!$C$202:$H$202</c:f>
              <c:strCache>
                <c:ptCount val="6"/>
                <c:pt idx="0">
                  <c:v>煤炭开采和洗选业</c:v>
                </c:pt>
                <c:pt idx="1">
                  <c:v>非金属矿物制品业</c:v>
                </c:pt>
                <c:pt idx="2">
                  <c:v>非煤矿山开采业</c:v>
                </c:pt>
                <c:pt idx="3">
                  <c:v>石油、煤炭及其他燃料加工业</c:v>
                </c:pt>
                <c:pt idx="4">
                  <c:v>石油天然气开采业</c:v>
                </c:pt>
                <c:pt idx="5">
                  <c:v>其他</c:v>
                </c:pt>
              </c:strCache>
            </c:strRef>
          </c:cat>
          <c:val>
            <c:numRef>
              <c:f>Sheet1!$C$203:$H$203</c:f>
              <c:numCache>
                <c:formatCode>0.0%</c:formatCode>
                <c:ptCount val="6"/>
                <c:pt idx="0">
                  <c:v>0.4</c:v>
                </c:pt>
                <c:pt idx="1">
                  <c:v>0.264</c:v>
                </c:pt>
                <c:pt idx="2">
                  <c:v>0.183</c:v>
                </c:pt>
                <c:pt idx="3">
                  <c:v>0.089</c:v>
                </c:pt>
                <c:pt idx="4">
                  <c:v>0.048</c:v>
                </c:pt>
                <c:pt idx="5">
                  <c:v>0.016</c:v>
                </c:pt>
              </c:numCache>
            </c:numRef>
          </c:val>
        </c:ser>
        <c:dLbls>
          <c:showLegendKey val="0"/>
          <c:showVal val="0"/>
          <c:showCatName val="0"/>
          <c:showSerName val="0"/>
          <c:showPercent val="0"/>
          <c:showBubbleSize val="0"/>
          <c:showLeaderLines val="1"/>
        </c:dLbls>
        <c:firstSliceAng val="0"/>
      </c:pieChart>
    </c:plotArea>
    <c:legend>
      <c:legendPos val="t"/>
      <c:layout>
        <c:manualLayout>
          <c:xMode val="edge"/>
          <c:yMode val="edge"/>
          <c:x val="0.0210667368301024"/>
          <c:y val="0.0189204187818677"/>
          <c:w val="0.957866526339795"/>
          <c:h val="0.16633804233257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spPr>
              <a:solidFill>
                <a:srgbClr val="0000FF"/>
              </a:solidFill>
            </c:spPr>
          </c:dPt>
          <c:dPt>
            <c:idx val="5"/>
            <c:bubble3D val="0"/>
            <c:spPr>
              <a:solidFill>
                <a:schemeClr val="accent6"/>
              </a:solidFill>
            </c:spPr>
          </c:dPt>
          <c:dPt>
            <c:idx val="6"/>
            <c:bubble3D val="0"/>
            <c:spPr>
              <a:solidFill>
                <a:srgbClr val="FF00FF"/>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主要污染物排放量!$B$309:$H$309</c:f>
              <c:strCache>
                <c:ptCount val="7"/>
                <c:pt idx="0">
                  <c:v>化学原料和化学制品制造业</c:v>
                </c:pt>
                <c:pt idx="1">
                  <c:v>石油天然气开采业</c:v>
                </c:pt>
                <c:pt idx="2">
                  <c:v>石油、煤炭及其他燃料加工业</c:v>
                </c:pt>
                <c:pt idx="3">
                  <c:v>交通运输</c:v>
                </c:pt>
                <c:pt idx="4">
                  <c:v>非金属矿物制品业</c:v>
                </c:pt>
                <c:pt idx="5">
                  <c:v>煤炭开采和洗选业</c:v>
                </c:pt>
                <c:pt idx="6">
                  <c:v>其他行业</c:v>
                </c:pt>
              </c:strCache>
            </c:strRef>
          </c:cat>
          <c:val>
            <c:numRef>
              <c:f>主要污染物排放量!$B$310:$H$310</c:f>
              <c:numCache>
                <c:formatCode>0.0%</c:formatCode>
                <c:ptCount val="7"/>
                <c:pt idx="0">
                  <c:v>0.221</c:v>
                </c:pt>
                <c:pt idx="1">
                  <c:v>0.197</c:v>
                </c:pt>
                <c:pt idx="2">
                  <c:v>0.176</c:v>
                </c:pt>
                <c:pt idx="3">
                  <c:v>0.119</c:v>
                </c:pt>
                <c:pt idx="4">
                  <c:v>0.1</c:v>
                </c:pt>
                <c:pt idx="5">
                  <c:v>0.084</c:v>
                </c:pt>
                <c:pt idx="6">
                  <c:v>0.103</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0000FF"/>
              </a:solidFill>
            </c:spPr>
          </c:dPt>
          <c:dPt>
            <c:idx val="1"/>
            <c:bubble3D val="0"/>
          </c:dPt>
          <c:dPt>
            <c:idx val="2"/>
            <c:bubble3D val="0"/>
          </c:dPt>
          <c:dPt>
            <c:idx val="3"/>
            <c:bubble3D val="0"/>
          </c:dPt>
          <c:dPt>
            <c:idx val="4"/>
            <c:bubble3D val="0"/>
            <c:spPr>
              <a:solidFill>
                <a:srgbClr val="FF00FF"/>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Sheet1!$O$4:$S$4</c:f>
              <c:strCache>
                <c:ptCount val="5"/>
                <c:pt idx="0">
                  <c:v>2分及以下</c:v>
                </c:pt>
                <c:pt idx="1">
                  <c:v>4分及以下</c:v>
                </c:pt>
                <c:pt idx="2">
                  <c:v>6分及以下</c:v>
                </c:pt>
                <c:pt idx="3">
                  <c:v>8分及以下</c:v>
                </c:pt>
                <c:pt idx="4">
                  <c:v>8分以上</c:v>
                </c:pt>
              </c:strCache>
            </c:strRef>
          </c:cat>
          <c:val>
            <c:numRef>
              <c:f>Sheet1!$O$6:$S$6</c:f>
              <c:numCache>
                <c:formatCode>0.0%</c:formatCode>
                <c:ptCount val="5"/>
                <c:pt idx="0">
                  <c:v>0.0625</c:v>
                </c:pt>
                <c:pt idx="1">
                  <c:v>0.1875</c:v>
                </c:pt>
                <c:pt idx="2">
                  <c:v>0.3125</c:v>
                </c:pt>
                <c:pt idx="3">
                  <c:v>0.25</c:v>
                </c:pt>
                <c:pt idx="4">
                  <c:v>0.1875</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spPr>
              <a:solidFill>
                <a:srgbClr val="0000FF"/>
              </a:solidFill>
            </c:spPr>
          </c:dPt>
          <c:dPt>
            <c:idx val="4"/>
            <c:bubble3D val="0"/>
          </c:dPt>
          <c:dLbls>
            <c:dLbl>
              <c:idx val="0"/>
              <c:delete val="1"/>
            </c:dLbl>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Sheet1!$O$25:$S$25</c:f>
              <c:strCache>
                <c:ptCount val="5"/>
                <c:pt idx="0">
                  <c:v>2分及以下</c:v>
                </c:pt>
                <c:pt idx="1">
                  <c:v>4分及以下</c:v>
                </c:pt>
                <c:pt idx="2">
                  <c:v>6分及以下</c:v>
                </c:pt>
                <c:pt idx="3">
                  <c:v>8分及以下</c:v>
                </c:pt>
                <c:pt idx="4">
                  <c:v>8分以上</c:v>
                </c:pt>
              </c:strCache>
            </c:strRef>
          </c:cat>
          <c:val>
            <c:numRef>
              <c:f>Sheet1!$O$27:$S$27</c:f>
              <c:numCache>
                <c:formatCode>0.0%</c:formatCode>
                <c:ptCount val="5"/>
                <c:pt idx="0">
                  <c:v>0</c:v>
                </c:pt>
                <c:pt idx="1">
                  <c:v>0.142857142857143</c:v>
                </c:pt>
                <c:pt idx="2">
                  <c:v>0.285714285714286</c:v>
                </c:pt>
                <c:pt idx="3">
                  <c:v>0.571428571428571</c:v>
                </c:pt>
                <c:pt idx="4">
                  <c:v>0</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spPr>
              <a:solidFill>
                <a:srgbClr val="00B050"/>
              </a:solidFill>
            </c:spPr>
          </c:dPt>
          <c:dPt>
            <c:idx val="3"/>
            <c:bubble3D val="0"/>
          </c:dPt>
          <c:dPt>
            <c:idx val="4"/>
            <c:bubble3D val="0"/>
            <c:spPr>
              <a:solidFill>
                <a:srgbClr val="0070C0"/>
              </a:solidFill>
            </c:spPr>
          </c:dPt>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Sheet1!$P$39:$T$39</c:f>
              <c:strCache>
                <c:ptCount val="5"/>
                <c:pt idx="0">
                  <c:v>2分及以下</c:v>
                </c:pt>
                <c:pt idx="1">
                  <c:v>4分及以下</c:v>
                </c:pt>
                <c:pt idx="2">
                  <c:v>6分及以下</c:v>
                </c:pt>
                <c:pt idx="3">
                  <c:v>8分及以下</c:v>
                </c:pt>
                <c:pt idx="4">
                  <c:v>8分以上</c:v>
                </c:pt>
              </c:strCache>
            </c:strRef>
          </c:cat>
          <c:val>
            <c:numRef>
              <c:f>Sheet1!$P$41:$T$41</c:f>
              <c:numCache>
                <c:formatCode>0.0%</c:formatCode>
                <c:ptCount val="5"/>
                <c:pt idx="0">
                  <c:v>0</c:v>
                </c:pt>
                <c:pt idx="1">
                  <c:v>0</c:v>
                </c:pt>
                <c:pt idx="2">
                  <c:v>0.375</c:v>
                </c:pt>
                <c:pt idx="3">
                  <c:v>0.5</c:v>
                </c:pt>
                <c:pt idx="4">
                  <c:v>0.125</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lgn="ctr">
        <a:defRPr lang="zh-CN">
          <a:latin typeface="Times New Roman" panose="02020603050405020304" charset="0"/>
          <a:cs typeface="Times New Roman" panose="02020603050405020304" charset="0"/>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0070C0"/>
              </a:solidFill>
            </c:spPr>
          </c:dPt>
          <c:dPt>
            <c:idx val="1"/>
            <c:bubble3D val="0"/>
          </c:dPt>
          <c:dPt>
            <c:idx val="2"/>
            <c:bubble3D val="0"/>
            <c:spPr>
              <a:solidFill>
                <a:srgbClr val="00B050"/>
              </a:solidFill>
            </c:spPr>
          </c:dPt>
          <c:dPt>
            <c:idx val="3"/>
            <c:bubble3D val="0"/>
          </c:dPt>
          <c:dPt>
            <c:idx val="4"/>
            <c:bubble3D val="0"/>
            <c:spPr>
              <a:solidFill>
                <a:srgbClr val="FF00FF"/>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Sheet1!$P$47:$T$47</c:f>
              <c:strCache>
                <c:ptCount val="5"/>
                <c:pt idx="0">
                  <c:v>2分及以下</c:v>
                </c:pt>
                <c:pt idx="1">
                  <c:v>4分及以下</c:v>
                </c:pt>
                <c:pt idx="2">
                  <c:v>6分及以下</c:v>
                </c:pt>
                <c:pt idx="3">
                  <c:v>8分及以下</c:v>
                </c:pt>
                <c:pt idx="4">
                  <c:v>8分以上</c:v>
                </c:pt>
              </c:strCache>
            </c:strRef>
          </c:cat>
          <c:val>
            <c:numRef>
              <c:f>Sheet1!$P$49:$T$49</c:f>
              <c:numCache>
                <c:formatCode>0.0%</c:formatCode>
                <c:ptCount val="5"/>
                <c:pt idx="0">
                  <c:v>0.25</c:v>
                </c:pt>
                <c:pt idx="1">
                  <c:v>0.125</c:v>
                </c:pt>
                <c:pt idx="2">
                  <c:v>0.375</c:v>
                </c:pt>
                <c:pt idx="3">
                  <c:v>0.125</c:v>
                </c:pt>
                <c:pt idx="4">
                  <c:v>0.125</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lgn="ctr">
        <a:defRPr lang="zh-CN">
          <a:latin typeface="Times New Roman" panose="02020603050405020304" charset="0"/>
          <a:cs typeface="Times New Roman" panose="02020603050405020304" charset="0"/>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0000FF"/>
              </a:solidFill>
            </c:spPr>
          </c:dPt>
          <c:dPt>
            <c:idx val="1"/>
            <c:bubble3D val="0"/>
          </c:dPt>
          <c:dPt>
            <c:idx val="2"/>
            <c:bubble3D val="0"/>
          </c:dPt>
          <c:dPt>
            <c:idx val="3"/>
            <c:bubble3D val="0"/>
          </c:dPt>
          <c:dPt>
            <c:idx val="4"/>
            <c:bubble3D val="0"/>
            <c:spPr>
              <a:solidFill>
                <a:srgbClr val="C00000"/>
              </a:solidFill>
            </c:spPr>
          </c:dPt>
          <c:dLbls>
            <c:dLbl>
              <c:idx val="1"/>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Sheet1!$E$61:$I$61</c:f>
              <c:strCache>
                <c:ptCount val="5"/>
                <c:pt idx="0">
                  <c:v>2分及以下</c:v>
                </c:pt>
                <c:pt idx="1">
                  <c:v>4分及以下</c:v>
                </c:pt>
                <c:pt idx="2">
                  <c:v>6分及以下</c:v>
                </c:pt>
                <c:pt idx="3">
                  <c:v>8分及以下</c:v>
                </c:pt>
                <c:pt idx="4">
                  <c:v>8分以上</c:v>
                </c:pt>
              </c:strCache>
            </c:strRef>
          </c:cat>
          <c:val>
            <c:numRef>
              <c:f>Sheet1!$E$63:$I$63</c:f>
              <c:numCache>
                <c:formatCode>0.0%</c:formatCode>
                <c:ptCount val="5"/>
                <c:pt idx="0">
                  <c:v>0.166666666666667</c:v>
                </c:pt>
                <c:pt idx="1">
                  <c:v>0</c:v>
                </c:pt>
                <c:pt idx="2">
                  <c:v>0.666666666666667</c:v>
                </c:pt>
                <c:pt idx="3">
                  <c:v>0</c:v>
                </c:pt>
                <c:pt idx="4">
                  <c:v>0.166666666666667</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00B050"/>
              </a:solidFill>
            </c:spPr>
          </c:dPt>
          <c:dPt>
            <c:idx val="1"/>
            <c:bubble3D val="0"/>
          </c:dPt>
          <c:dPt>
            <c:idx val="2"/>
            <c:bubble3D val="0"/>
            <c:spPr>
              <a:solidFill>
                <a:srgbClr val="0000FF"/>
              </a:solidFill>
            </c:spPr>
          </c:dPt>
          <c:dPt>
            <c:idx val="3"/>
            <c:bubble3D val="0"/>
          </c:dPt>
          <c:dPt>
            <c:idx val="4"/>
            <c:bubble3D val="0"/>
          </c:dPt>
          <c:dLbls>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Sheet1!$P$60:$T$60</c:f>
              <c:strCache>
                <c:ptCount val="5"/>
                <c:pt idx="0">
                  <c:v>2分及以下</c:v>
                </c:pt>
                <c:pt idx="1">
                  <c:v>4分及以下</c:v>
                </c:pt>
                <c:pt idx="2">
                  <c:v>6分及以下</c:v>
                </c:pt>
                <c:pt idx="3">
                  <c:v>8分及以下</c:v>
                </c:pt>
                <c:pt idx="4">
                  <c:v>8分以上</c:v>
                </c:pt>
              </c:strCache>
            </c:strRef>
          </c:cat>
          <c:val>
            <c:numRef>
              <c:f>Sheet1!$P$62:$T$62</c:f>
              <c:numCache>
                <c:formatCode>0.0%</c:formatCode>
                <c:ptCount val="5"/>
                <c:pt idx="0">
                  <c:v>0.166666666666667</c:v>
                </c:pt>
                <c:pt idx="1">
                  <c:v>0.5</c:v>
                </c:pt>
                <c:pt idx="2">
                  <c:v>0.166666666666667</c:v>
                </c:pt>
                <c:pt idx="3">
                  <c:v>0.166666666666667</c:v>
                </c:pt>
                <c:pt idx="4">
                  <c:v>0</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污染物排放预测!$U$33</c:f>
              <c:strCache>
                <c:ptCount val="1"/>
                <c:pt idx="0">
                  <c:v>工业源</c:v>
                </c:pt>
              </c:strCache>
            </c:strRef>
          </c:tx>
          <c:spPr>
            <a:ln w="28575" cap="rnd" cmpd="sng" algn="ctr">
              <a:solidFill>
                <a:srgbClr val="C00000"/>
              </a:solidFill>
              <a:prstDash val="solid"/>
              <a:round/>
            </a:ln>
          </c:spPr>
          <c:marker>
            <c:symbol val="triangle"/>
            <c:size val="5"/>
            <c:spPr>
              <a:solidFill>
                <a:srgbClr val="C00000"/>
              </a:solidFill>
            </c:spPr>
          </c:marker>
          <c:dLbls>
            <c:delete val="1"/>
          </c:dLbls>
          <c:cat>
            <c:strRef>
              <c:f>污染物排放预测!$T$34:$T$39</c:f>
              <c:strCache>
                <c:ptCount val="6"/>
                <c:pt idx="0">
                  <c:v>2016年</c:v>
                </c:pt>
                <c:pt idx="1">
                  <c:v>2017年</c:v>
                </c:pt>
                <c:pt idx="2">
                  <c:v>2018年</c:v>
                </c:pt>
                <c:pt idx="3">
                  <c:v>2019年</c:v>
                </c:pt>
                <c:pt idx="4">
                  <c:v>2020年</c:v>
                </c:pt>
                <c:pt idx="5">
                  <c:v>2021年</c:v>
                </c:pt>
              </c:strCache>
            </c:strRef>
          </c:cat>
          <c:val>
            <c:numRef>
              <c:f>污染物排放预测!$U$34:$U$39</c:f>
              <c:numCache>
                <c:formatCode>General</c:formatCode>
                <c:ptCount val="6"/>
                <c:pt idx="0">
                  <c:v>81.07</c:v>
                </c:pt>
                <c:pt idx="1">
                  <c:v>55.47</c:v>
                </c:pt>
                <c:pt idx="2">
                  <c:v>522.72</c:v>
                </c:pt>
                <c:pt idx="3">
                  <c:v>498.54</c:v>
                </c:pt>
                <c:pt idx="4">
                  <c:v>457.16</c:v>
                </c:pt>
                <c:pt idx="5">
                  <c:v>422.33</c:v>
                </c:pt>
              </c:numCache>
            </c:numRef>
          </c:val>
          <c:smooth val="0"/>
        </c:ser>
        <c:ser>
          <c:idx val="1"/>
          <c:order val="1"/>
          <c:tx>
            <c:strRef>
              <c:f>污染物排放预测!$V$33</c:f>
              <c:strCache>
                <c:ptCount val="1"/>
                <c:pt idx="0">
                  <c:v>生活源</c:v>
                </c:pt>
              </c:strCache>
            </c:strRef>
          </c:tx>
          <c:spPr>
            <a:ln w="28575" cap="rnd" cmpd="sng" algn="ctr">
              <a:solidFill>
                <a:srgbClr val="0000FF"/>
              </a:solidFill>
              <a:prstDash val="solid"/>
              <a:round/>
            </a:ln>
          </c:spPr>
          <c:marker>
            <c:symbol val="x"/>
            <c:size val="5"/>
          </c:marker>
          <c:dLbls>
            <c:delete val="1"/>
          </c:dLbls>
          <c:cat>
            <c:strRef>
              <c:f>污染物排放预测!$T$34:$T$39</c:f>
              <c:strCache>
                <c:ptCount val="6"/>
                <c:pt idx="0">
                  <c:v>2016年</c:v>
                </c:pt>
                <c:pt idx="1">
                  <c:v>2017年</c:v>
                </c:pt>
                <c:pt idx="2">
                  <c:v>2018年</c:v>
                </c:pt>
                <c:pt idx="3">
                  <c:v>2019年</c:v>
                </c:pt>
                <c:pt idx="4">
                  <c:v>2020年</c:v>
                </c:pt>
                <c:pt idx="5">
                  <c:v>2021年</c:v>
                </c:pt>
              </c:strCache>
            </c:strRef>
          </c:cat>
          <c:val>
            <c:numRef>
              <c:f>污染物排放预测!$V$34:$V$39</c:f>
              <c:numCache>
                <c:formatCode>General</c:formatCode>
                <c:ptCount val="6"/>
                <c:pt idx="0">
                  <c:v>395.37</c:v>
                </c:pt>
                <c:pt idx="1">
                  <c:v>390.73</c:v>
                </c:pt>
                <c:pt idx="2">
                  <c:v>366.39</c:v>
                </c:pt>
                <c:pt idx="3">
                  <c:v>322.91</c:v>
                </c:pt>
                <c:pt idx="4">
                  <c:v>302.2</c:v>
                </c:pt>
                <c:pt idx="5">
                  <c:v>301.32</c:v>
                </c:pt>
              </c:numCache>
            </c:numRef>
          </c:val>
          <c:smooth val="0"/>
        </c:ser>
        <c:ser>
          <c:idx val="2"/>
          <c:order val="2"/>
          <c:tx>
            <c:strRef>
              <c:f>污染物排放预测!$W$33</c:f>
              <c:strCache>
                <c:ptCount val="1"/>
                <c:pt idx="0">
                  <c:v>总量</c:v>
                </c:pt>
              </c:strCache>
            </c:strRef>
          </c:tx>
          <c:spPr>
            <a:ln w="28575" cap="rnd" cmpd="sng" algn="ctr">
              <a:solidFill>
                <a:srgbClr val="00B050"/>
              </a:solidFill>
              <a:prstDash val="solid"/>
              <a:round/>
            </a:ln>
          </c:spPr>
          <c:marker>
            <c:symbol val="diamond"/>
            <c:size val="5"/>
            <c:spPr>
              <a:solidFill>
                <a:srgbClr val="00B050"/>
              </a:solidFill>
            </c:spPr>
          </c:marker>
          <c:dLbls>
            <c:delete val="1"/>
          </c:dLbls>
          <c:cat>
            <c:strRef>
              <c:f>污染物排放预测!$T$34:$T$39</c:f>
              <c:strCache>
                <c:ptCount val="6"/>
                <c:pt idx="0">
                  <c:v>2016年</c:v>
                </c:pt>
                <c:pt idx="1">
                  <c:v>2017年</c:v>
                </c:pt>
                <c:pt idx="2">
                  <c:v>2018年</c:v>
                </c:pt>
                <c:pt idx="3">
                  <c:v>2019年</c:v>
                </c:pt>
                <c:pt idx="4">
                  <c:v>2020年</c:v>
                </c:pt>
                <c:pt idx="5">
                  <c:v>2021年</c:v>
                </c:pt>
              </c:strCache>
            </c:strRef>
          </c:cat>
          <c:val>
            <c:numRef>
              <c:f>污染物排放预测!$W$34:$W$39</c:f>
              <c:numCache>
                <c:formatCode>General</c:formatCode>
                <c:ptCount val="6"/>
                <c:pt idx="0">
                  <c:v>476.44</c:v>
                </c:pt>
                <c:pt idx="1">
                  <c:v>446.2</c:v>
                </c:pt>
                <c:pt idx="2">
                  <c:v>889.11</c:v>
                </c:pt>
                <c:pt idx="3">
                  <c:v>821.45</c:v>
                </c:pt>
                <c:pt idx="4">
                  <c:v>759.36</c:v>
                </c:pt>
                <c:pt idx="5">
                  <c:v>723.65</c:v>
                </c:pt>
              </c:numCache>
            </c:numRef>
          </c:val>
          <c:smooth val="0"/>
        </c:ser>
        <c:dLbls>
          <c:showLegendKey val="0"/>
          <c:showVal val="0"/>
          <c:showCatName val="0"/>
          <c:showSerName val="0"/>
          <c:showPercent val="0"/>
          <c:showBubbleSize val="0"/>
        </c:dLbls>
        <c:marker val="1"/>
        <c:smooth val="0"/>
        <c:axId val="554549632"/>
        <c:axId val="554552320"/>
      </c:lineChart>
      <c:catAx>
        <c:axId val="55454963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crossAx val="554552320"/>
        <c:crosses val="autoZero"/>
        <c:auto val="1"/>
        <c:lblAlgn val="ctr"/>
        <c:lblOffset val="100"/>
        <c:noMultiLvlLbl val="0"/>
      </c:catAx>
      <c:valAx>
        <c:axId val="5545523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crossAx val="554549632"/>
        <c:crosses val="autoZero"/>
        <c:crossBetween val="between"/>
        <c:majorUnit val="200"/>
        <c:minorUnit val="100"/>
      </c:valAx>
    </c:plotArea>
    <c:legend>
      <c:legendPos val="t"/>
      <c:layout/>
      <c:overlay val="0"/>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sz="1050">
          <a:latin typeface="Times New Roman" panose="02020603050405020304" charset="0"/>
          <a:cs typeface="Times New Roman" panose="0202060305040502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污染物排放预测!$C$10</c:f>
              <c:strCache>
                <c:ptCount val="1"/>
                <c:pt idx="0">
                  <c:v>废水排放量（万吨/年）</c:v>
                </c:pt>
              </c:strCache>
            </c:strRef>
          </c:tx>
          <c:spPr>
            <a:ln w="28575" cap="rnd" cmpd="sng" algn="ctr">
              <a:solidFill>
                <a:srgbClr val="0000FF"/>
              </a:solidFill>
              <a:prstDash val="solid"/>
              <a:round/>
            </a:ln>
          </c:spPr>
          <c:marker>
            <c:symbol val="diamond"/>
            <c:size val="5"/>
            <c:spPr>
              <a:solidFill>
                <a:srgbClr val="0000FF"/>
              </a:solidFill>
            </c:spPr>
          </c:marker>
          <c:dLbls>
            <c:delete val="1"/>
          </c:dLbls>
          <c:cat>
            <c:strRef>
              <c:f>污染物排放预测!$D$9:$J$9</c:f>
              <c:strCache>
                <c:ptCount val="7"/>
                <c:pt idx="0">
                  <c:v>2016年</c:v>
                </c:pt>
                <c:pt idx="1">
                  <c:v>2017年</c:v>
                </c:pt>
                <c:pt idx="2">
                  <c:v>2018年</c:v>
                </c:pt>
                <c:pt idx="3">
                  <c:v>2019年</c:v>
                </c:pt>
                <c:pt idx="4">
                  <c:v>2020年</c:v>
                </c:pt>
                <c:pt idx="5">
                  <c:v>2021年</c:v>
                </c:pt>
                <c:pt idx="6">
                  <c:v>2025年</c:v>
                </c:pt>
              </c:strCache>
            </c:strRef>
          </c:cat>
          <c:val>
            <c:numRef>
              <c:f>污染物排放预测!$D$10:$J$10</c:f>
              <c:numCache>
                <c:formatCode>General</c:formatCode>
                <c:ptCount val="7"/>
                <c:pt idx="0">
                  <c:v>476.44</c:v>
                </c:pt>
                <c:pt idx="1">
                  <c:v>446.2</c:v>
                </c:pt>
                <c:pt idx="2">
                  <c:v>889.11</c:v>
                </c:pt>
                <c:pt idx="3">
                  <c:v>821.45</c:v>
                </c:pt>
                <c:pt idx="4">
                  <c:v>759.36</c:v>
                </c:pt>
                <c:pt idx="5">
                  <c:v>723.65</c:v>
                </c:pt>
                <c:pt idx="6">
                  <c:v>862.99</c:v>
                </c:pt>
              </c:numCache>
            </c:numRef>
          </c:val>
          <c:smooth val="0"/>
        </c:ser>
        <c:dLbls>
          <c:showLegendKey val="0"/>
          <c:showVal val="0"/>
          <c:showCatName val="0"/>
          <c:showSerName val="0"/>
          <c:showPercent val="0"/>
          <c:showBubbleSize val="0"/>
        </c:dLbls>
        <c:marker val="1"/>
        <c:smooth val="0"/>
        <c:axId val="365815680"/>
        <c:axId val="365817856"/>
      </c:lineChart>
      <c:catAx>
        <c:axId val="36581568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65817856"/>
        <c:crosses val="autoZero"/>
        <c:auto val="1"/>
        <c:lblAlgn val="ctr"/>
        <c:lblOffset val="100"/>
        <c:noMultiLvlLbl val="0"/>
      </c:catAx>
      <c:valAx>
        <c:axId val="3658178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65815680"/>
        <c:crosses val="autoZero"/>
        <c:crossBetween val="between"/>
        <c:majorUnit val="200"/>
        <c:minorUnit val="100"/>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污染物排放预测!$C$11</c:f>
              <c:strCache>
                <c:ptCount val="1"/>
                <c:pt idx="0">
                  <c:v>化学需氧量排放量（吨/年）</c:v>
                </c:pt>
              </c:strCache>
            </c:strRef>
          </c:tx>
          <c:spPr>
            <a:ln w="28575" cap="rnd" cmpd="sng" algn="ctr">
              <a:solidFill>
                <a:srgbClr val="0000FF"/>
              </a:solidFill>
              <a:prstDash val="solid"/>
              <a:round/>
            </a:ln>
          </c:spPr>
          <c:marker>
            <c:symbol val="triangle"/>
            <c:size val="5"/>
            <c:spPr>
              <a:solidFill>
                <a:srgbClr val="0000FF"/>
              </a:solidFill>
            </c:spPr>
          </c:marker>
          <c:dLbls>
            <c:delete val="1"/>
          </c:dLbls>
          <c:cat>
            <c:strRef>
              <c:f>污染物排放预测!$D$9:$J$9</c:f>
              <c:strCache>
                <c:ptCount val="7"/>
                <c:pt idx="0">
                  <c:v>2016年</c:v>
                </c:pt>
                <c:pt idx="1">
                  <c:v>2017年</c:v>
                </c:pt>
                <c:pt idx="2">
                  <c:v>2018年</c:v>
                </c:pt>
                <c:pt idx="3">
                  <c:v>2019年</c:v>
                </c:pt>
                <c:pt idx="4">
                  <c:v>2020年</c:v>
                </c:pt>
                <c:pt idx="5">
                  <c:v>2021年</c:v>
                </c:pt>
                <c:pt idx="6">
                  <c:v>2025年</c:v>
                </c:pt>
              </c:strCache>
            </c:strRef>
          </c:cat>
          <c:val>
            <c:numRef>
              <c:f>污染物排放预测!$D$11:$J$11</c:f>
              <c:numCache>
                <c:formatCode>General</c:formatCode>
                <c:ptCount val="7"/>
                <c:pt idx="0">
                  <c:v>1821.14</c:v>
                </c:pt>
                <c:pt idx="1">
                  <c:v>817.43</c:v>
                </c:pt>
                <c:pt idx="2">
                  <c:v>816.71</c:v>
                </c:pt>
                <c:pt idx="3">
                  <c:v>635.79</c:v>
                </c:pt>
                <c:pt idx="4">
                  <c:v>556.25</c:v>
                </c:pt>
                <c:pt idx="5">
                  <c:v>515.41</c:v>
                </c:pt>
                <c:pt idx="6">
                  <c:v>654.41</c:v>
                </c:pt>
              </c:numCache>
            </c:numRef>
          </c:val>
          <c:smooth val="0"/>
        </c:ser>
        <c:dLbls>
          <c:showLegendKey val="0"/>
          <c:showVal val="0"/>
          <c:showCatName val="0"/>
          <c:showSerName val="0"/>
          <c:showPercent val="0"/>
          <c:showBubbleSize val="0"/>
        </c:dLbls>
        <c:marker val="1"/>
        <c:smooth val="0"/>
        <c:axId val="415771648"/>
        <c:axId val="415786112"/>
      </c:lineChart>
      <c:catAx>
        <c:axId val="41577164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786112"/>
        <c:crosses val="autoZero"/>
        <c:auto val="1"/>
        <c:lblAlgn val="ctr"/>
        <c:lblOffset val="100"/>
        <c:noMultiLvlLbl val="0"/>
      </c:catAx>
      <c:valAx>
        <c:axId val="4157861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771648"/>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污染物排放预测!$C$12</c:f>
              <c:strCache>
                <c:ptCount val="1"/>
                <c:pt idx="0">
                  <c:v>氨氮排放总量（吨/年）</c:v>
                </c:pt>
              </c:strCache>
            </c:strRef>
          </c:tx>
          <c:spPr>
            <a:ln w="28575" cap="rnd" cmpd="sng" algn="ctr">
              <a:solidFill>
                <a:srgbClr val="00B050"/>
              </a:solidFill>
              <a:prstDash val="solid"/>
              <a:round/>
            </a:ln>
          </c:spPr>
          <c:marker>
            <c:symbol val="circle"/>
            <c:size val="5"/>
            <c:spPr>
              <a:solidFill>
                <a:srgbClr val="00B050"/>
              </a:solidFill>
            </c:spPr>
          </c:marker>
          <c:dLbls>
            <c:delete val="1"/>
          </c:dLbls>
          <c:cat>
            <c:strRef>
              <c:f>污染物排放预测!$D$9:$J$9</c:f>
              <c:strCache>
                <c:ptCount val="7"/>
                <c:pt idx="0">
                  <c:v>2016年</c:v>
                </c:pt>
                <c:pt idx="1">
                  <c:v>2017年</c:v>
                </c:pt>
                <c:pt idx="2">
                  <c:v>2018年</c:v>
                </c:pt>
                <c:pt idx="3">
                  <c:v>2019年</c:v>
                </c:pt>
                <c:pt idx="4">
                  <c:v>2020年</c:v>
                </c:pt>
                <c:pt idx="5">
                  <c:v>2021年</c:v>
                </c:pt>
                <c:pt idx="6">
                  <c:v>2025年</c:v>
                </c:pt>
              </c:strCache>
            </c:strRef>
          </c:cat>
          <c:val>
            <c:numRef>
              <c:f>污染物排放预测!$D$12:$J$12</c:f>
              <c:numCache>
                <c:formatCode>General</c:formatCode>
                <c:ptCount val="7"/>
                <c:pt idx="0">
                  <c:v>221.12</c:v>
                </c:pt>
                <c:pt idx="1">
                  <c:v>117.1</c:v>
                </c:pt>
                <c:pt idx="2">
                  <c:v>106.61</c:v>
                </c:pt>
                <c:pt idx="3">
                  <c:v>145.28</c:v>
                </c:pt>
                <c:pt idx="4">
                  <c:v>73.21</c:v>
                </c:pt>
                <c:pt idx="5">
                  <c:v>66.57</c:v>
                </c:pt>
                <c:pt idx="6">
                  <c:v>80.5</c:v>
                </c:pt>
              </c:numCache>
            </c:numRef>
          </c:val>
          <c:smooth val="0"/>
        </c:ser>
        <c:dLbls>
          <c:showLegendKey val="0"/>
          <c:showVal val="0"/>
          <c:showCatName val="0"/>
          <c:showSerName val="0"/>
          <c:showPercent val="0"/>
          <c:showBubbleSize val="0"/>
        </c:dLbls>
        <c:marker val="1"/>
        <c:smooth val="0"/>
        <c:axId val="415797632"/>
        <c:axId val="415799552"/>
      </c:lineChart>
      <c:catAx>
        <c:axId val="41579763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799552"/>
        <c:crosses val="autoZero"/>
        <c:auto val="1"/>
        <c:lblAlgn val="ctr"/>
        <c:lblOffset val="100"/>
        <c:noMultiLvlLbl val="0"/>
      </c:catAx>
      <c:valAx>
        <c:axId val="4157995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797632"/>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大气污染物变化趋势!$D$19</c:f>
              <c:strCache>
                <c:ptCount val="1"/>
                <c:pt idx="0">
                  <c:v>二氧化硫排放量（吨）</c:v>
                </c:pt>
              </c:strCache>
            </c:strRef>
          </c:tx>
          <c:spPr>
            <a:ln w="28575" cap="rnd" cmpd="sng" algn="ctr">
              <a:solidFill>
                <a:srgbClr val="FF00FF"/>
              </a:solidFill>
              <a:prstDash val="solid"/>
              <a:round/>
            </a:ln>
          </c:spPr>
          <c:marker>
            <c:symbol val="triangle"/>
            <c:size val="5"/>
            <c:spPr>
              <a:solidFill>
                <a:srgbClr val="FF00FF"/>
              </a:solidFill>
            </c:spPr>
          </c:marker>
          <c:dLbls>
            <c:delete val="1"/>
          </c:dLbls>
          <c:cat>
            <c:strRef>
              <c:f>大气污染物变化趋势!$E$18:$K$18</c:f>
              <c:strCache>
                <c:ptCount val="7"/>
                <c:pt idx="0">
                  <c:v>2016年</c:v>
                </c:pt>
                <c:pt idx="1">
                  <c:v>2017年</c:v>
                </c:pt>
                <c:pt idx="2">
                  <c:v>2018年</c:v>
                </c:pt>
                <c:pt idx="3">
                  <c:v>2019年</c:v>
                </c:pt>
                <c:pt idx="4">
                  <c:v>2020年</c:v>
                </c:pt>
                <c:pt idx="5">
                  <c:v>2021年</c:v>
                </c:pt>
                <c:pt idx="6">
                  <c:v>2025年</c:v>
                </c:pt>
              </c:strCache>
            </c:strRef>
          </c:cat>
          <c:val>
            <c:numRef>
              <c:f>大气污染物变化趋势!$E$19:$K$19</c:f>
              <c:numCache>
                <c:formatCode>General</c:formatCode>
                <c:ptCount val="7"/>
                <c:pt idx="0">
                  <c:v>2384.15</c:v>
                </c:pt>
                <c:pt idx="1">
                  <c:v>2139.48</c:v>
                </c:pt>
                <c:pt idx="2">
                  <c:v>2138.35</c:v>
                </c:pt>
                <c:pt idx="3">
                  <c:v>2113.97</c:v>
                </c:pt>
                <c:pt idx="4">
                  <c:v>1806.53</c:v>
                </c:pt>
                <c:pt idx="5">
                  <c:v>1765.88</c:v>
                </c:pt>
                <c:pt idx="6">
                  <c:v>1722.31</c:v>
                </c:pt>
              </c:numCache>
            </c:numRef>
          </c:val>
          <c:smooth val="0"/>
        </c:ser>
        <c:dLbls>
          <c:showLegendKey val="0"/>
          <c:showVal val="0"/>
          <c:showCatName val="0"/>
          <c:showSerName val="0"/>
          <c:showPercent val="0"/>
          <c:showBubbleSize val="0"/>
        </c:dLbls>
        <c:marker val="1"/>
        <c:smooth val="0"/>
        <c:axId val="415819264"/>
        <c:axId val="415821184"/>
      </c:lineChart>
      <c:catAx>
        <c:axId val="41581926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821184"/>
        <c:crosses val="autoZero"/>
        <c:auto val="1"/>
        <c:lblAlgn val="ctr"/>
        <c:lblOffset val="100"/>
        <c:noMultiLvlLbl val="0"/>
      </c:catAx>
      <c:valAx>
        <c:axId val="4158211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819264"/>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大气污染物变化趋势!$D$20</c:f>
              <c:strCache>
                <c:ptCount val="1"/>
                <c:pt idx="0">
                  <c:v>氮氧化物排放量（吨）</c:v>
                </c:pt>
              </c:strCache>
            </c:strRef>
          </c:tx>
          <c:spPr>
            <a:ln w="28575" cap="rnd" cmpd="sng" algn="ctr">
              <a:solidFill>
                <a:srgbClr val="7030A0"/>
              </a:solidFill>
              <a:prstDash val="solid"/>
              <a:round/>
            </a:ln>
          </c:spPr>
          <c:marker>
            <c:symbol val="diamond"/>
            <c:size val="5"/>
            <c:spPr>
              <a:solidFill>
                <a:srgbClr val="7030A0"/>
              </a:solidFill>
            </c:spPr>
          </c:marker>
          <c:dLbls>
            <c:delete val="1"/>
          </c:dLbls>
          <c:cat>
            <c:strRef>
              <c:f>大气污染物变化趋势!$E$18:$K$18</c:f>
              <c:strCache>
                <c:ptCount val="7"/>
                <c:pt idx="0">
                  <c:v>2016年</c:v>
                </c:pt>
                <c:pt idx="1">
                  <c:v>2017年</c:v>
                </c:pt>
                <c:pt idx="2">
                  <c:v>2018年</c:v>
                </c:pt>
                <c:pt idx="3">
                  <c:v>2019年</c:v>
                </c:pt>
                <c:pt idx="4">
                  <c:v>2020年</c:v>
                </c:pt>
                <c:pt idx="5">
                  <c:v>2021年</c:v>
                </c:pt>
                <c:pt idx="6">
                  <c:v>2025年</c:v>
                </c:pt>
              </c:strCache>
            </c:strRef>
          </c:cat>
          <c:val>
            <c:numRef>
              <c:f>大气污染物变化趋势!$E$20:$K$20</c:f>
              <c:numCache>
                <c:formatCode>General</c:formatCode>
                <c:ptCount val="7"/>
                <c:pt idx="0">
                  <c:v>682.05</c:v>
                </c:pt>
                <c:pt idx="1">
                  <c:v>1045.32</c:v>
                </c:pt>
                <c:pt idx="2">
                  <c:v>1114.36</c:v>
                </c:pt>
                <c:pt idx="3">
                  <c:v>1717.14</c:v>
                </c:pt>
                <c:pt idx="4">
                  <c:v>1366.01</c:v>
                </c:pt>
                <c:pt idx="5">
                  <c:v>1206.61</c:v>
                </c:pt>
                <c:pt idx="6">
                  <c:v>1261.02</c:v>
                </c:pt>
              </c:numCache>
            </c:numRef>
          </c:val>
          <c:smooth val="0"/>
        </c:ser>
        <c:dLbls>
          <c:showLegendKey val="0"/>
          <c:showVal val="0"/>
          <c:showCatName val="0"/>
          <c:showSerName val="0"/>
          <c:showPercent val="0"/>
          <c:showBubbleSize val="0"/>
        </c:dLbls>
        <c:marker val="1"/>
        <c:smooth val="0"/>
        <c:axId val="415832704"/>
        <c:axId val="415834880"/>
      </c:lineChart>
      <c:catAx>
        <c:axId val="41583270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834880"/>
        <c:crosses val="autoZero"/>
        <c:auto val="1"/>
        <c:lblAlgn val="ctr"/>
        <c:lblOffset val="100"/>
        <c:noMultiLvlLbl val="0"/>
      </c:catAx>
      <c:valAx>
        <c:axId val="4158348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832704"/>
        <c:crosses val="autoZero"/>
        <c:crossBetween val="between"/>
        <c:majorUnit val="500"/>
        <c:minorUnit val="100"/>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大气污染物变化趋势!$D$21</c:f>
              <c:strCache>
                <c:ptCount val="1"/>
                <c:pt idx="0">
                  <c:v>烟粉尘排放量（吨）</c:v>
                </c:pt>
              </c:strCache>
            </c:strRef>
          </c:tx>
          <c:spPr>
            <a:ln w="28575" cap="rnd" cmpd="sng" algn="ctr">
              <a:solidFill>
                <a:srgbClr val="7030A0"/>
              </a:solidFill>
              <a:prstDash val="solid"/>
              <a:round/>
            </a:ln>
          </c:spPr>
          <c:marker>
            <c:symbol val="star"/>
            <c:size val="5"/>
            <c:spPr>
              <a:solidFill>
                <a:srgbClr val="7030A0"/>
              </a:solidFill>
            </c:spPr>
          </c:marker>
          <c:dLbls>
            <c:delete val="1"/>
          </c:dLbls>
          <c:cat>
            <c:strRef>
              <c:f>大气污染物变化趋势!$E$18:$K$18</c:f>
              <c:strCache>
                <c:ptCount val="7"/>
                <c:pt idx="0">
                  <c:v>2016年</c:v>
                </c:pt>
                <c:pt idx="1">
                  <c:v>2017年</c:v>
                </c:pt>
                <c:pt idx="2">
                  <c:v>2018年</c:v>
                </c:pt>
                <c:pt idx="3">
                  <c:v>2019年</c:v>
                </c:pt>
                <c:pt idx="4">
                  <c:v>2020年</c:v>
                </c:pt>
                <c:pt idx="5">
                  <c:v>2021年</c:v>
                </c:pt>
                <c:pt idx="6">
                  <c:v>2025年</c:v>
                </c:pt>
              </c:strCache>
            </c:strRef>
          </c:cat>
          <c:val>
            <c:numRef>
              <c:f>大气污染物变化趋势!$E$21:$K$21</c:f>
              <c:numCache>
                <c:formatCode>General</c:formatCode>
                <c:ptCount val="7"/>
                <c:pt idx="0">
                  <c:v>1311.76</c:v>
                </c:pt>
                <c:pt idx="1">
                  <c:v>1677.03</c:v>
                </c:pt>
                <c:pt idx="2">
                  <c:v>1836.38</c:v>
                </c:pt>
                <c:pt idx="3">
                  <c:v>1989.13</c:v>
                </c:pt>
                <c:pt idx="4">
                  <c:v>1878.2</c:v>
                </c:pt>
                <c:pt idx="5">
                  <c:v>1843.48</c:v>
                </c:pt>
                <c:pt idx="6">
                  <c:v>1756.33</c:v>
                </c:pt>
              </c:numCache>
            </c:numRef>
          </c:val>
          <c:smooth val="0"/>
        </c:ser>
        <c:dLbls>
          <c:showLegendKey val="0"/>
          <c:showVal val="0"/>
          <c:showCatName val="0"/>
          <c:showSerName val="0"/>
          <c:showPercent val="0"/>
          <c:showBubbleSize val="0"/>
        </c:dLbls>
        <c:marker val="1"/>
        <c:smooth val="0"/>
        <c:axId val="415854592"/>
        <c:axId val="415856512"/>
      </c:lineChart>
      <c:catAx>
        <c:axId val="41585459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856512"/>
        <c:crosses val="autoZero"/>
        <c:auto val="1"/>
        <c:lblAlgn val="ctr"/>
        <c:lblOffset val="100"/>
        <c:noMultiLvlLbl val="0"/>
      </c:catAx>
      <c:valAx>
        <c:axId val="4158565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854592"/>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大气污染物变化趋势!$D$22</c:f>
              <c:strCache>
                <c:ptCount val="1"/>
                <c:pt idx="0">
                  <c:v>挥发性有机物排放量（吨）</c:v>
                </c:pt>
              </c:strCache>
            </c:strRef>
          </c:tx>
          <c:spPr>
            <a:ln w="28575" cap="rnd" cmpd="sng" algn="ctr">
              <a:solidFill>
                <a:srgbClr val="FF00FF"/>
              </a:solidFill>
              <a:prstDash val="solid"/>
              <a:round/>
            </a:ln>
          </c:spPr>
          <c:marker>
            <c:symbol val="diamond"/>
            <c:size val="5"/>
            <c:spPr>
              <a:solidFill>
                <a:srgbClr val="FF00FF"/>
              </a:solidFill>
            </c:spPr>
          </c:marker>
          <c:dLbls>
            <c:delete val="1"/>
          </c:dLbls>
          <c:cat>
            <c:strRef>
              <c:f>大气污染物变化趋势!$E$18:$K$18</c:f>
              <c:strCache>
                <c:ptCount val="7"/>
                <c:pt idx="0">
                  <c:v>2016年</c:v>
                </c:pt>
                <c:pt idx="1">
                  <c:v>2017年</c:v>
                </c:pt>
                <c:pt idx="2">
                  <c:v>2018年</c:v>
                </c:pt>
                <c:pt idx="3">
                  <c:v>2019年</c:v>
                </c:pt>
                <c:pt idx="4">
                  <c:v>2020年</c:v>
                </c:pt>
                <c:pt idx="5">
                  <c:v>2021年</c:v>
                </c:pt>
                <c:pt idx="6">
                  <c:v>2025年</c:v>
                </c:pt>
              </c:strCache>
            </c:strRef>
          </c:cat>
          <c:val>
            <c:numRef>
              <c:f>大气污染物变化趋势!$E$22:$K$22</c:f>
              <c:numCache>
                <c:formatCode>General</c:formatCode>
                <c:ptCount val="7"/>
                <c:pt idx="0">
                  <c:v>331.91</c:v>
                </c:pt>
                <c:pt idx="1">
                  <c:v>456.55</c:v>
                </c:pt>
                <c:pt idx="2">
                  <c:v>533.76</c:v>
                </c:pt>
                <c:pt idx="3">
                  <c:v>613.09</c:v>
                </c:pt>
                <c:pt idx="4">
                  <c:v>505.54</c:v>
                </c:pt>
                <c:pt idx="5">
                  <c:v>512.88</c:v>
                </c:pt>
                <c:pt idx="6">
                  <c:v>601.23</c:v>
                </c:pt>
              </c:numCache>
            </c:numRef>
          </c:val>
          <c:smooth val="0"/>
        </c:ser>
        <c:dLbls>
          <c:showLegendKey val="0"/>
          <c:showVal val="0"/>
          <c:showCatName val="0"/>
          <c:showSerName val="0"/>
          <c:showPercent val="0"/>
          <c:showBubbleSize val="0"/>
        </c:dLbls>
        <c:marker val="1"/>
        <c:smooth val="0"/>
        <c:axId val="415872128"/>
        <c:axId val="415874048"/>
      </c:lineChart>
      <c:catAx>
        <c:axId val="41587212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874048"/>
        <c:crosses val="autoZero"/>
        <c:auto val="1"/>
        <c:lblAlgn val="ctr"/>
        <c:lblOffset val="100"/>
        <c:noMultiLvlLbl val="0"/>
      </c:catAx>
      <c:valAx>
        <c:axId val="4158740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15872128"/>
        <c:crosses val="autoZero"/>
        <c:crossBetween val="between"/>
        <c:minorUnit val="50"/>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Sheet1!$F$4</c:f>
              <c:strCache>
                <c:ptCount val="1"/>
                <c:pt idx="0">
                  <c:v>耕地</c:v>
                </c:pt>
              </c:strCache>
            </c:strRef>
          </c:tx>
          <c:spPr>
            <a:solidFill>
              <a:schemeClr val="accent6"/>
            </a:solidFill>
          </c:spPr>
          <c:invertIfNegative val="0"/>
          <c:dLbls>
            <c:delete val="1"/>
          </c:dLbls>
          <c:cat>
            <c:strRef>
              <c:f>Sheet1!$E$5:$E$14</c:f>
              <c:strCache>
                <c:ptCount val="10"/>
                <c:pt idx="0">
                  <c:v>1978年</c:v>
                </c:pt>
                <c:pt idx="1">
                  <c:v>1983年</c:v>
                </c:pt>
                <c:pt idx="2">
                  <c:v>1988年</c:v>
                </c:pt>
                <c:pt idx="3">
                  <c:v>1993年</c:v>
                </c:pt>
                <c:pt idx="4">
                  <c:v>1998年</c:v>
                </c:pt>
                <c:pt idx="5">
                  <c:v>2003年</c:v>
                </c:pt>
                <c:pt idx="6">
                  <c:v>2008年</c:v>
                </c:pt>
                <c:pt idx="7">
                  <c:v>2013年</c:v>
                </c:pt>
                <c:pt idx="8">
                  <c:v>2018年</c:v>
                </c:pt>
                <c:pt idx="9">
                  <c:v>2021年</c:v>
                </c:pt>
              </c:strCache>
            </c:strRef>
          </c:cat>
          <c:val>
            <c:numRef>
              <c:f>Sheet1!$F$5:$F$14</c:f>
              <c:numCache>
                <c:formatCode>0.0%</c:formatCode>
                <c:ptCount val="10"/>
                <c:pt idx="0">
                  <c:v>0.82</c:v>
                </c:pt>
                <c:pt idx="1">
                  <c:v>0.801</c:v>
                </c:pt>
                <c:pt idx="2">
                  <c:v>0.751</c:v>
                </c:pt>
                <c:pt idx="3">
                  <c:v>0.713</c:v>
                </c:pt>
                <c:pt idx="4">
                  <c:v>0.654</c:v>
                </c:pt>
                <c:pt idx="5">
                  <c:v>0.596</c:v>
                </c:pt>
                <c:pt idx="6">
                  <c:v>0.545</c:v>
                </c:pt>
                <c:pt idx="7">
                  <c:v>0.484</c:v>
                </c:pt>
                <c:pt idx="8">
                  <c:v>0.432</c:v>
                </c:pt>
                <c:pt idx="9">
                  <c:v>0.374</c:v>
                </c:pt>
              </c:numCache>
            </c:numRef>
          </c:val>
        </c:ser>
        <c:ser>
          <c:idx val="1"/>
          <c:order val="1"/>
          <c:tx>
            <c:strRef>
              <c:f>Sheet1!$G$4</c:f>
              <c:strCache>
                <c:ptCount val="1"/>
                <c:pt idx="0">
                  <c:v>牧草地</c:v>
                </c:pt>
              </c:strCache>
            </c:strRef>
          </c:tx>
          <c:spPr>
            <a:solidFill>
              <a:srgbClr val="FF00FF"/>
            </a:solidFill>
          </c:spPr>
          <c:invertIfNegative val="0"/>
          <c:dLbls>
            <c:delete val="1"/>
          </c:dLbls>
          <c:cat>
            <c:strRef>
              <c:f>Sheet1!$E$5:$E$14</c:f>
              <c:strCache>
                <c:ptCount val="10"/>
                <c:pt idx="0">
                  <c:v>1978年</c:v>
                </c:pt>
                <c:pt idx="1">
                  <c:v>1983年</c:v>
                </c:pt>
                <c:pt idx="2">
                  <c:v>1988年</c:v>
                </c:pt>
                <c:pt idx="3">
                  <c:v>1993年</c:v>
                </c:pt>
                <c:pt idx="4">
                  <c:v>1998年</c:v>
                </c:pt>
                <c:pt idx="5">
                  <c:v>2003年</c:v>
                </c:pt>
                <c:pt idx="6">
                  <c:v>2008年</c:v>
                </c:pt>
                <c:pt idx="7">
                  <c:v>2013年</c:v>
                </c:pt>
                <c:pt idx="8">
                  <c:v>2018年</c:v>
                </c:pt>
                <c:pt idx="9">
                  <c:v>2021年</c:v>
                </c:pt>
              </c:strCache>
            </c:strRef>
          </c:cat>
          <c:val>
            <c:numRef>
              <c:f>Sheet1!$G$5:$G$14</c:f>
              <c:numCache>
                <c:formatCode>0.0%</c:formatCode>
                <c:ptCount val="10"/>
                <c:pt idx="0">
                  <c:v>0.05</c:v>
                </c:pt>
                <c:pt idx="1">
                  <c:v>0.055</c:v>
                </c:pt>
                <c:pt idx="2">
                  <c:v>0.064</c:v>
                </c:pt>
                <c:pt idx="3">
                  <c:v>0.076</c:v>
                </c:pt>
                <c:pt idx="4">
                  <c:v>0.089</c:v>
                </c:pt>
                <c:pt idx="5">
                  <c:v>0.105</c:v>
                </c:pt>
                <c:pt idx="6">
                  <c:v>0.116</c:v>
                </c:pt>
                <c:pt idx="7">
                  <c:v>0.134</c:v>
                </c:pt>
                <c:pt idx="8">
                  <c:v>0.142</c:v>
                </c:pt>
                <c:pt idx="9">
                  <c:v>0.153</c:v>
                </c:pt>
              </c:numCache>
            </c:numRef>
          </c:val>
        </c:ser>
        <c:ser>
          <c:idx val="2"/>
          <c:order val="2"/>
          <c:tx>
            <c:strRef>
              <c:f>Sheet1!$H$4</c:f>
              <c:strCache>
                <c:ptCount val="1"/>
                <c:pt idx="0">
                  <c:v>林地</c:v>
                </c:pt>
              </c:strCache>
            </c:strRef>
          </c:tx>
          <c:spPr>
            <a:solidFill>
              <a:srgbClr val="00B050"/>
            </a:solidFill>
          </c:spPr>
          <c:invertIfNegative val="0"/>
          <c:dLbls>
            <c:delete val="1"/>
          </c:dLbls>
          <c:cat>
            <c:strRef>
              <c:f>Sheet1!$E$5:$E$14</c:f>
              <c:strCache>
                <c:ptCount val="10"/>
                <c:pt idx="0">
                  <c:v>1978年</c:v>
                </c:pt>
                <c:pt idx="1">
                  <c:v>1983年</c:v>
                </c:pt>
                <c:pt idx="2">
                  <c:v>1988年</c:v>
                </c:pt>
                <c:pt idx="3">
                  <c:v>1993年</c:v>
                </c:pt>
                <c:pt idx="4">
                  <c:v>1998年</c:v>
                </c:pt>
                <c:pt idx="5">
                  <c:v>2003年</c:v>
                </c:pt>
                <c:pt idx="6">
                  <c:v>2008年</c:v>
                </c:pt>
                <c:pt idx="7">
                  <c:v>2013年</c:v>
                </c:pt>
                <c:pt idx="8">
                  <c:v>2018年</c:v>
                </c:pt>
                <c:pt idx="9">
                  <c:v>2021年</c:v>
                </c:pt>
              </c:strCache>
            </c:strRef>
          </c:cat>
          <c:val>
            <c:numRef>
              <c:f>Sheet1!$H$5:$H$14</c:f>
              <c:numCache>
                <c:formatCode>0.0%</c:formatCode>
                <c:ptCount val="10"/>
                <c:pt idx="0">
                  <c:v>0.018</c:v>
                </c:pt>
                <c:pt idx="1">
                  <c:v>0.021</c:v>
                </c:pt>
                <c:pt idx="2">
                  <c:v>0.032</c:v>
                </c:pt>
                <c:pt idx="3">
                  <c:v>0.037</c:v>
                </c:pt>
                <c:pt idx="4">
                  <c:v>0.048</c:v>
                </c:pt>
                <c:pt idx="5">
                  <c:v>0.057</c:v>
                </c:pt>
                <c:pt idx="6">
                  <c:v>0.068</c:v>
                </c:pt>
                <c:pt idx="7">
                  <c:v>0.081</c:v>
                </c:pt>
                <c:pt idx="8">
                  <c:v>0.087</c:v>
                </c:pt>
                <c:pt idx="9">
                  <c:v>0.094</c:v>
                </c:pt>
              </c:numCache>
            </c:numRef>
          </c:val>
        </c:ser>
        <c:ser>
          <c:idx val="3"/>
          <c:order val="3"/>
          <c:tx>
            <c:strRef>
              <c:f>Sheet1!$I$4</c:f>
              <c:strCache>
                <c:ptCount val="1"/>
                <c:pt idx="0">
                  <c:v>水域</c:v>
                </c:pt>
              </c:strCache>
            </c:strRef>
          </c:tx>
          <c:spPr>
            <a:solidFill>
              <a:srgbClr val="0000FF"/>
            </a:solidFill>
          </c:spPr>
          <c:invertIfNegative val="0"/>
          <c:dLbls>
            <c:delete val="1"/>
          </c:dLbls>
          <c:cat>
            <c:strRef>
              <c:f>Sheet1!$E$5:$E$14</c:f>
              <c:strCache>
                <c:ptCount val="10"/>
                <c:pt idx="0">
                  <c:v>1978年</c:v>
                </c:pt>
                <c:pt idx="1">
                  <c:v>1983年</c:v>
                </c:pt>
                <c:pt idx="2">
                  <c:v>1988年</c:v>
                </c:pt>
                <c:pt idx="3">
                  <c:v>1993年</c:v>
                </c:pt>
                <c:pt idx="4">
                  <c:v>1998年</c:v>
                </c:pt>
                <c:pt idx="5">
                  <c:v>2003年</c:v>
                </c:pt>
                <c:pt idx="6">
                  <c:v>2008年</c:v>
                </c:pt>
                <c:pt idx="7">
                  <c:v>2013年</c:v>
                </c:pt>
                <c:pt idx="8">
                  <c:v>2018年</c:v>
                </c:pt>
                <c:pt idx="9">
                  <c:v>2021年</c:v>
                </c:pt>
              </c:strCache>
            </c:strRef>
          </c:cat>
          <c:val>
            <c:numRef>
              <c:f>Sheet1!$I$5:$I$14</c:f>
              <c:numCache>
                <c:formatCode>0.0%</c:formatCode>
                <c:ptCount val="10"/>
                <c:pt idx="0">
                  <c:v>0.002</c:v>
                </c:pt>
                <c:pt idx="1">
                  <c:v>0.002</c:v>
                </c:pt>
                <c:pt idx="2">
                  <c:v>0.004</c:v>
                </c:pt>
                <c:pt idx="3">
                  <c:v>0.005</c:v>
                </c:pt>
                <c:pt idx="4">
                  <c:v>0.007</c:v>
                </c:pt>
                <c:pt idx="5">
                  <c:v>0.011</c:v>
                </c:pt>
                <c:pt idx="6">
                  <c:v>0.018</c:v>
                </c:pt>
                <c:pt idx="7">
                  <c:v>0.022</c:v>
                </c:pt>
                <c:pt idx="8">
                  <c:v>0.028</c:v>
                </c:pt>
                <c:pt idx="9">
                  <c:v>0.032</c:v>
                </c:pt>
              </c:numCache>
            </c:numRef>
          </c:val>
        </c:ser>
        <c:ser>
          <c:idx val="4"/>
          <c:order val="4"/>
          <c:tx>
            <c:strRef>
              <c:f>Sheet1!$J$4</c:f>
              <c:strCache>
                <c:ptCount val="1"/>
                <c:pt idx="0">
                  <c:v>建筑用地</c:v>
                </c:pt>
              </c:strCache>
            </c:strRef>
          </c:tx>
          <c:invertIfNegative val="0"/>
          <c:dLbls>
            <c:delete val="1"/>
          </c:dLbls>
          <c:cat>
            <c:strRef>
              <c:f>Sheet1!$E$5:$E$14</c:f>
              <c:strCache>
                <c:ptCount val="10"/>
                <c:pt idx="0">
                  <c:v>1978年</c:v>
                </c:pt>
                <c:pt idx="1">
                  <c:v>1983年</c:v>
                </c:pt>
                <c:pt idx="2">
                  <c:v>1988年</c:v>
                </c:pt>
                <c:pt idx="3">
                  <c:v>1993年</c:v>
                </c:pt>
                <c:pt idx="4">
                  <c:v>1998年</c:v>
                </c:pt>
                <c:pt idx="5">
                  <c:v>2003年</c:v>
                </c:pt>
                <c:pt idx="6">
                  <c:v>2008年</c:v>
                </c:pt>
                <c:pt idx="7">
                  <c:v>2013年</c:v>
                </c:pt>
                <c:pt idx="8">
                  <c:v>2018年</c:v>
                </c:pt>
                <c:pt idx="9">
                  <c:v>2021年</c:v>
                </c:pt>
              </c:strCache>
            </c:strRef>
          </c:cat>
          <c:val>
            <c:numRef>
              <c:f>Sheet1!$J$5:$J$14</c:f>
              <c:numCache>
                <c:formatCode>0.0%</c:formatCode>
                <c:ptCount val="10"/>
                <c:pt idx="0">
                  <c:v>0.08</c:v>
                </c:pt>
                <c:pt idx="1">
                  <c:v>0.086</c:v>
                </c:pt>
                <c:pt idx="2">
                  <c:v>0.101</c:v>
                </c:pt>
                <c:pt idx="3">
                  <c:v>0.112</c:v>
                </c:pt>
                <c:pt idx="4">
                  <c:v>0.126</c:v>
                </c:pt>
                <c:pt idx="5">
                  <c:v>0.143</c:v>
                </c:pt>
                <c:pt idx="6">
                  <c:v>0.152</c:v>
                </c:pt>
                <c:pt idx="7">
                  <c:v>0.163</c:v>
                </c:pt>
                <c:pt idx="8">
                  <c:v>0.179</c:v>
                </c:pt>
                <c:pt idx="9">
                  <c:v>0.196</c:v>
                </c:pt>
              </c:numCache>
            </c:numRef>
          </c:val>
        </c:ser>
        <c:ser>
          <c:idx val="5"/>
          <c:order val="5"/>
          <c:tx>
            <c:strRef>
              <c:f>Sheet1!$K$4</c:f>
              <c:strCache>
                <c:ptCount val="1"/>
                <c:pt idx="0">
                  <c:v>化石能源用地</c:v>
                </c:pt>
              </c:strCache>
            </c:strRef>
          </c:tx>
          <c:spPr>
            <a:solidFill>
              <a:srgbClr val="7030A0"/>
            </a:solidFill>
          </c:spPr>
          <c:invertIfNegative val="0"/>
          <c:dLbls>
            <c:delete val="1"/>
          </c:dLbls>
          <c:cat>
            <c:strRef>
              <c:f>Sheet1!$E$5:$E$14</c:f>
              <c:strCache>
                <c:ptCount val="10"/>
                <c:pt idx="0">
                  <c:v>1978年</c:v>
                </c:pt>
                <c:pt idx="1">
                  <c:v>1983年</c:v>
                </c:pt>
                <c:pt idx="2">
                  <c:v>1988年</c:v>
                </c:pt>
                <c:pt idx="3">
                  <c:v>1993年</c:v>
                </c:pt>
                <c:pt idx="4">
                  <c:v>1998年</c:v>
                </c:pt>
                <c:pt idx="5">
                  <c:v>2003年</c:v>
                </c:pt>
                <c:pt idx="6">
                  <c:v>2008年</c:v>
                </c:pt>
                <c:pt idx="7">
                  <c:v>2013年</c:v>
                </c:pt>
                <c:pt idx="8">
                  <c:v>2018年</c:v>
                </c:pt>
                <c:pt idx="9">
                  <c:v>2021年</c:v>
                </c:pt>
              </c:strCache>
            </c:strRef>
          </c:cat>
          <c:val>
            <c:numRef>
              <c:f>Sheet1!$K$5:$K$14</c:f>
              <c:numCache>
                <c:formatCode>0.0%</c:formatCode>
                <c:ptCount val="10"/>
                <c:pt idx="0">
                  <c:v>0.03</c:v>
                </c:pt>
                <c:pt idx="1">
                  <c:v>0.035</c:v>
                </c:pt>
                <c:pt idx="2">
                  <c:v>0.048</c:v>
                </c:pt>
                <c:pt idx="3">
                  <c:v>0.057</c:v>
                </c:pt>
                <c:pt idx="4">
                  <c:v>0.076</c:v>
                </c:pt>
                <c:pt idx="5">
                  <c:v>0.088</c:v>
                </c:pt>
                <c:pt idx="6">
                  <c:v>0.101</c:v>
                </c:pt>
                <c:pt idx="7">
                  <c:v>0.116</c:v>
                </c:pt>
                <c:pt idx="8">
                  <c:v>0.132</c:v>
                </c:pt>
                <c:pt idx="9">
                  <c:v>0.151</c:v>
                </c:pt>
              </c:numCache>
            </c:numRef>
          </c:val>
        </c:ser>
        <c:dLbls>
          <c:showLegendKey val="0"/>
          <c:showVal val="0"/>
          <c:showCatName val="0"/>
          <c:showSerName val="0"/>
          <c:showPercent val="0"/>
          <c:showBubbleSize val="0"/>
        </c:dLbls>
        <c:gapWidth val="150"/>
        <c:axId val="438057600"/>
        <c:axId val="438059392"/>
      </c:barChart>
      <c:catAx>
        <c:axId val="43805760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38059392"/>
        <c:crosses val="autoZero"/>
        <c:auto val="1"/>
        <c:lblAlgn val="ctr"/>
        <c:lblOffset val="100"/>
        <c:noMultiLvlLbl val="0"/>
      </c:catAx>
      <c:valAx>
        <c:axId val="43805939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38057600"/>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Sheet1!$B$51</c:f>
              <c:strCache>
                <c:ptCount val="1"/>
                <c:pt idx="0">
                  <c:v>工业源</c:v>
                </c:pt>
              </c:strCache>
            </c:strRef>
          </c:tx>
          <c:marker>
            <c:symbol val="triangle"/>
            <c:size val="5"/>
            <c:spPr>
              <a:solidFill>
                <a:srgbClr val="0070C0"/>
              </a:solidFill>
            </c:spPr>
          </c:marker>
          <c:dLbls>
            <c:delete val="1"/>
          </c:dLbls>
          <c:cat>
            <c:numRef>
              <c:f>Sheet1!$C$50:$G$50</c:f>
              <c:numCache>
                <c:formatCode>General</c:formatCode>
                <c:ptCount val="5"/>
                <c:pt idx="0">
                  <c:v>2016</c:v>
                </c:pt>
                <c:pt idx="1">
                  <c:v>20217</c:v>
                </c:pt>
                <c:pt idx="2">
                  <c:v>2018</c:v>
                </c:pt>
                <c:pt idx="3">
                  <c:v>2019</c:v>
                </c:pt>
                <c:pt idx="4">
                  <c:v>2020</c:v>
                </c:pt>
              </c:numCache>
            </c:numRef>
          </c:cat>
          <c:val>
            <c:numRef>
              <c:f>Sheet1!$C$51:$G$51</c:f>
              <c:numCache>
                <c:formatCode>General</c:formatCode>
                <c:ptCount val="5"/>
                <c:pt idx="0">
                  <c:v>50.37</c:v>
                </c:pt>
                <c:pt idx="1">
                  <c:v>47.73</c:v>
                </c:pt>
                <c:pt idx="2">
                  <c:v>89.54</c:v>
                </c:pt>
                <c:pt idx="3">
                  <c:v>80.66</c:v>
                </c:pt>
                <c:pt idx="4">
                  <c:v>55.19</c:v>
                </c:pt>
              </c:numCache>
            </c:numRef>
          </c:val>
          <c:smooth val="0"/>
        </c:ser>
        <c:ser>
          <c:idx val="1"/>
          <c:order val="1"/>
          <c:tx>
            <c:strRef>
              <c:f>Sheet1!$B$52</c:f>
              <c:strCache>
                <c:ptCount val="1"/>
                <c:pt idx="0">
                  <c:v>生活源</c:v>
                </c:pt>
              </c:strCache>
            </c:strRef>
          </c:tx>
          <c:marker>
            <c:symbol val="diamond"/>
            <c:size val="5"/>
            <c:spPr>
              <a:solidFill>
                <a:srgbClr val="C00000"/>
              </a:solidFill>
            </c:spPr>
          </c:marker>
          <c:dLbls>
            <c:delete val="1"/>
          </c:dLbls>
          <c:cat>
            <c:numRef>
              <c:f>Sheet1!$C$50:$G$50</c:f>
              <c:numCache>
                <c:formatCode>General</c:formatCode>
                <c:ptCount val="5"/>
                <c:pt idx="0">
                  <c:v>2016</c:v>
                </c:pt>
                <c:pt idx="1">
                  <c:v>20217</c:v>
                </c:pt>
                <c:pt idx="2">
                  <c:v>2018</c:v>
                </c:pt>
                <c:pt idx="3">
                  <c:v>2019</c:v>
                </c:pt>
                <c:pt idx="4">
                  <c:v>2020</c:v>
                </c:pt>
              </c:numCache>
            </c:numRef>
          </c:cat>
          <c:val>
            <c:numRef>
              <c:f>Sheet1!$C$52:$G$52</c:f>
              <c:numCache>
                <c:formatCode>General</c:formatCode>
                <c:ptCount val="5"/>
                <c:pt idx="0">
                  <c:v>1663.6</c:v>
                </c:pt>
                <c:pt idx="1">
                  <c:v>675.39</c:v>
                </c:pt>
                <c:pt idx="2">
                  <c:v>675.39</c:v>
                </c:pt>
                <c:pt idx="3">
                  <c:v>512.73</c:v>
                </c:pt>
                <c:pt idx="4">
                  <c:v>491.03</c:v>
                </c:pt>
              </c:numCache>
            </c:numRef>
          </c:val>
          <c:smooth val="0"/>
        </c:ser>
        <c:ser>
          <c:idx val="2"/>
          <c:order val="2"/>
          <c:tx>
            <c:strRef>
              <c:f>Sheet1!$B$53</c:f>
              <c:strCache>
                <c:ptCount val="1"/>
                <c:pt idx="0">
                  <c:v>农业源</c:v>
                </c:pt>
              </c:strCache>
            </c:strRef>
          </c:tx>
          <c:spPr>
            <a:ln w="28575" cap="rnd" cmpd="sng" algn="ctr">
              <a:solidFill>
                <a:srgbClr val="7030A0"/>
              </a:solidFill>
              <a:prstDash val="solid"/>
              <a:round/>
            </a:ln>
          </c:spPr>
          <c:marker>
            <c:symbol val="circle"/>
            <c:size val="5"/>
            <c:spPr>
              <a:solidFill>
                <a:srgbClr val="7030A0">
                  <a:alpha val="99000"/>
                </a:srgbClr>
              </a:solidFill>
            </c:spPr>
          </c:marker>
          <c:dLbls>
            <c:delete val="1"/>
          </c:dLbls>
          <c:cat>
            <c:numRef>
              <c:f>Sheet1!$C$50:$G$50</c:f>
              <c:numCache>
                <c:formatCode>General</c:formatCode>
                <c:ptCount val="5"/>
                <c:pt idx="0">
                  <c:v>2016</c:v>
                </c:pt>
                <c:pt idx="1">
                  <c:v>20217</c:v>
                </c:pt>
                <c:pt idx="2">
                  <c:v>2018</c:v>
                </c:pt>
                <c:pt idx="3">
                  <c:v>2019</c:v>
                </c:pt>
                <c:pt idx="4">
                  <c:v>2020</c:v>
                </c:pt>
              </c:numCache>
            </c:numRef>
          </c:cat>
          <c:val>
            <c:numRef>
              <c:f>Sheet1!$C$53:$G$53</c:f>
              <c:numCache>
                <c:formatCode>General</c:formatCode>
                <c:ptCount val="5"/>
                <c:pt idx="0">
                  <c:v>77.77</c:v>
                </c:pt>
                <c:pt idx="1">
                  <c:v>68.02</c:v>
                </c:pt>
                <c:pt idx="2">
                  <c:v>27.74</c:v>
                </c:pt>
                <c:pt idx="3">
                  <c:v>15.83</c:v>
                </c:pt>
                <c:pt idx="4">
                  <c:v>10.13</c:v>
                </c:pt>
              </c:numCache>
            </c:numRef>
          </c:val>
          <c:smooth val="0"/>
        </c:ser>
        <c:dLbls>
          <c:showLegendKey val="0"/>
          <c:showVal val="0"/>
          <c:showCatName val="0"/>
          <c:showSerName val="0"/>
          <c:showPercent val="0"/>
          <c:showBubbleSize val="0"/>
        </c:dLbls>
        <c:marker val="1"/>
        <c:smooth val="0"/>
        <c:axId val="407134208"/>
        <c:axId val="407136128"/>
      </c:lineChart>
      <c:catAx>
        <c:axId val="40713420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mn-ea"/>
                <a:cs typeface="Times New Roman" panose="02020603050405020304" charset="0"/>
              </a:defRPr>
            </a:pPr>
          </a:p>
        </c:txPr>
        <c:crossAx val="407136128"/>
        <c:crosses val="autoZero"/>
        <c:auto val="1"/>
        <c:lblAlgn val="ctr"/>
        <c:lblOffset val="100"/>
        <c:noMultiLvlLbl val="0"/>
      </c:catAx>
      <c:valAx>
        <c:axId val="4071361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mn-ea"/>
                <a:cs typeface="Times New Roman" panose="02020603050405020304" charset="0"/>
              </a:defRPr>
            </a:pPr>
          </a:p>
        </c:txPr>
        <c:crossAx val="407134208"/>
        <c:crosses val="autoZero"/>
        <c:crossBetween val="between"/>
        <c:majorUnit val="300"/>
        <c:minorUnit val="100"/>
      </c:valAx>
    </c:plotArea>
    <c:legend>
      <c:legendPos val="t"/>
      <c:layout/>
      <c:overlay val="0"/>
      <c:txPr>
        <a:bodyPr rot="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sz="1100">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Sheet1!$B$82</c:f>
              <c:strCache>
                <c:ptCount val="1"/>
                <c:pt idx="0">
                  <c:v>工业源</c:v>
                </c:pt>
              </c:strCache>
            </c:strRef>
          </c:tx>
          <c:spPr>
            <a:ln w="28575" cap="rnd" cmpd="sng" algn="ctr">
              <a:solidFill>
                <a:srgbClr val="00B050"/>
              </a:solidFill>
              <a:prstDash val="solid"/>
              <a:round/>
            </a:ln>
          </c:spPr>
          <c:marker>
            <c:symbol val="triangle"/>
            <c:size val="5"/>
            <c:spPr>
              <a:solidFill>
                <a:srgbClr val="00B050"/>
              </a:solidFill>
              <a:ln w="9525" cap="flat" cmpd="sng" algn="ctr">
                <a:solidFill>
                  <a:srgbClr val="00B050"/>
                </a:solidFill>
                <a:prstDash val="solid"/>
                <a:round/>
              </a:ln>
            </c:spPr>
          </c:marker>
          <c:dLbls>
            <c:delete val="1"/>
          </c:dLbls>
          <c:cat>
            <c:numRef>
              <c:f>Sheet1!$C$81:$G$81</c:f>
              <c:numCache>
                <c:formatCode>General</c:formatCode>
                <c:ptCount val="5"/>
                <c:pt idx="0">
                  <c:v>2016</c:v>
                </c:pt>
                <c:pt idx="1">
                  <c:v>20217</c:v>
                </c:pt>
                <c:pt idx="2">
                  <c:v>2018</c:v>
                </c:pt>
                <c:pt idx="3">
                  <c:v>2019</c:v>
                </c:pt>
                <c:pt idx="4">
                  <c:v>2020</c:v>
                </c:pt>
              </c:numCache>
            </c:numRef>
          </c:cat>
          <c:val>
            <c:numRef>
              <c:f>Sheet1!$C$82:$G$82</c:f>
              <c:numCache>
                <c:formatCode>General</c:formatCode>
                <c:ptCount val="5"/>
                <c:pt idx="0">
                  <c:v>1.38</c:v>
                </c:pt>
                <c:pt idx="1">
                  <c:v>1.07</c:v>
                </c:pt>
                <c:pt idx="2">
                  <c:v>3.82</c:v>
                </c:pt>
                <c:pt idx="3">
                  <c:v>2.47</c:v>
                </c:pt>
                <c:pt idx="4">
                  <c:v>0.69</c:v>
                </c:pt>
              </c:numCache>
            </c:numRef>
          </c:val>
          <c:smooth val="0"/>
        </c:ser>
        <c:ser>
          <c:idx val="1"/>
          <c:order val="1"/>
          <c:tx>
            <c:strRef>
              <c:f>Sheet1!$B$83</c:f>
              <c:strCache>
                <c:ptCount val="1"/>
                <c:pt idx="0">
                  <c:v>生活源</c:v>
                </c:pt>
              </c:strCache>
            </c:strRef>
          </c:tx>
          <c:spPr>
            <a:ln w="28575" cap="rnd" cmpd="sng" algn="ctr">
              <a:solidFill>
                <a:srgbClr val="7030A0"/>
              </a:solidFill>
              <a:prstDash val="solid"/>
              <a:round/>
            </a:ln>
          </c:spPr>
          <c:marker>
            <c:symbol val="circle"/>
            <c:size val="5"/>
            <c:spPr>
              <a:solidFill>
                <a:srgbClr val="7030A0"/>
              </a:solidFill>
            </c:spPr>
          </c:marker>
          <c:dLbls>
            <c:delete val="1"/>
          </c:dLbls>
          <c:cat>
            <c:numRef>
              <c:f>Sheet1!$C$81:$G$81</c:f>
              <c:numCache>
                <c:formatCode>General</c:formatCode>
                <c:ptCount val="5"/>
                <c:pt idx="0">
                  <c:v>2016</c:v>
                </c:pt>
                <c:pt idx="1">
                  <c:v>20217</c:v>
                </c:pt>
                <c:pt idx="2">
                  <c:v>2018</c:v>
                </c:pt>
                <c:pt idx="3">
                  <c:v>2019</c:v>
                </c:pt>
                <c:pt idx="4">
                  <c:v>2020</c:v>
                </c:pt>
              </c:numCache>
            </c:numRef>
          </c:cat>
          <c:val>
            <c:numRef>
              <c:f>Sheet1!$C$83:$G$83</c:f>
              <c:numCache>
                <c:formatCode>General</c:formatCode>
                <c:ptCount val="5"/>
                <c:pt idx="0">
                  <c:v>199.63</c:v>
                </c:pt>
                <c:pt idx="1">
                  <c:v>98.47</c:v>
                </c:pt>
                <c:pt idx="2">
                  <c:v>98.47</c:v>
                </c:pt>
                <c:pt idx="3">
                  <c:v>139.39</c:v>
                </c:pt>
                <c:pt idx="4">
                  <c:v>101.69</c:v>
                </c:pt>
              </c:numCache>
            </c:numRef>
          </c:val>
          <c:smooth val="0"/>
        </c:ser>
        <c:ser>
          <c:idx val="2"/>
          <c:order val="2"/>
          <c:tx>
            <c:strRef>
              <c:f>Sheet1!$B$84</c:f>
              <c:strCache>
                <c:ptCount val="1"/>
                <c:pt idx="0">
                  <c:v>农业源</c:v>
                </c:pt>
              </c:strCache>
            </c:strRef>
          </c:tx>
          <c:spPr>
            <a:ln w="28575" cap="rnd" cmpd="sng" algn="ctr">
              <a:solidFill>
                <a:srgbClr val="0000FF"/>
              </a:solidFill>
              <a:prstDash val="solid"/>
              <a:round/>
            </a:ln>
          </c:spPr>
          <c:marker>
            <c:symbol val="diamond"/>
            <c:size val="5"/>
            <c:spPr>
              <a:solidFill>
                <a:srgbClr val="0000FF"/>
              </a:solidFill>
              <a:ln w="9525" cap="flat" cmpd="sng" algn="ctr">
                <a:solidFill>
                  <a:srgbClr val="0000FF"/>
                </a:solidFill>
                <a:prstDash val="solid"/>
                <a:round/>
              </a:ln>
            </c:spPr>
          </c:marker>
          <c:dLbls>
            <c:delete val="1"/>
          </c:dLbls>
          <c:cat>
            <c:numRef>
              <c:f>Sheet1!$C$81:$G$81</c:f>
              <c:numCache>
                <c:formatCode>General</c:formatCode>
                <c:ptCount val="5"/>
                <c:pt idx="0">
                  <c:v>2016</c:v>
                </c:pt>
                <c:pt idx="1">
                  <c:v>20217</c:v>
                </c:pt>
                <c:pt idx="2">
                  <c:v>2018</c:v>
                </c:pt>
                <c:pt idx="3">
                  <c:v>2019</c:v>
                </c:pt>
                <c:pt idx="4">
                  <c:v>2020</c:v>
                </c:pt>
              </c:numCache>
            </c:numRef>
          </c:cat>
          <c:val>
            <c:numRef>
              <c:f>Sheet1!$C$84:$G$84</c:f>
              <c:numCache>
                <c:formatCode>General</c:formatCode>
                <c:ptCount val="5"/>
                <c:pt idx="0">
                  <c:v>18.15</c:v>
                </c:pt>
                <c:pt idx="1">
                  <c:v>15.88</c:v>
                </c:pt>
                <c:pt idx="2">
                  <c:v>2.98</c:v>
                </c:pt>
                <c:pt idx="3">
                  <c:v>1.67</c:v>
                </c:pt>
                <c:pt idx="4">
                  <c:v>1.02</c:v>
                </c:pt>
              </c:numCache>
            </c:numRef>
          </c:val>
          <c:smooth val="0"/>
        </c:ser>
        <c:dLbls>
          <c:showLegendKey val="0"/>
          <c:showVal val="0"/>
          <c:showCatName val="0"/>
          <c:showSerName val="0"/>
          <c:showPercent val="0"/>
          <c:showBubbleSize val="0"/>
        </c:dLbls>
        <c:marker val="1"/>
        <c:smooth val="0"/>
        <c:axId val="407145088"/>
        <c:axId val="407147264"/>
      </c:lineChart>
      <c:catAx>
        <c:axId val="40714508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mn-ea"/>
                <a:cs typeface="Times New Roman" panose="02020603050405020304" charset="0"/>
              </a:defRPr>
            </a:pPr>
          </a:p>
        </c:txPr>
        <c:crossAx val="407147264"/>
        <c:crosses val="autoZero"/>
        <c:auto val="1"/>
        <c:lblAlgn val="ctr"/>
        <c:lblOffset val="100"/>
        <c:noMultiLvlLbl val="0"/>
      </c:catAx>
      <c:valAx>
        <c:axId val="407147264"/>
        <c:scaling>
          <c:orientation val="minMax"/>
          <c:max val="21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mn-ea"/>
                <a:cs typeface="Times New Roman" panose="02020603050405020304" charset="0"/>
              </a:defRPr>
            </a:pPr>
          </a:p>
        </c:txPr>
        <c:crossAx val="407145088"/>
        <c:crosses val="autoZero"/>
        <c:crossBetween val="between"/>
        <c:majorUnit val="30"/>
        <c:minorUnit val="5"/>
      </c:valAx>
    </c:plotArea>
    <c:legend>
      <c:legendPos val="t"/>
      <c:layout/>
      <c:overlay val="0"/>
      <c:txPr>
        <a:bodyPr rot="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sz="1100">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Sheet1!$E$117</c:f>
              <c:strCache>
                <c:ptCount val="1"/>
                <c:pt idx="0">
                  <c:v>化学需氧量</c:v>
                </c:pt>
              </c:strCache>
            </c:strRef>
          </c:tx>
          <c:explosion val="0"/>
          <c:dPt>
            <c:idx val="0"/>
            <c:bubble3D val="0"/>
            <c:spPr>
              <a:solidFill>
                <a:srgbClr val="0000FF"/>
              </a:solidFill>
            </c:spPr>
          </c:dPt>
          <c:dPt>
            <c:idx val="1"/>
            <c:bubble3D val="0"/>
            <c:spPr>
              <a:solidFill>
                <a:srgbClr val="002060"/>
              </a:solidFill>
            </c:spPr>
          </c:dPt>
          <c:dPt>
            <c:idx val="2"/>
            <c:bubble3D val="0"/>
          </c:dPt>
          <c:dPt>
            <c:idx val="3"/>
            <c:bubble3D val="0"/>
            <c:spPr>
              <a:solidFill>
                <a:srgbClr val="FF0000"/>
              </a:solidFill>
            </c:spPr>
          </c:dPt>
          <c:dLbls>
            <c:spPr>
              <a:noFill/>
              <a:ln>
                <a:noFill/>
              </a:ln>
              <a:effectLst/>
            </c:spPr>
            <c:txPr>
              <a:bodyPr rot="0" spcFirstLastPara="0" vertOverflow="ellipsis" vert="horz" wrap="square" lIns="38100" tIns="19050" rIns="38100" bIns="19050" anchor="ctr" anchorCtr="1"/>
              <a:lstStyle/>
              <a:p>
                <a:pPr>
                  <a:defRPr lang="zh-CN" sz="11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Sheet1!$F$116:$I$116</c:f>
              <c:strCache>
                <c:ptCount val="4"/>
                <c:pt idx="0">
                  <c:v>工业源</c:v>
                </c:pt>
                <c:pt idx="1">
                  <c:v>农业源</c:v>
                </c:pt>
                <c:pt idx="2">
                  <c:v>生活源</c:v>
                </c:pt>
                <c:pt idx="3">
                  <c:v>集中式</c:v>
                </c:pt>
              </c:strCache>
            </c:strRef>
          </c:cat>
          <c:val>
            <c:numRef>
              <c:f>Sheet1!$F$117:$I$117</c:f>
              <c:numCache>
                <c:formatCode>0.0%</c:formatCode>
                <c:ptCount val="4"/>
                <c:pt idx="0">
                  <c:v>0.099</c:v>
                </c:pt>
                <c:pt idx="1">
                  <c:v>0.046</c:v>
                </c:pt>
                <c:pt idx="2">
                  <c:v>0.824</c:v>
                </c:pt>
                <c:pt idx="3">
                  <c:v>0.031</c:v>
                </c:pt>
              </c:numCache>
            </c:numRef>
          </c:val>
        </c:ser>
        <c:dLbls>
          <c:showLegendKey val="0"/>
          <c:showVal val="0"/>
          <c:showCatName val="0"/>
          <c:showSerName val="0"/>
          <c:showPercent val="0"/>
          <c:showBubbleSize val="0"/>
          <c:showLeaderLines val="1"/>
        </c:dLbls>
        <c:firstSliceAng val="0"/>
      </c:pieChart>
    </c:plotArea>
    <c:legend>
      <c:legendPos val="t"/>
      <c:layout>
        <c:manualLayout>
          <c:xMode val="edge"/>
          <c:yMode val="edge"/>
          <c:x val="0.261799748389123"/>
          <c:y val="0.0220850872911626"/>
          <c:w val="0.530583769587437"/>
          <c:h val="0.0995967877501382"/>
        </c:manualLayout>
      </c:layout>
      <c:overlay val="0"/>
      <c:txPr>
        <a:bodyPr rot="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sz="1100">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Sheet1!$E$118</c:f>
              <c:strCache>
                <c:ptCount val="1"/>
                <c:pt idx="0">
                  <c:v>氨氮</c:v>
                </c:pt>
              </c:strCache>
            </c:strRef>
          </c:tx>
          <c:explosion val="0"/>
          <c:dPt>
            <c:idx val="0"/>
            <c:bubble3D val="0"/>
            <c:spPr>
              <a:solidFill>
                <a:srgbClr val="7030A0"/>
              </a:solidFill>
            </c:spPr>
          </c:dPt>
          <c:dPt>
            <c:idx val="1"/>
            <c:bubble3D val="0"/>
            <c:spPr>
              <a:solidFill>
                <a:srgbClr val="00B0F0"/>
              </a:solidFill>
            </c:spPr>
          </c:dPt>
          <c:dPt>
            <c:idx val="2"/>
            <c:bubble3D val="0"/>
            <c:spPr>
              <a:solidFill>
                <a:srgbClr val="00B050"/>
              </a:solidFill>
            </c:spPr>
          </c:dPt>
          <c:dPt>
            <c:idx val="3"/>
            <c:bubble3D val="0"/>
            <c:spPr>
              <a:solidFill>
                <a:srgbClr val="FF0000"/>
              </a:solidFill>
            </c:spPr>
          </c:dPt>
          <c:dLbls>
            <c:dLbl>
              <c:idx val="0"/>
              <c:layout>
                <c:manualLayout>
                  <c:x val="0.0472222222222222"/>
                  <c:y val="-0.03703703703703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805555555555556"/>
                  <c:y val="-2.12188906800333e-1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Sheet1!$F$116:$I$116</c:f>
              <c:strCache>
                <c:ptCount val="4"/>
                <c:pt idx="0">
                  <c:v>工业源</c:v>
                </c:pt>
                <c:pt idx="1">
                  <c:v>农业源</c:v>
                </c:pt>
                <c:pt idx="2">
                  <c:v>生活源</c:v>
                </c:pt>
                <c:pt idx="3">
                  <c:v>集中式</c:v>
                </c:pt>
              </c:strCache>
            </c:strRef>
          </c:cat>
          <c:val>
            <c:numRef>
              <c:f>Sheet1!$F$118:$I$118</c:f>
              <c:numCache>
                <c:formatCode>0.0%</c:formatCode>
                <c:ptCount val="4"/>
                <c:pt idx="0">
                  <c:v>0.01</c:v>
                </c:pt>
                <c:pt idx="1">
                  <c:v>0.135</c:v>
                </c:pt>
                <c:pt idx="2">
                  <c:v>0.841</c:v>
                </c:pt>
                <c:pt idx="3">
                  <c:v>0.014</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sz="1200"/>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0000FF"/>
              </a:solidFill>
            </c:spPr>
          </c:dPt>
          <c:dPt>
            <c:idx val="1"/>
            <c:bubble3D val="0"/>
            <c:spPr>
              <a:solidFill>
                <a:srgbClr val="FF0000"/>
              </a:solidFill>
            </c:spPr>
          </c:dPt>
          <c:dPt>
            <c:idx val="2"/>
            <c:bubble3D val="0"/>
          </c:dPt>
          <c:dPt>
            <c:idx val="3"/>
            <c:bubble3D val="0"/>
          </c:dPt>
          <c:dPt>
            <c:idx val="4"/>
            <c:bubble3D val="0"/>
            <c:spPr>
              <a:solidFill>
                <a:srgbClr val="FF00FF"/>
              </a:solidFill>
            </c:spPr>
          </c:dPt>
          <c:dPt>
            <c:idx val="5"/>
            <c:bubble3D val="0"/>
          </c:dPt>
          <c:dPt>
            <c:idx val="6"/>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Sheet1!$M$116:$S$116</c:f>
              <c:strCache>
                <c:ptCount val="7"/>
                <c:pt idx="0">
                  <c:v>煤炭开采和洗选业</c:v>
                </c:pt>
                <c:pt idx="1">
                  <c:v>化学原料和化学制品制造业</c:v>
                </c:pt>
                <c:pt idx="2">
                  <c:v>石油、煤炭及其他燃料加工业</c:v>
                </c:pt>
                <c:pt idx="3">
                  <c:v>农副食品加工业</c:v>
                </c:pt>
                <c:pt idx="4">
                  <c:v>石油天然气开采业</c:v>
                </c:pt>
                <c:pt idx="5">
                  <c:v>食品制造业</c:v>
                </c:pt>
                <c:pt idx="6">
                  <c:v>其他</c:v>
                </c:pt>
              </c:strCache>
            </c:strRef>
          </c:cat>
          <c:val>
            <c:numRef>
              <c:f>Sheet1!$M$117:$S$117</c:f>
              <c:numCache>
                <c:formatCode>0.0%</c:formatCode>
                <c:ptCount val="7"/>
                <c:pt idx="0">
                  <c:v>0.015</c:v>
                </c:pt>
                <c:pt idx="1">
                  <c:v>0.331</c:v>
                </c:pt>
                <c:pt idx="2">
                  <c:v>0.056</c:v>
                </c:pt>
                <c:pt idx="3">
                  <c:v>0.302</c:v>
                </c:pt>
                <c:pt idx="4">
                  <c:v>0.029</c:v>
                </c:pt>
                <c:pt idx="5">
                  <c:v>0.225</c:v>
                </c:pt>
                <c:pt idx="6">
                  <c:v>0.042</c:v>
                </c:pt>
              </c:numCache>
            </c:numRef>
          </c:val>
        </c:ser>
        <c:dLbls>
          <c:showLegendKey val="0"/>
          <c:showVal val="0"/>
          <c:showCatName val="0"/>
          <c:showSerName val="0"/>
          <c:showPercent val="0"/>
          <c:showBubbleSize val="0"/>
          <c:showLeaderLines val="1"/>
        </c:dLbls>
        <c:firstSliceAng val="0"/>
      </c:pieChart>
    </c:plotArea>
    <c:legend>
      <c:legendPos val="t"/>
      <c:layout>
        <c:manualLayout>
          <c:xMode val="edge"/>
          <c:yMode val="edge"/>
          <c:x val="0.00175983442590875"/>
          <c:y val="0"/>
          <c:w val="0.995984390407212"/>
          <c:h val="0.1616163541297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00B0F0"/>
              </a:solidFill>
            </c:spPr>
          </c:dPt>
          <c:dPt>
            <c:idx val="1"/>
            <c:bubble3D val="0"/>
          </c:dPt>
          <c:dPt>
            <c:idx val="2"/>
            <c:bubble3D val="0"/>
          </c:dPt>
          <c:dPt>
            <c:idx val="3"/>
            <c:bubble3D val="0"/>
            <c:spPr>
              <a:solidFill>
                <a:srgbClr val="7030A0"/>
              </a:solidFill>
            </c:spPr>
          </c:dPt>
          <c:dPt>
            <c:idx val="4"/>
            <c:bubble3D val="0"/>
            <c:spPr>
              <a:solidFill>
                <a:srgbClr val="0000FF"/>
              </a:solidFill>
            </c:spPr>
          </c:dPt>
          <c:dPt>
            <c:idx val="5"/>
            <c:bubble3D val="0"/>
          </c:dPt>
          <c:dLbls>
            <c:dLbl>
              <c:idx val="3"/>
              <c:layout>
                <c:manualLayout>
                  <c:x val="-0.0157407427080877"/>
                  <c:y val="-0.018284483528127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4867752972681"/>
                  <c:y val="-0.015237069606773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27248730648094"/>
                  <c:y val="-0.021331897449482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Sheet1!$O$158:$T$158</c:f>
              <c:strCache>
                <c:ptCount val="6"/>
                <c:pt idx="0">
                  <c:v>食品制造业</c:v>
                </c:pt>
                <c:pt idx="1">
                  <c:v>农副食品加工业</c:v>
                </c:pt>
                <c:pt idx="2">
                  <c:v>化学原料和化学制品制造业</c:v>
                </c:pt>
                <c:pt idx="3">
                  <c:v>皮毛革羽毛及其制品及制鞋业</c:v>
                </c:pt>
                <c:pt idx="4">
                  <c:v>石油煤炭及其他燃料加工业</c:v>
                </c:pt>
                <c:pt idx="5">
                  <c:v>其他</c:v>
                </c:pt>
              </c:strCache>
            </c:strRef>
          </c:cat>
          <c:val>
            <c:numRef>
              <c:f>Sheet1!$O$159:$T$159</c:f>
              <c:numCache>
                <c:formatCode>0.0%</c:formatCode>
                <c:ptCount val="6"/>
                <c:pt idx="0">
                  <c:v>0.75</c:v>
                </c:pt>
                <c:pt idx="1">
                  <c:v>0.099</c:v>
                </c:pt>
                <c:pt idx="2">
                  <c:v>0.076</c:v>
                </c:pt>
                <c:pt idx="3">
                  <c:v>0.021</c:v>
                </c:pt>
                <c:pt idx="4">
                  <c:v>0.012</c:v>
                </c:pt>
                <c:pt idx="5">
                  <c:v>0.042</c:v>
                </c:pt>
              </c:numCache>
            </c:numRef>
          </c:val>
        </c:ser>
        <c:dLbls>
          <c:showLegendKey val="0"/>
          <c:showVal val="0"/>
          <c:showCatName val="0"/>
          <c:showSerName val="0"/>
          <c:showPercent val="0"/>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Sheet1!$B$111</c:f>
              <c:strCache>
                <c:ptCount val="1"/>
                <c:pt idx="0">
                  <c:v>二氧化硫排放量</c:v>
                </c:pt>
              </c:strCache>
            </c:strRef>
          </c:tx>
          <c:spPr>
            <a:ln w="28575" cap="rnd" cmpd="sng" algn="ctr">
              <a:solidFill>
                <a:srgbClr val="00B050"/>
              </a:solidFill>
              <a:prstDash val="solid"/>
              <a:round/>
            </a:ln>
          </c:spPr>
          <c:marker>
            <c:symbol val="triangle"/>
            <c:size val="5"/>
            <c:spPr>
              <a:solidFill>
                <a:srgbClr val="00B050"/>
              </a:solidFill>
              <a:ln w="9525" cap="flat" cmpd="sng" algn="ctr">
                <a:solidFill>
                  <a:srgbClr val="00B050"/>
                </a:solidFill>
                <a:prstDash val="solid"/>
                <a:round/>
              </a:ln>
            </c:spPr>
          </c:marker>
          <c:dLbls>
            <c:delete val="1"/>
          </c:dLbls>
          <c:cat>
            <c:numRef>
              <c:f>Sheet1!$C$110:$G$110</c:f>
              <c:numCache>
                <c:formatCode>General</c:formatCode>
                <c:ptCount val="5"/>
                <c:pt idx="0">
                  <c:v>2016</c:v>
                </c:pt>
                <c:pt idx="1">
                  <c:v>2017</c:v>
                </c:pt>
                <c:pt idx="2">
                  <c:v>2018</c:v>
                </c:pt>
                <c:pt idx="3">
                  <c:v>2019</c:v>
                </c:pt>
                <c:pt idx="4">
                  <c:v>2020</c:v>
                </c:pt>
              </c:numCache>
            </c:numRef>
          </c:cat>
          <c:val>
            <c:numRef>
              <c:f>Sheet1!$C$111:$G$111</c:f>
              <c:numCache>
                <c:formatCode>General</c:formatCode>
                <c:ptCount val="5"/>
                <c:pt idx="0">
                  <c:v>2384.15</c:v>
                </c:pt>
                <c:pt idx="1">
                  <c:v>2139.48</c:v>
                </c:pt>
                <c:pt idx="2">
                  <c:v>2138.35</c:v>
                </c:pt>
                <c:pt idx="3">
                  <c:v>2113.97</c:v>
                </c:pt>
                <c:pt idx="4">
                  <c:v>805.19</c:v>
                </c:pt>
              </c:numCache>
            </c:numRef>
          </c:val>
          <c:smooth val="0"/>
        </c:ser>
        <c:ser>
          <c:idx val="1"/>
          <c:order val="1"/>
          <c:tx>
            <c:strRef>
              <c:f>Sheet1!$B$112</c:f>
              <c:strCache>
                <c:ptCount val="1"/>
                <c:pt idx="0">
                  <c:v>氮氧化物排放量</c:v>
                </c:pt>
              </c:strCache>
            </c:strRef>
          </c:tx>
          <c:spPr>
            <a:ln w="28575" cap="rnd" cmpd="sng" algn="ctr">
              <a:solidFill>
                <a:srgbClr val="C00000"/>
              </a:solidFill>
              <a:prstDash val="solid"/>
              <a:round/>
            </a:ln>
          </c:spPr>
          <c:marker>
            <c:symbol val="x"/>
            <c:size val="5"/>
          </c:marker>
          <c:dLbls>
            <c:delete val="1"/>
          </c:dLbls>
          <c:cat>
            <c:numRef>
              <c:f>Sheet1!$C$110:$G$110</c:f>
              <c:numCache>
                <c:formatCode>General</c:formatCode>
                <c:ptCount val="5"/>
                <c:pt idx="0">
                  <c:v>2016</c:v>
                </c:pt>
                <c:pt idx="1">
                  <c:v>2017</c:v>
                </c:pt>
                <c:pt idx="2">
                  <c:v>2018</c:v>
                </c:pt>
                <c:pt idx="3">
                  <c:v>2019</c:v>
                </c:pt>
                <c:pt idx="4">
                  <c:v>2020</c:v>
                </c:pt>
              </c:numCache>
            </c:numRef>
          </c:cat>
          <c:val>
            <c:numRef>
              <c:f>Sheet1!$C$112:$G$112</c:f>
              <c:numCache>
                <c:formatCode>General</c:formatCode>
                <c:ptCount val="5"/>
                <c:pt idx="0">
                  <c:v>682.05</c:v>
                </c:pt>
                <c:pt idx="1">
                  <c:v>1045.32</c:v>
                </c:pt>
                <c:pt idx="2">
                  <c:v>1114.36</c:v>
                </c:pt>
                <c:pt idx="3">
                  <c:v>1717.14</c:v>
                </c:pt>
                <c:pt idx="4">
                  <c:v>1153.85</c:v>
                </c:pt>
              </c:numCache>
            </c:numRef>
          </c:val>
          <c:smooth val="0"/>
        </c:ser>
        <c:ser>
          <c:idx val="2"/>
          <c:order val="2"/>
          <c:tx>
            <c:strRef>
              <c:f>Sheet1!$B$113</c:f>
              <c:strCache>
                <c:ptCount val="1"/>
                <c:pt idx="0">
                  <c:v>烟粉尘排放量</c:v>
                </c:pt>
              </c:strCache>
            </c:strRef>
          </c:tx>
          <c:spPr>
            <a:ln w="28575" cap="rnd" cmpd="sng" algn="ctr">
              <a:solidFill>
                <a:srgbClr val="0000FF"/>
              </a:solidFill>
              <a:prstDash val="solid"/>
              <a:round/>
            </a:ln>
          </c:spPr>
          <c:marker>
            <c:symbol val="diamond"/>
            <c:size val="5"/>
            <c:spPr>
              <a:solidFill>
                <a:srgbClr val="0000FF"/>
              </a:solidFill>
              <a:ln w="9525" cap="flat" cmpd="sng" algn="ctr">
                <a:solidFill>
                  <a:srgbClr val="0000FF"/>
                </a:solidFill>
                <a:prstDash val="solid"/>
                <a:round/>
              </a:ln>
            </c:spPr>
          </c:marker>
          <c:dLbls>
            <c:delete val="1"/>
          </c:dLbls>
          <c:cat>
            <c:numRef>
              <c:f>Sheet1!$C$110:$G$110</c:f>
              <c:numCache>
                <c:formatCode>General</c:formatCode>
                <c:ptCount val="5"/>
                <c:pt idx="0">
                  <c:v>2016</c:v>
                </c:pt>
                <c:pt idx="1">
                  <c:v>2017</c:v>
                </c:pt>
                <c:pt idx="2">
                  <c:v>2018</c:v>
                </c:pt>
                <c:pt idx="3">
                  <c:v>2019</c:v>
                </c:pt>
                <c:pt idx="4">
                  <c:v>2020</c:v>
                </c:pt>
              </c:numCache>
            </c:numRef>
          </c:cat>
          <c:val>
            <c:numRef>
              <c:f>Sheet1!$C$113:$G$113</c:f>
              <c:numCache>
                <c:formatCode>General</c:formatCode>
                <c:ptCount val="5"/>
                <c:pt idx="0">
                  <c:v>1311.76</c:v>
                </c:pt>
                <c:pt idx="1">
                  <c:v>1677.03</c:v>
                </c:pt>
                <c:pt idx="2">
                  <c:v>1836.38</c:v>
                </c:pt>
                <c:pt idx="3">
                  <c:v>1989.13</c:v>
                </c:pt>
                <c:pt idx="4">
                  <c:v>1009.44</c:v>
                </c:pt>
              </c:numCache>
            </c:numRef>
          </c:val>
          <c:smooth val="0"/>
        </c:ser>
        <c:ser>
          <c:idx val="3"/>
          <c:order val="3"/>
          <c:tx>
            <c:strRef>
              <c:f>Sheet1!$B$114</c:f>
              <c:strCache>
                <c:ptCount val="1"/>
                <c:pt idx="0">
                  <c:v>挥发性有机物排放量</c:v>
                </c:pt>
              </c:strCache>
            </c:strRef>
          </c:tx>
          <c:marker>
            <c:symbol val="circle"/>
            <c:size val="5"/>
          </c:marker>
          <c:dLbls>
            <c:delete val="1"/>
          </c:dLbls>
          <c:cat>
            <c:numRef>
              <c:f>Sheet1!$C$110:$G$110</c:f>
              <c:numCache>
                <c:formatCode>General</c:formatCode>
                <c:ptCount val="5"/>
                <c:pt idx="0">
                  <c:v>2016</c:v>
                </c:pt>
                <c:pt idx="1">
                  <c:v>2017</c:v>
                </c:pt>
                <c:pt idx="2">
                  <c:v>2018</c:v>
                </c:pt>
                <c:pt idx="3">
                  <c:v>2019</c:v>
                </c:pt>
                <c:pt idx="4">
                  <c:v>2020</c:v>
                </c:pt>
              </c:numCache>
            </c:numRef>
          </c:cat>
          <c:val>
            <c:numRef>
              <c:f>Sheet1!$C$114:$G$114</c:f>
              <c:numCache>
                <c:formatCode>General</c:formatCode>
                <c:ptCount val="5"/>
                <c:pt idx="0">
                  <c:v>331.91</c:v>
                </c:pt>
                <c:pt idx="1">
                  <c:v>456.55</c:v>
                </c:pt>
                <c:pt idx="2">
                  <c:v>533.76</c:v>
                </c:pt>
                <c:pt idx="3">
                  <c:v>613.09</c:v>
                </c:pt>
                <c:pt idx="4">
                  <c:v>449.64</c:v>
                </c:pt>
              </c:numCache>
            </c:numRef>
          </c:val>
          <c:smooth val="0"/>
        </c:ser>
        <c:dLbls>
          <c:showLegendKey val="0"/>
          <c:showVal val="0"/>
          <c:showCatName val="0"/>
          <c:showSerName val="0"/>
          <c:showPercent val="0"/>
          <c:showBubbleSize val="0"/>
        </c:dLbls>
        <c:marker val="1"/>
        <c:smooth val="0"/>
        <c:axId val="36382208"/>
        <c:axId val="36383744"/>
      </c:lineChart>
      <c:catAx>
        <c:axId val="3638220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6383744"/>
        <c:crosses val="autoZero"/>
        <c:auto val="1"/>
        <c:lblAlgn val="ctr"/>
        <c:lblOffset val="100"/>
        <c:noMultiLvlLbl val="0"/>
      </c:catAx>
      <c:valAx>
        <c:axId val="3638374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6382208"/>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01C60-2481-4DD5-B386-FB8419597371}">
  <ds:schemaRefs/>
</ds:datastoreItem>
</file>

<file path=docProps/app.xml><?xml version="1.0" encoding="utf-8"?>
<Properties xmlns="http://schemas.openxmlformats.org/officeDocument/2006/extended-properties" xmlns:vt="http://schemas.openxmlformats.org/officeDocument/2006/docPropsVTypes">
  <Template>Normal</Template>
  <Pages>107</Pages>
  <Words>40627</Words>
  <Characters>48316</Characters>
  <Lines>388</Lines>
  <Paragraphs>109</Paragraphs>
  <TotalTime>8</TotalTime>
  <ScaleCrop>false</ScaleCrop>
  <LinksUpToDate>false</LinksUpToDate>
  <CharactersWithSpaces>48804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2022-07-26T07:50:00Z</dcterms:created>
  <dc:creator>lenovo</dc:creator>
  <cp:lastModifiedBy>多肉宝宝</cp:lastModifiedBy>
  <dcterms:modified xsi:type="dcterms:W3CDTF">2022-09-09T08:23:45Z</dcterms:modified>
  <cp:revision>709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2052-11.1.0.12358</vt:lpwstr>
  </property>
  <property fmtid="{D5CDD505-2E9C-101B-9397-08002B2CF9AE}" pid="4" name="ICV">
    <vt:lpwstr>2237DE5F01B34E8A90232D4F332009BE</vt:lpwstr>
  </property>
</Properties>
</file>