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/>
        <w:jc w:val="center"/>
        <w:textAlignment w:val="auto"/>
        <w:rPr>
          <w:rFonts w:hint="default" w:ascii="Times New Roman" w:hAnsi="Times New Roman" w:eastAsia="方正小标宋简体" w:cs="Times New Roman"/>
          <w:b w:val="0"/>
          <w:bCs w:val="0"/>
          <w:color w:val="auto"/>
          <w:sz w:val="44"/>
          <w:szCs w:val="44"/>
          <w:lang w:val="en-US" w:eastAsia="zh-CN"/>
        </w:rPr>
      </w:pPr>
      <w:r>
        <w:rPr>
          <w:rFonts w:hint="default" w:ascii="Times New Roman" w:hAnsi="Times New Roman" w:eastAsia="方正小标宋简体" w:cs="Times New Roman"/>
          <w:b w:val="0"/>
          <w:bCs w:val="0"/>
          <w:color w:val="auto"/>
          <w:sz w:val="44"/>
          <w:szCs w:val="44"/>
          <w:lang w:val="en-US" w:eastAsia="zh-CN"/>
        </w:rPr>
        <w:t>大水坑镇人民政府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/>
        <w:jc w:val="center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44"/>
          <w:szCs w:val="44"/>
          <w:lang w:val="en-US" w:eastAsia="zh-CN"/>
        </w:rPr>
      </w:pPr>
      <w:r>
        <w:rPr>
          <w:rFonts w:hint="default" w:ascii="Times New Roman" w:hAnsi="Times New Roman" w:eastAsia="方正小标宋简体" w:cs="Times New Roman"/>
          <w:b w:val="0"/>
          <w:bCs w:val="0"/>
          <w:color w:val="auto"/>
          <w:sz w:val="44"/>
          <w:szCs w:val="44"/>
          <w:lang w:val="en-US" w:eastAsia="zh-CN"/>
        </w:rPr>
        <w:t>关于202</w:t>
      </w:r>
      <w:r>
        <w:rPr>
          <w:rFonts w:hint="eastAsia" w:ascii="Times New Roman" w:hAnsi="Times New Roman" w:eastAsia="方正小标宋简体" w:cs="Times New Roman"/>
          <w:b w:val="0"/>
          <w:bCs w:val="0"/>
          <w:color w:val="auto"/>
          <w:sz w:val="44"/>
          <w:szCs w:val="44"/>
          <w:lang w:val="en-US" w:eastAsia="zh-CN"/>
        </w:rPr>
        <w:t>2</w:t>
      </w:r>
      <w:r>
        <w:rPr>
          <w:rFonts w:hint="default" w:ascii="Times New Roman" w:hAnsi="Times New Roman" w:eastAsia="方正小标宋简体" w:cs="Times New Roman"/>
          <w:b w:val="0"/>
          <w:bCs w:val="0"/>
          <w:color w:val="auto"/>
          <w:sz w:val="44"/>
          <w:szCs w:val="44"/>
          <w:lang w:val="en-US" w:eastAsia="zh-CN"/>
        </w:rPr>
        <w:t>年</w:t>
      </w:r>
      <w:r>
        <w:rPr>
          <w:rFonts w:hint="eastAsia" w:ascii="Times New Roman" w:hAnsi="Times New Roman" w:eastAsia="方正小标宋简体" w:cs="Times New Roman"/>
          <w:b w:val="0"/>
          <w:bCs w:val="0"/>
          <w:color w:val="auto"/>
          <w:sz w:val="44"/>
          <w:szCs w:val="44"/>
          <w:lang w:val="en-US" w:eastAsia="zh-CN"/>
        </w:rPr>
        <w:t>行政执法</w:t>
      </w:r>
      <w:r>
        <w:rPr>
          <w:rFonts w:hint="default" w:ascii="Times New Roman" w:hAnsi="Times New Roman" w:eastAsia="方正小标宋简体" w:cs="Times New Roman"/>
          <w:b w:val="0"/>
          <w:bCs w:val="0"/>
          <w:color w:val="auto"/>
          <w:sz w:val="44"/>
          <w:szCs w:val="44"/>
          <w:lang w:val="en-US" w:eastAsia="zh-CN"/>
        </w:rPr>
        <w:t>工作经费的绩效自评报告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/>
        <w:textAlignment w:val="auto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县财政局：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default" w:ascii="Times New Roman" w:hAnsi="Times New Roman" w:eastAsia="黑体" w:cs="Times New Roman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按照《盐池县财政局关于开展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2022年度部门项目支出绩效自评的通知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》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盐财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发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〔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202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〕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27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号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文件要求，现就大水坑镇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2022年大水坑镇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行政执法工作经费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2022年度绩效自评情况报告如下。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textAlignment w:val="auto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  <w:lang w:eastAsia="zh-CN"/>
        </w:rPr>
        <w:t>一、</w:t>
      </w:r>
      <w:r>
        <w:rPr>
          <w:rFonts w:hint="default" w:ascii="Times New Roman" w:hAnsi="Times New Roman" w:eastAsia="黑体" w:cs="Times New Roman"/>
          <w:sz w:val="32"/>
          <w:szCs w:val="32"/>
        </w:rPr>
        <w:t>绩效目标批复下达情况</w:t>
      </w: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年初批复下达县级资金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行政执法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工作经费预算和绩效目标情况。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根据盐池县财政局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《关于批复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2022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年盐池县部门预算的通知》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（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盐财〔预〕指标〔202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〕344号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）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文件精神，县财政局下达我镇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行政执法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工作经费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7.5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万元。主要用于保障执法车辆运行、装备购置维护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，履行行政执法职责，完成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执法宣传力度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，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提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高群众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懂法、用法知晓率。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firstLine="64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  <w:lang w:eastAsia="zh-CN"/>
        </w:rPr>
        <w:t>二、绩效目标完成情况分析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jc w:val="both"/>
        <w:textAlignment w:val="auto"/>
        <w:rPr>
          <w:rFonts w:hint="default" w:ascii="Times New Roman" w:hAnsi="Times New Roman" w:eastAsia="楷体_GB2312" w:cs="Times New Roman"/>
          <w:b/>
          <w:bCs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楷体_GB2312" w:cs="Times New Roman"/>
          <w:b/>
          <w:bCs/>
          <w:color w:val="auto"/>
          <w:sz w:val="32"/>
          <w:szCs w:val="32"/>
          <w:lang w:val="en-US" w:eastAsia="zh-CN"/>
        </w:rPr>
        <w:t>（一）资金投入情况分析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3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firstLine="643" w:firstLineChars="200"/>
        <w:jc w:val="left"/>
        <w:textAlignment w:val="auto"/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1.项目资金到位情况分析。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b w:val="0"/>
          <w:bCs w:val="0"/>
          <w:snapToGrid/>
          <w:color w:val="000000"/>
          <w:spacing w:val="0"/>
          <w:w w:val="100"/>
          <w:kern w:val="2"/>
          <w:position w:val="0"/>
          <w:sz w:val="32"/>
          <w:szCs w:val="32"/>
          <w:u w:val="none"/>
          <w:vertAlign w:val="baseline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snapToGrid/>
          <w:color w:val="000000"/>
          <w:spacing w:val="0"/>
          <w:w w:val="100"/>
          <w:kern w:val="2"/>
          <w:position w:val="0"/>
          <w:sz w:val="32"/>
          <w:szCs w:val="32"/>
          <w:u w:val="none"/>
          <w:vertAlign w:val="baseline"/>
          <w:lang w:val="en-US" w:eastAsia="zh-CN" w:bidi="ar-SA"/>
        </w:rPr>
        <w:t>202</w:t>
      </w:r>
      <w:r>
        <w:rPr>
          <w:rFonts w:hint="eastAsia" w:ascii="Times New Roman" w:hAnsi="Times New Roman" w:eastAsia="仿宋_GB2312" w:cs="Times New Roman"/>
          <w:b w:val="0"/>
          <w:bCs w:val="0"/>
          <w:snapToGrid/>
          <w:color w:val="000000"/>
          <w:spacing w:val="0"/>
          <w:w w:val="100"/>
          <w:kern w:val="2"/>
          <w:position w:val="0"/>
          <w:sz w:val="32"/>
          <w:szCs w:val="32"/>
          <w:u w:val="none"/>
          <w:vertAlign w:val="baseline"/>
          <w:lang w:val="en-US" w:eastAsia="zh-CN" w:bidi="ar-SA"/>
        </w:rPr>
        <w:t>2</w:t>
      </w:r>
      <w:r>
        <w:rPr>
          <w:rFonts w:hint="default" w:ascii="Times New Roman" w:hAnsi="Times New Roman" w:eastAsia="仿宋_GB2312" w:cs="Times New Roman"/>
          <w:b w:val="0"/>
          <w:bCs w:val="0"/>
          <w:snapToGrid/>
          <w:color w:val="000000"/>
          <w:spacing w:val="0"/>
          <w:w w:val="100"/>
          <w:kern w:val="2"/>
          <w:position w:val="0"/>
          <w:sz w:val="32"/>
          <w:szCs w:val="32"/>
          <w:u w:val="none"/>
          <w:vertAlign w:val="baseline"/>
          <w:lang w:val="en-US" w:eastAsia="zh-CN" w:bidi="ar-SA"/>
        </w:rPr>
        <w:t>年我镇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行政执法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工作经费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10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万元</w:t>
      </w:r>
      <w:r>
        <w:rPr>
          <w:rFonts w:hint="default" w:ascii="Times New Roman" w:hAnsi="Times New Roman" w:eastAsia="仿宋_GB2312" w:cs="Times New Roman"/>
          <w:b w:val="0"/>
          <w:bCs w:val="0"/>
          <w:snapToGrid/>
          <w:color w:val="000000"/>
          <w:spacing w:val="0"/>
          <w:w w:val="100"/>
          <w:kern w:val="2"/>
          <w:position w:val="0"/>
          <w:sz w:val="32"/>
          <w:szCs w:val="32"/>
          <w:u w:val="none"/>
          <w:vertAlign w:val="baseline"/>
          <w:lang w:val="en-US" w:eastAsia="zh-CN" w:bidi="ar-SA"/>
        </w:rPr>
        <w:t>，于202</w:t>
      </w:r>
      <w:r>
        <w:rPr>
          <w:rFonts w:hint="eastAsia" w:ascii="Times New Roman" w:hAnsi="Times New Roman" w:eastAsia="仿宋_GB2312" w:cs="Times New Roman"/>
          <w:b w:val="0"/>
          <w:bCs w:val="0"/>
          <w:snapToGrid/>
          <w:color w:val="000000"/>
          <w:spacing w:val="0"/>
          <w:w w:val="100"/>
          <w:kern w:val="2"/>
          <w:position w:val="0"/>
          <w:sz w:val="32"/>
          <w:szCs w:val="32"/>
          <w:u w:val="none"/>
          <w:vertAlign w:val="baseline"/>
          <w:lang w:val="en-US" w:eastAsia="zh-CN" w:bidi="ar-SA"/>
        </w:rPr>
        <w:t>2</w:t>
      </w:r>
      <w:r>
        <w:rPr>
          <w:rFonts w:hint="default" w:ascii="Times New Roman" w:hAnsi="Times New Roman" w:eastAsia="仿宋_GB2312" w:cs="Times New Roman"/>
          <w:b w:val="0"/>
          <w:bCs w:val="0"/>
          <w:snapToGrid/>
          <w:color w:val="000000"/>
          <w:spacing w:val="0"/>
          <w:w w:val="100"/>
          <w:kern w:val="2"/>
          <w:position w:val="0"/>
          <w:sz w:val="32"/>
          <w:szCs w:val="32"/>
          <w:u w:val="none"/>
          <w:vertAlign w:val="baseline"/>
          <w:lang w:val="en-US" w:eastAsia="zh-CN" w:bidi="ar-SA"/>
        </w:rPr>
        <w:t>年通过财政一体化系统下达指标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7.5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万元</w:t>
      </w:r>
      <w:r>
        <w:rPr>
          <w:rFonts w:hint="default" w:ascii="Times New Roman" w:hAnsi="Times New Roman" w:eastAsia="仿宋_GB2312" w:cs="Times New Roman"/>
          <w:b w:val="0"/>
          <w:bCs w:val="0"/>
          <w:snapToGrid/>
          <w:color w:val="000000"/>
          <w:spacing w:val="0"/>
          <w:w w:val="100"/>
          <w:kern w:val="2"/>
          <w:position w:val="0"/>
          <w:sz w:val="32"/>
          <w:szCs w:val="32"/>
          <w:u w:val="none"/>
          <w:vertAlign w:val="baseline"/>
          <w:lang w:val="en-US" w:eastAsia="zh-CN" w:bidi="ar-SA"/>
        </w:rPr>
        <w:t>，资金到位率</w:t>
      </w:r>
      <w:r>
        <w:rPr>
          <w:rFonts w:hint="eastAsia" w:ascii="Times New Roman" w:hAnsi="Times New Roman" w:eastAsia="仿宋_GB2312" w:cs="Times New Roman"/>
          <w:b w:val="0"/>
          <w:bCs w:val="0"/>
          <w:snapToGrid/>
          <w:color w:val="000000"/>
          <w:spacing w:val="0"/>
          <w:w w:val="100"/>
          <w:kern w:val="2"/>
          <w:position w:val="0"/>
          <w:sz w:val="32"/>
          <w:szCs w:val="32"/>
          <w:u w:val="none"/>
          <w:vertAlign w:val="baseline"/>
          <w:lang w:val="en-US" w:eastAsia="zh-CN" w:bidi="ar-SA"/>
        </w:rPr>
        <w:t>75</w:t>
      </w:r>
      <w:r>
        <w:rPr>
          <w:rFonts w:hint="default" w:ascii="Times New Roman" w:hAnsi="Times New Roman" w:eastAsia="仿宋_GB2312" w:cs="Times New Roman"/>
          <w:b w:val="0"/>
          <w:bCs w:val="0"/>
          <w:snapToGrid/>
          <w:color w:val="000000"/>
          <w:spacing w:val="0"/>
          <w:w w:val="100"/>
          <w:kern w:val="2"/>
          <w:position w:val="0"/>
          <w:sz w:val="32"/>
          <w:szCs w:val="32"/>
          <w:u w:val="none"/>
          <w:vertAlign w:val="baseline"/>
          <w:lang w:val="en-US" w:eastAsia="zh-CN" w:bidi="ar-SA"/>
        </w:rPr>
        <w:t>%。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firstLine="643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2.项目资金执行情况。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b w:val="0"/>
          <w:bCs w:val="0"/>
          <w:snapToGrid/>
          <w:color w:val="000000"/>
          <w:spacing w:val="0"/>
          <w:w w:val="100"/>
          <w:kern w:val="2"/>
          <w:position w:val="0"/>
          <w:sz w:val="32"/>
          <w:szCs w:val="32"/>
          <w:u w:val="none"/>
          <w:vertAlign w:val="baseline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snapToGrid/>
          <w:color w:val="000000"/>
          <w:spacing w:val="0"/>
          <w:w w:val="100"/>
          <w:kern w:val="2"/>
          <w:position w:val="0"/>
          <w:sz w:val="32"/>
          <w:szCs w:val="32"/>
          <w:u w:val="none"/>
          <w:vertAlign w:val="baseline"/>
          <w:lang w:val="en-US" w:eastAsia="zh-CN" w:bidi="ar-SA"/>
        </w:rPr>
        <w:t>资金全部用于202</w:t>
      </w:r>
      <w:r>
        <w:rPr>
          <w:rFonts w:hint="eastAsia" w:ascii="Times New Roman" w:hAnsi="Times New Roman" w:eastAsia="仿宋_GB2312" w:cs="Times New Roman"/>
          <w:b w:val="0"/>
          <w:bCs w:val="0"/>
          <w:snapToGrid/>
          <w:color w:val="000000"/>
          <w:spacing w:val="0"/>
          <w:w w:val="100"/>
          <w:kern w:val="2"/>
          <w:position w:val="0"/>
          <w:sz w:val="32"/>
          <w:szCs w:val="32"/>
          <w:u w:val="none"/>
          <w:vertAlign w:val="baseline"/>
          <w:lang w:val="en-US" w:eastAsia="zh-CN" w:bidi="ar-SA"/>
        </w:rPr>
        <w:t>2</w:t>
      </w:r>
      <w:r>
        <w:rPr>
          <w:rFonts w:hint="default" w:ascii="Times New Roman" w:hAnsi="Times New Roman" w:eastAsia="仿宋_GB2312" w:cs="Times New Roman"/>
          <w:b w:val="0"/>
          <w:bCs w:val="0"/>
          <w:snapToGrid/>
          <w:color w:val="000000"/>
          <w:spacing w:val="0"/>
          <w:w w:val="100"/>
          <w:kern w:val="2"/>
          <w:position w:val="0"/>
          <w:sz w:val="32"/>
          <w:szCs w:val="32"/>
          <w:u w:val="none"/>
          <w:vertAlign w:val="baseline"/>
          <w:lang w:val="en-US" w:eastAsia="zh-CN" w:bidi="ar-SA"/>
        </w:rPr>
        <w:t>年</w:t>
      </w:r>
      <w:r>
        <w:rPr>
          <w:rFonts w:hint="eastAsia" w:ascii="Times New Roman" w:hAnsi="Times New Roman" w:eastAsia="仿宋_GB2312" w:cs="Times New Roman"/>
          <w:b w:val="0"/>
          <w:bCs w:val="0"/>
          <w:snapToGrid/>
          <w:color w:val="000000"/>
          <w:spacing w:val="0"/>
          <w:w w:val="100"/>
          <w:kern w:val="2"/>
          <w:position w:val="0"/>
          <w:sz w:val="32"/>
          <w:szCs w:val="32"/>
          <w:u w:val="none"/>
          <w:vertAlign w:val="baseline"/>
          <w:lang w:val="en-US" w:eastAsia="zh-CN" w:bidi="ar-SA"/>
        </w:rPr>
        <w:t>全镇行政执法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工作</w:t>
      </w:r>
      <w:r>
        <w:rPr>
          <w:rFonts w:hint="default" w:ascii="Times New Roman" w:hAnsi="Times New Roman" w:eastAsia="仿宋_GB2312" w:cs="Times New Roman"/>
          <w:b w:val="0"/>
          <w:bCs w:val="0"/>
          <w:snapToGrid/>
          <w:color w:val="000000"/>
          <w:spacing w:val="0"/>
          <w:w w:val="100"/>
          <w:kern w:val="2"/>
          <w:position w:val="0"/>
          <w:sz w:val="32"/>
          <w:szCs w:val="32"/>
          <w:u w:val="none"/>
          <w:vertAlign w:val="baseline"/>
          <w:lang w:val="en-US" w:eastAsia="zh-CN" w:bidi="ar-SA"/>
        </w:rPr>
        <w:t>方面的经费及各项相关支出。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主要用于保障执法车辆运行、装备购置维护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，履行行政执法职责，完成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执法宣传力度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，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提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高群众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懂法、用法知晓率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，提高全镇群众生活品质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3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firstLine="643" w:firstLineChars="200"/>
        <w:jc w:val="left"/>
        <w:textAlignment w:val="auto"/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3.资金管理情况。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snapToGrid/>
          <w:color w:val="000000"/>
          <w:spacing w:val="0"/>
          <w:w w:val="100"/>
          <w:kern w:val="2"/>
          <w:position w:val="0"/>
          <w:sz w:val="32"/>
          <w:szCs w:val="32"/>
          <w:u w:val="none"/>
          <w:vertAlign w:val="baseline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snapToGrid/>
          <w:color w:val="000000"/>
          <w:spacing w:val="0"/>
          <w:w w:val="100"/>
          <w:kern w:val="2"/>
          <w:position w:val="0"/>
          <w:sz w:val="32"/>
          <w:szCs w:val="32"/>
          <w:u w:val="none"/>
          <w:vertAlign w:val="baseline"/>
          <w:lang w:val="en-US" w:eastAsia="zh-CN" w:bidi="ar-SA"/>
        </w:rPr>
        <w:t>202</w:t>
      </w:r>
      <w:r>
        <w:rPr>
          <w:rFonts w:hint="eastAsia" w:ascii="Times New Roman" w:hAnsi="Times New Roman" w:eastAsia="仿宋_GB2312" w:cs="Times New Roman"/>
          <w:b w:val="0"/>
          <w:bCs w:val="0"/>
          <w:snapToGrid/>
          <w:color w:val="000000"/>
          <w:spacing w:val="0"/>
          <w:w w:val="100"/>
          <w:kern w:val="2"/>
          <w:position w:val="0"/>
          <w:sz w:val="32"/>
          <w:szCs w:val="32"/>
          <w:u w:val="none"/>
          <w:vertAlign w:val="baseline"/>
          <w:lang w:val="en-US" w:eastAsia="zh-CN" w:bidi="ar-SA"/>
        </w:rPr>
        <w:t>2</w:t>
      </w:r>
      <w:r>
        <w:rPr>
          <w:rFonts w:hint="default" w:ascii="Times New Roman" w:hAnsi="Times New Roman" w:eastAsia="仿宋_GB2312" w:cs="Times New Roman"/>
          <w:b w:val="0"/>
          <w:bCs w:val="0"/>
          <w:snapToGrid/>
          <w:color w:val="000000"/>
          <w:spacing w:val="0"/>
          <w:w w:val="100"/>
          <w:kern w:val="2"/>
          <w:position w:val="0"/>
          <w:sz w:val="32"/>
          <w:szCs w:val="32"/>
          <w:u w:val="none"/>
          <w:vertAlign w:val="baseline"/>
          <w:lang w:val="en-US" w:eastAsia="zh-CN" w:bidi="ar-SA"/>
        </w:rPr>
        <w:t>年我镇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行政执法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工作经费资金严格按照</w:t>
      </w:r>
      <w:r>
        <w:rPr>
          <w:rFonts w:hint="default" w:ascii="Times New Roman" w:hAnsi="Times New Roman" w:eastAsia="仿宋_GB2312" w:cs="Times New Roman"/>
          <w:b w:val="0"/>
          <w:bCs w:val="0"/>
          <w:snapToGrid/>
          <w:color w:val="000000"/>
          <w:spacing w:val="0"/>
          <w:w w:val="100"/>
          <w:kern w:val="2"/>
          <w:position w:val="0"/>
          <w:sz w:val="32"/>
          <w:szCs w:val="32"/>
          <w:u w:val="none"/>
          <w:vertAlign w:val="baseline"/>
          <w:lang w:val="en-US" w:eastAsia="zh-CN" w:bidi="ar-SA"/>
        </w:rPr>
        <w:t>《盐池县专项资金监督管理办法》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（</w:t>
      </w:r>
      <w:r>
        <w:rPr>
          <w:rFonts w:hint="default" w:ascii="Times New Roman" w:hAnsi="Times New Roman" w:eastAsia="仿宋_GB2312" w:cs="Times New Roman"/>
          <w:b w:val="0"/>
          <w:bCs w:val="0"/>
          <w:snapToGrid/>
          <w:color w:val="000000"/>
          <w:spacing w:val="0"/>
          <w:w w:val="100"/>
          <w:kern w:val="2"/>
          <w:position w:val="0"/>
          <w:sz w:val="32"/>
          <w:szCs w:val="32"/>
          <w:u w:val="none"/>
          <w:vertAlign w:val="baseline"/>
          <w:lang w:val="en-US" w:eastAsia="zh-CN" w:bidi="ar-SA"/>
        </w:rPr>
        <w:t>盐政办发〔2015〕13号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）</w:t>
      </w:r>
      <w:r>
        <w:rPr>
          <w:rFonts w:hint="default" w:ascii="Times New Roman" w:hAnsi="Times New Roman" w:eastAsia="仿宋_GB2312" w:cs="Times New Roman"/>
          <w:b w:val="0"/>
          <w:bCs w:val="0"/>
          <w:snapToGrid/>
          <w:color w:val="000000"/>
          <w:spacing w:val="0"/>
          <w:w w:val="100"/>
          <w:kern w:val="2"/>
          <w:position w:val="0"/>
          <w:sz w:val="32"/>
          <w:szCs w:val="32"/>
          <w:u w:val="none"/>
          <w:vertAlign w:val="baseline"/>
          <w:lang w:val="en-US" w:eastAsia="zh-CN" w:bidi="ar-SA"/>
        </w:rPr>
        <w:t>文件，严格执行财经纪律，在资金用途、支付条件、支付计划等方面，按照分级责任制，</w:t>
      </w:r>
      <w:r>
        <w:rPr>
          <w:rFonts w:hint="eastAsia" w:ascii="Times New Roman" w:hAnsi="Times New Roman" w:eastAsia="仿宋_GB2312" w:cs="Times New Roman"/>
          <w:b w:val="0"/>
          <w:bCs w:val="0"/>
          <w:snapToGrid/>
          <w:color w:val="000000"/>
          <w:spacing w:val="0"/>
          <w:w w:val="100"/>
          <w:kern w:val="2"/>
          <w:position w:val="0"/>
          <w:sz w:val="32"/>
          <w:szCs w:val="32"/>
          <w:u w:val="none"/>
          <w:vertAlign w:val="baseline"/>
          <w:lang w:val="en-US" w:eastAsia="zh-CN" w:bidi="ar-SA"/>
        </w:rPr>
        <w:t>费用分管领导、财务人员和财务分管领导分别审核签字，主要领导最终确认签字制，</w:t>
      </w:r>
      <w:r>
        <w:rPr>
          <w:rFonts w:hint="default" w:ascii="Times New Roman" w:hAnsi="Times New Roman" w:eastAsia="仿宋_GB2312" w:cs="Times New Roman"/>
          <w:b w:val="0"/>
          <w:bCs w:val="0"/>
          <w:snapToGrid/>
          <w:color w:val="000000"/>
          <w:spacing w:val="0"/>
          <w:w w:val="100"/>
          <w:kern w:val="2"/>
          <w:position w:val="0"/>
          <w:sz w:val="32"/>
          <w:szCs w:val="32"/>
          <w:u w:val="none"/>
          <w:vertAlign w:val="baseline"/>
          <w:lang w:val="en-US" w:eastAsia="zh-CN" w:bidi="ar-SA"/>
        </w:rPr>
        <w:t>主要领导最终确认签字制，会计核算准确、财务资料完整。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jc w:val="both"/>
        <w:textAlignment w:val="auto"/>
        <w:rPr>
          <w:rFonts w:hint="default" w:ascii="Times New Roman" w:hAnsi="Times New Roman" w:eastAsia="楷体_GB2312" w:cs="Times New Roman"/>
          <w:b/>
          <w:bCs/>
          <w:color w:val="auto"/>
          <w:sz w:val="32"/>
          <w:szCs w:val="32"/>
          <w:lang w:eastAsia="zh-CN"/>
        </w:rPr>
      </w:pPr>
      <w:r>
        <w:rPr>
          <w:rFonts w:hint="default" w:ascii="Times New Roman" w:hAnsi="Times New Roman" w:eastAsia="楷体_GB2312" w:cs="Times New Roman"/>
          <w:b/>
          <w:bCs/>
          <w:color w:val="auto"/>
          <w:sz w:val="32"/>
          <w:szCs w:val="32"/>
          <w:lang w:val="en-US" w:eastAsia="zh-CN"/>
        </w:rPr>
        <w:t>（二）绩效目标完成情况分析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3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firstLine="643" w:firstLineChars="200"/>
        <w:jc w:val="left"/>
        <w:textAlignment w:val="auto"/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1.产出指标完成情况分析。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firstLine="64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数量指标：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保证执法车辆运行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，印刷及发放宣传材料不少于3次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，基本完成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firstLine="640"/>
        <w:textAlignment w:val="auto"/>
        <w:rPr>
          <w:rFonts w:hint="default" w:ascii="Times New Roman" w:hAnsi="Times New Roman" w:eastAsia="仿宋_GB2312" w:cs="Times New Roman"/>
          <w:spacing w:val="-11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spacing w:val="-11"/>
          <w:sz w:val="32"/>
          <w:szCs w:val="32"/>
          <w:lang w:val="en-US" w:eastAsia="zh-CN"/>
        </w:rPr>
        <w:t>质量指标：</w:t>
      </w:r>
      <w:r>
        <w:rPr>
          <w:rFonts w:hint="eastAsia" w:ascii="Times New Roman" w:hAnsi="Times New Roman" w:eastAsia="仿宋_GB2312" w:cs="Times New Roman"/>
          <w:b w:val="0"/>
          <w:bCs w:val="0"/>
          <w:spacing w:val="-11"/>
          <w:sz w:val="32"/>
          <w:szCs w:val="32"/>
          <w:lang w:val="en-US" w:eastAsia="zh-CN"/>
        </w:rPr>
        <w:t>执法</w:t>
      </w:r>
      <w:r>
        <w:rPr>
          <w:rFonts w:hint="default" w:ascii="Times New Roman" w:hAnsi="Times New Roman" w:eastAsia="仿宋_GB2312" w:cs="Times New Roman"/>
          <w:b w:val="0"/>
          <w:bCs w:val="0"/>
          <w:spacing w:val="-11"/>
          <w:sz w:val="32"/>
          <w:szCs w:val="32"/>
          <w:lang w:val="en-US" w:eastAsia="zh-CN"/>
        </w:rPr>
        <w:t>装备购置验收合格率</w:t>
      </w:r>
      <w:r>
        <w:rPr>
          <w:rFonts w:hint="default" w:ascii="Times New Roman" w:hAnsi="Times New Roman" w:eastAsia="仿宋_GB2312" w:cs="Times New Roman"/>
          <w:spacing w:val="-11"/>
          <w:sz w:val="32"/>
          <w:szCs w:val="32"/>
          <w:lang w:eastAsia="zh-CN"/>
        </w:rPr>
        <w:t>达</w:t>
      </w:r>
      <w:r>
        <w:rPr>
          <w:rFonts w:hint="eastAsia" w:ascii="Times New Roman" w:hAnsi="Times New Roman" w:eastAsia="仿宋_GB2312" w:cs="Times New Roman"/>
          <w:spacing w:val="-11"/>
          <w:sz w:val="32"/>
          <w:szCs w:val="32"/>
          <w:lang w:eastAsia="zh-CN"/>
        </w:rPr>
        <w:t>到</w:t>
      </w:r>
      <w:r>
        <w:rPr>
          <w:rFonts w:hint="eastAsia" w:ascii="Times New Roman" w:hAnsi="Times New Roman" w:eastAsia="仿宋_GB2312" w:cs="Times New Roman"/>
          <w:spacing w:val="-11"/>
          <w:sz w:val="32"/>
          <w:szCs w:val="32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spacing w:val="-11"/>
          <w:sz w:val="32"/>
          <w:szCs w:val="32"/>
          <w:lang w:val="en-US" w:eastAsia="zh-CN"/>
        </w:rPr>
        <w:t>%</w:t>
      </w:r>
      <w:r>
        <w:rPr>
          <w:rFonts w:hint="eastAsia" w:ascii="Times New Roman" w:hAnsi="Times New Roman" w:eastAsia="仿宋_GB2312" w:cs="Times New Roman"/>
          <w:b w:val="0"/>
          <w:bCs w:val="0"/>
          <w:spacing w:val="-11"/>
          <w:sz w:val="32"/>
          <w:szCs w:val="32"/>
          <w:lang w:val="en-US" w:eastAsia="zh-CN"/>
        </w:rPr>
        <w:t>，开展宣传活动完成率</w:t>
      </w:r>
      <w:r>
        <w:rPr>
          <w:rFonts w:hint="default" w:ascii="Times New Roman" w:hAnsi="Times New Roman" w:eastAsia="仿宋_GB2312" w:cs="Times New Roman"/>
          <w:spacing w:val="-11"/>
          <w:sz w:val="32"/>
          <w:szCs w:val="32"/>
          <w:lang w:eastAsia="zh-CN"/>
        </w:rPr>
        <w:t>达</w:t>
      </w:r>
      <w:r>
        <w:rPr>
          <w:rFonts w:hint="eastAsia" w:ascii="Times New Roman" w:hAnsi="Times New Roman" w:eastAsia="仿宋_GB2312" w:cs="Times New Roman"/>
          <w:spacing w:val="-11"/>
          <w:sz w:val="32"/>
          <w:szCs w:val="32"/>
          <w:lang w:eastAsia="zh-CN"/>
        </w:rPr>
        <w:t>到</w:t>
      </w:r>
      <w:r>
        <w:rPr>
          <w:rFonts w:hint="eastAsia" w:ascii="Times New Roman" w:hAnsi="Times New Roman" w:eastAsia="仿宋_GB2312" w:cs="Times New Roman"/>
          <w:spacing w:val="-11"/>
          <w:sz w:val="32"/>
          <w:szCs w:val="32"/>
          <w:lang w:val="en-US" w:eastAsia="zh-CN"/>
        </w:rPr>
        <w:t>96</w:t>
      </w:r>
      <w:r>
        <w:rPr>
          <w:rFonts w:hint="default" w:ascii="Times New Roman" w:hAnsi="Times New Roman" w:eastAsia="仿宋_GB2312" w:cs="Times New Roman"/>
          <w:spacing w:val="-11"/>
          <w:sz w:val="32"/>
          <w:szCs w:val="32"/>
          <w:lang w:val="en-US" w:eastAsia="zh-CN"/>
        </w:rPr>
        <w:t>%</w:t>
      </w:r>
      <w:r>
        <w:rPr>
          <w:rFonts w:hint="eastAsia" w:ascii="Times New Roman" w:hAnsi="Times New Roman" w:eastAsia="仿宋_GB2312" w:cs="Times New Roman"/>
          <w:spacing w:val="-11"/>
          <w:sz w:val="32"/>
          <w:szCs w:val="32"/>
          <w:lang w:val="en-US" w:eastAsia="zh-CN"/>
        </w:rPr>
        <w:t>，基本完成</w:t>
      </w:r>
      <w:r>
        <w:rPr>
          <w:rFonts w:hint="default" w:ascii="Times New Roman" w:hAnsi="Times New Roman" w:eastAsia="仿宋_GB2312" w:cs="Times New Roman"/>
          <w:spacing w:val="-11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时效指标：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预计年底完成项目的实施和支付，我镇及时完成目标。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firstLine="64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成本指标：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202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年我镇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行政执法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工作经费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10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万元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，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财政拨付7.5万元，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现已支付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7.5万元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。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其中印刷宣传材料成本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万元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，装备购置维护4.5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firstLine="64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2.效益指标完成情况分析。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firstLine="643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社会效益：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提高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对群众的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宣传教育普</w:t>
      </w: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及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firstLine="643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kern w:val="2"/>
          <w:sz w:val="32"/>
          <w:szCs w:val="32"/>
          <w:lang w:val="en-US" w:eastAsia="zh-CN" w:bidi="ar-SA"/>
        </w:rPr>
        <w:t>可持续影响：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提高群众对执法工作认识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firstLine="64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3.满意度指标完成情况分析。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我镇对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工作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资金开展情况和整体社会效益及满意度等各项指标进行调查，群众对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行政执法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工作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的满意度为9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%，达到了预期效果。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三、偏离绩效目标的原因和下一步改进措施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snapToGrid/>
          <w:color w:val="000000"/>
          <w:spacing w:val="0"/>
          <w:w w:val="100"/>
          <w:kern w:val="2"/>
          <w:position w:val="0"/>
          <w:sz w:val="32"/>
          <w:szCs w:val="32"/>
          <w:u w:val="none"/>
          <w:vertAlign w:val="baseline"/>
          <w:lang w:val="en-US" w:eastAsia="zh-CN" w:bidi="ar-SA"/>
        </w:rPr>
        <w:t>202</w:t>
      </w:r>
      <w:r>
        <w:rPr>
          <w:rFonts w:hint="eastAsia" w:ascii="Times New Roman" w:hAnsi="Times New Roman" w:eastAsia="仿宋_GB2312" w:cs="Times New Roman"/>
          <w:b w:val="0"/>
          <w:bCs w:val="0"/>
          <w:snapToGrid/>
          <w:color w:val="000000"/>
          <w:spacing w:val="0"/>
          <w:w w:val="100"/>
          <w:kern w:val="2"/>
          <w:position w:val="0"/>
          <w:sz w:val="32"/>
          <w:szCs w:val="32"/>
          <w:u w:val="none"/>
          <w:vertAlign w:val="baseline"/>
          <w:lang w:val="en-US" w:eastAsia="zh-CN" w:bidi="ar-SA"/>
        </w:rPr>
        <w:t>2</w:t>
      </w:r>
      <w:r>
        <w:rPr>
          <w:rFonts w:hint="default" w:ascii="Times New Roman" w:hAnsi="Times New Roman" w:eastAsia="仿宋_GB2312" w:cs="Times New Roman"/>
          <w:b w:val="0"/>
          <w:bCs w:val="0"/>
          <w:snapToGrid/>
          <w:color w:val="000000"/>
          <w:spacing w:val="0"/>
          <w:w w:val="100"/>
          <w:kern w:val="2"/>
          <w:position w:val="0"/>
          <w:sz w:val="32"/>
          <w:szCs w:val="32"/>
          <w:u w:val="none"/>
          <w:vertAlign w:val="baseline"/>
          <w:lang w:val="en-US" w:eastAsia="zh-CN" w:bidi="ar-SA"/>
        </w:rPr>
        <w:t>年我镇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行政执法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工作</w:t>
      </w:r>
      <w:r>
        <w:rPr>
          <w:rFonts w:hint="default" w:ascii="Times New Roman" w:hAnsi="Times New Roman" w:eastAsia="仿宋_GB2312" w:cs="Times New Roman"/>
          <w:b w:val="0"/>
          <w:bCs w:val="0"/>
          <w:snapToGrid/>
          <w:color w:val="000000"/>
          <w:spacing w:val="0"/>
          <w:w w:val="100"/>
          <w:kern w:val="2"/>
          <w:position w:val="0"/>
          <w:sz w:val="32"/>
          <w:szCs w:val="32"/>
          <w:u w:val="none"/>
          <w:vertAlign w:val="baseline"/>
          <w:lang w:val="en-US" w:eastAsia="zh-CN" w:bidi="ar-SA"/>
        </w:rPr>
        <w:t>资金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，达到了绩效目标。下一步，将制定更全面的计划和方案，提高资金的实用率。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四、绩效自评结果拟应用和公开情况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（一）我单位根据项目绩效评价指标对各项目量化评价，自评指标得分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96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（二）项目主管领导将对绩效自评结果进行抽查，将绩效自评结果与下一年度项目预算安排挂钩，作为以后年度项目立项和经费支持的重要依据。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（三）按照财政部门的统一要求，对绩效评价情况进行公开。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textAlignment w:val="auto"/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五、其他需要说明的问题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firstLine="4800" w:firstLineChars="15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firstLine="4800" w:firstLineChars="15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firstLine="5120" w:firstLineChars="16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大水坑镇人民政府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firstLine="5440" w:firstLineChars="17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202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年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月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7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altName w:val="黑体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U0OTc2OGVmNjhkZGYxMGI4OThiYjk3MzU3ZmE1ZWYifQ=="/>
  </w:docVars>
  <w:rsids>
    <w:rsidRoot w:val="03E9133D"/>
    <w:rsid w:val="03E9133D"/>
    <w:rsid w:val="1CF814E3"/>
    <w:rsid w:val="1D320BBF"/>
    <w:rsid w:val="3B501887"/>
    <w:rsid w:val="524B0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200" w:firstLineChars="200"/>
    </w:pPr>
    <w:rPr>
      <w:rFonts w:ascii="Calibri" w:hAnsi="Calibri" w:eastAsia="宋体" w:cs="Calibri"/>
    </w:rPr>
  </w:style>
  <w:style w:type="paragraph" w:styleId="3">
    <w:name w:val="Plain Text"/>
    <w:basedOn w:val="1"/>
    <w:qFormat/>
    <w:uiPriority w:val="0"/>
    <w:rPr>
      <w:rFonts w:ascii="宋体" w:hAnsi="Courier New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1118</Words>
  <Characters>1195</Characters>
  <Lines>0</Lines>
  <Paragraphs>0</Paragraphs>
  <TotalTime>0</TotalTime>
  <ScaleCrop>false</ScaleCrop>
  <LinksUpToDate>false</LinksUpToDate>
  <CharactersWithSpaces>1196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2023-04-06T11:37:00Z</dcterms:created>
  <dc:creator>青春箌揹洳蓅</dc:creator>
  <cp:lastModifiedBy>青春箌揹洳蓅</cp:lastModifiedBy>
  <dcterms:modified xsi:type="dcterms:W3CDTF">2023-04-10T09:23:43Z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DD25268CEA9144AE80E9F5ED80199746_13</vt:lpwstr>
  </property>
</Properties>
</file>