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大水坑镇人民政府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年大水坑便民服务中心经费             的绩效自评报告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按照《盐池县财政局关于开展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2022年度部门项目支出绩效自评的通知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盐财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27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文件要求，现就大水坑镇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2022年大水坑镇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大水坑便民服务中心经费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2022年度绩效自评情况报告如下。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  <w:t>绩效目标批复下达情况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年初批复下达县级资金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便民服务中心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经费预算和绩效目标情况。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根据盐池县财政局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《关于批复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年盐池县部门预算的通知》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盐财〔预〕指标〔202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〕344号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文件精神，县财政局下达我镇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便民服务中心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经费资金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13.5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万元。主要用于保障便民服务中心正常运行，为群众提供便民服务、提供便捷式服务以及办理业务的环境等，便民中心设立计生、医保、就业、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民政、残联、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采暖等窗口，每年至少为群众提供2000次服务，确保及时解决群众问题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，为便民服务中心的一线工作人员创建良好的工作环境，提高工作效率，更好的服务好群众，解决居民的切实问题。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便民服务中心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经费共计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万元，于202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年通过财政一体化系统下达指标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13.5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万元，资金到位率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75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2.项目资金执行情况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资金全部用于保障便民服务中心正常运行，为群众提供便民服务、提供便捷式服务以及办理业务的环境等，便民中心设立计生、医保、就业、采暖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、民政、残联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等窗口，每年至少为群众提供2000次服务，确保及时解决群众问题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为便民服务中心的一线工作人员创建良好的工作环境，提高工作效率，更好的服务好群众，解决居民的切实问题。。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便民服务中心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经费资金严格按照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《盐池县专项资金监督管理办法》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盐政办发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〔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2015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〕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13号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文件，严格执行财经纪律，在资金用途、支付条件、支付计划等方面，按照分级责任制，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费用分管领导、财务人员和财务分管领导分别审核签字，主要领导最终确认签字制，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主要领导最终确认签字制，会计核算准确、财务资料完整。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数量指标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为群众提供便民服务、提供便捷式服务以及办理业务的环境等，便民中心设立计生、医保、就业、采暖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、民政、残联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等窗口，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每年至少为群众提供2000次服务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质量指标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便民中心设立计生、医保、就业、采暖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、民政、残联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等窗口，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每年提供服务完成率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高达98%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时效指标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预计年底完成项目的实施和支付，我镇及时完成目标。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成本指标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年我镇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便民服务中心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安排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财政拨付13.5万元，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现已全部支付。其中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水电暖支付9.3万元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支付人员工资1.2万元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办公费用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社会效益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提高群众满意度，减少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群众对便民服务中心投诉次数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，切实为群众创造舒适办事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环境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可持续影响：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了解民情民意，做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解百家难，暖百家情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，长期与群众保持联系，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提升政府工作服务的影响。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3.满意度指标完成情况分析。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我镇对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便民服务中心工作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开展情况和整体社会效益及满意度等各项指标进行调查，群众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对便民服务中心服务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的满意度为≧9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年我镇</w:t>
      </w:r>
      <w:r>
        <w:rPr>
          <w:rFonts w:hint="eastAsia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便民服务中心</w:t>
      </w:r>
      <w:r>
        <w:rPr>
          <w:rFonts w:hint="default" w:ascii="Times New Roman" w:hAnsi="Times New Roman" w:eastAsia="仿宋_GB2312" w:cs="Times New Roman"/>
          <w:b w:val="0"/>
          <w:bCs w:val="0"/>
          <w:snapToGrid/>
          <w:color w:val="000000"/>
          <w:spacing w:val="0"/>
          <w:w w:val="100"/>
          <w:kern w:val="2"/>
          <w:position w:val="0"/>
          <w:sz w:val="32"/>
          <w:szCs w:val="32"/>
          <w:u w:val="none"/>
          <w:vertAlign w:val="baseline"/>
          <w:lang w:val="en-US" w:eastAsia="zh-CN" w:bidi="ar-SA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使用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达到了绩效目标。下一步，将制定更全面的计划和方案，提高资金的实用率。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（一）我单位根据项目绩效评价指标对各项目量化评价，自评指标得分9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（二）项目主管领导将对绩效自评结果进行抽查，将绩效自评结果与下一年度项目预算安排挂钩，作为以后年度项目立项和经费支持的重要依据。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（三）按照财政部门的统一要求，对绩效评价情况进行公开。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4800" w:firstLineChars="1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5120" w:firstLineChars="16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大水坑镇人民政府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5440" w:firstLineChars="17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OTc2OGVmNjhkZGYxMGI4OThiYjk3MzU3ZmE1ZWYifQ=="/>
  </w:docVars>
  <w:rsids>
    <w:rsidRoot w:val="095035B1"/>
    <w:rsid w:val="095035B1"/>
    <w:rsid w:val="22E9530D"/>
    <w:rsid w:val="2AE943DF"/>
    <w:rsid w:val="378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  <w:rPr>
      <w:rFonts w:ascii="Calibri" w:hAnsi="Calibri" w:eastAsia="宋体" w:cs="Calibri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1395</Words>
  <Characters>1479</Characters>
  <Lines>0</Lines>
  <Paragraphs>0</Paragraphs>
  <TotalTime>0</TotalTime>
  <ScaleCrop>false</ScaleCrop>
  <LinksUpToDate>false</LinksUpToDate>
  <CharactersWithSpaces>1493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2023-04-06T09:38:00Z</dcterms:created>
  <dc:creator>青春箌揹洳蓅</dc:creator>
  <cp:lastModifiedBy>青春箌揹洳蓅</cp:lastModifiedBy>
  <dcterms:modified xsi:type="dcterms:W3CDTF">2023-04-10T09:26:24Z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E08EFE7A9EAA4F1A80DFF39F97A545E5_13</vt:lpwstr>
  </property>
</Properties>
</file>