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年度机关后勤运行经费绩效自评报告</w:t>
      </w:r>
    </w:p>
    <w:p>
      <w:pPr>
        <w:pStyle w:val="6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年机关后勤运行经费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22.5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万元。主要用于解决全体职工伙食问题；保障我镇全镇职工的伙食，提高干部的生活质量；保障后勤正常运行。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年机关后勤运行经费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22.5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严格执行资金管理制度，按时采购，根据伙食量与采购数量据实进行支付，做到专款专用，无挤占挪用、虚列支出等情况，会计核算准确、财务资料完整。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(1)数量指标。后勤用餐每天职工人数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人，职工用餐次数每天3次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(2)质量指标。干部生活质量逐步提高。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(3)时效指标。供应伙食的时间为早中晚。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购买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机关灶费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22.5万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元；现已全部支付完毕。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(1)经济效益:有效节约了经费支出，节约经费支出目标与年初目标相近。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(2)社会效益：使全镇干部伙食质量得到了有效提升。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(3)生态效益:减少了一些资源消耗率。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(4）可持续影响：机关后勤运行费为全年持续发挥了作用。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职工对后勤服务满意度为9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sz w:val="30"/>
          <w:szCs w:val="30"/>
        </w:rPr>
        <w:t>机关后勤运行费</w:t>
      </w:r>
      <w:r>
        <w:rPr>
          <w:rFonts w:hint="eastAsia" w:ascii="仿宋_GB2312" w:hAnsi="仿宋_GB2312" w:eastAsia="仿宋_GB2312" w:cs="仿宋_GB2312"/>
          <w:sz w:val="32"/>
          <w:szCs w:val="32"/>
        </w:rPr>
        <w:t>均达到了绩效目标。下一步，我镇将后勤运行保证稳定，进一步提高干部生活质量。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6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/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2B75AC9"/>
    <w:rsid w:val="06F718CA"/>
    <w:rsid w:val="0D3046F7"/>
    <w:rsid w:val="2E2B1705"/>
    <w:rsid w:val="410666EB"/>
    <w:rsid w:val="4487622C"/>
    <w:rsid w:val="46AC1E68"/>
    <w:rsid w:val="56174A06"/>
    <w:rsid w:val="628C0E42"/>
    <w:rsid w:val="68FF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826</Characters>
  <Lines>0</Lines>
  <Paragraphs>0</Paragraphs>
  <TotalTime>0</TotalTime>
  <ScaleCrop>false</ScaleCrop>
  <LinksUpToDate>false</LinksUpToDate>
  <CharactersWithSpaces>878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2023-03-20T09:19:52Z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590E023398D9496C9BCCC007CDB0E0E3</vt:lpwstr>
  </property>
</Properties>
</file>