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distribute"/>
        <w:textAlignment w:val="auto"/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/>
          <w:sz w:val="44"/>
          <w:szCs w:val="44"/>
        </w:rPr>
        <w:t>年度林木管护费绩效自评报告</w:t>
      </w:r>
    </w:p>
    <w:p>
      <w:pPr>
        <w:pStyle w:val="2"/>
        <w:spacing w:line="580" w:lineRule="exact"/>
      </w:pP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一、绩效目标批复下达情况</w:t>
      </w:r>
    </w:p>
    <w:p>
      <w:pPr>
        <w:spacing w:line="58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盐池县财政局盐财(预)指标[2020]1号相关文件精神</w:t>
      </w:r>
      <w:r>
        <w:rPr>
          <w:rFonts w:hint="eastAsia" w:ascii="Times New Roman" w:hAnsi="Times New Roman" w:eastAsia="仿宋_GB2312"/>
          <w:color w:val="0000FF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下达我镇202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年林木管护费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34.05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万元。主要用于预计对全镇及历年来树木进行除草、抚育、浇水，确保无杂草、死树，保证树木的成活率。                                                                                   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43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1、资金到位情况分析。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年林木管护费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34.05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万元，于202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通过财政一体化系统下达指标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34.05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全部到位，资金到位率100%。</w:t>
      </w:r>
    </w:p>
    <w:p>
      <w:pPr>
        <w:tabs>
          <w:tab w:val="left" w:pos="334"/>
        </w:tabs>
        <w:spacing w:line="58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2、资金执行情况。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年用于林木抚育及浇水面积2894亩，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26.24354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8.80646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剩余资金上缴财政，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资金执行率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77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tabs>
          <w:tab w:val="left" w:pos="334"/>
        </w:tabs>
        <w:spacing w:line="58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3、资金管理情况。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年我镇按照盐政办发[2015]13号文件《盐池县专项资金监督管理办法》，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严格执行资金管理制度，根据资金用途据实支付，做到专款专用，无挤占挪用、虚列支出等情况，会计核算准确、财务资料完整。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（二）绩效目标完成情况分析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(1)数量指标。年初制定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林木抚育及浇水面积2894亩，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现已全部完成，使林业产业不断扩展，林业得到稳步发展。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(2)质量指标。树木成活率达到98%，使林业覆盖面积越来越大。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(3)时效指标。及时对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树木进行抚育浇水，保证树木的成活率，实现生态与产业协调发展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(4)成本指标。202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年度林业管护用于涂红刷白、抚育、浇水、修剪共计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26.24354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万元，已全部支付完毕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2、效益指标完成情况分析。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(1)经济效益: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带动农民增收。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(2)社会效益：树立人人保护树木意识达到98%,使大家自觉爱绿护绿，自觉植树造林。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(3)生态效益:空气质量优良率持续上升，森林覆盖范围越来越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(4）可持续影响：有效促进生态平衡，实现人与自然和谐发展。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3、满意度指标完成情况分析。</w:t>
      </w:r>
    </w:p>
    <w:p>
      <w:pPr>
        <w:pStyle w:val="2"/>
        <w:spacing w:line="580" w:lineRule="exact"/>
        <w:ind w:firstLine="960" w:firstLineChars="3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群众对该林业工作满意度达到9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%，达到了预期效果。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三、偏离绩效目标的原因和下一步改进措施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年我镇林木管护费项目达到了预期效果</w:t>
      </w:r>
      <w:r>
        <w:rPr>
          <w:rFonts w:hint="eastAsia" w:ascii="仿宋_GB2312" w:hAnsi="仿宋_GB2312" w:eastAsia="仿宋_GB2312" w:cs="仿宋_GB2312"/>
          <w:sz w:val="32"/>
          <w:szCs w:val="32"/>
        </w:rPr>
        <w:t>。下一步，我镇将不断完善发展思路和定位，夯实绿色发展根基，厚植绿色发展优势，使林业建设更高质量发展。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四、绩效自评结果拟应用和公开情况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（一）我单位根据项目绩效评价指标对各项目量化评价，自评指标得分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（二）按照财政部门的统一要求，对绩效评价情况进行公开。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五、其他需要说明的问题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无                   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2023年3月25日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04C13372"/>
    <w:rsid w:val="29C96606"/>
    <w:rsid w:val="3EA315FD"/>
    <w:rsid w:val="410666EB"/>
    <w:rsid w:val="46AC1E68"/>
    <w:rsid w:val="487139A6"/>
    <w:rsid w:val="56174A06"/>
    <w:rsid w:val="5D71349B"/>
    <w:rsid w:val="628C0E42"/>
    <w:rsid w:val="64CC6758"/>
    <w:rsid w:val="64F104DD"/>
    <w:rsid w:val="68FF07F4"/>
    <w:rsid w:val="7D125163"/>
    <w:rsid w:val="7E39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9">
    <w:name w:val="page number"/>
    <w:basedOn w:val="8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866</Words>
  <Characters>962</Characters>
  <Lines>0</Lines>
  <Paragraphs>0</Paragraphs>
  <TotalTime>1</TotalTime>
  <ScaleCrop>false</ScaleCrop>
  <LinksUpToDate>false</LinksUpToDate>
  <CharactersWithSpaces>1090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2021-04-12T07:14:00Z</dcterms:created>
  <dc:creator>Administrator</dc:creator>
  <cp:lastModifiedBy>、</cp:lastModifiedBy>
  <dcterms:modified xsi:type="dcterms:W3CDTF">2023-03-30T02:45:44Z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CF9CD7386ACF4A5A9341DCBA69055D43_13</vt:lpwstr>
  </property>
</Properties>
</file>