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45"/>
        </w:tabs>
        <w:spacing w:line="580" w:lineRule="exact"/>
        <w:jc w:val="distribute"/>
        <w:rPr>
          <w:rFonts w:ascii="黑体" w:eastAsia="黑体"/>
          <w:b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20" w:lineRule="exact"/>
        <w:jc w:val="center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52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年度民兵应急分队工作经费</w:t>
      </w:r>
    </w:p>
    <w:p>
      <w:pPr>
        <w:spacing w:line="52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autoSpaceDE w:val="0"/>
        <w:spacing w:line="600" w:lineRule="exact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 xml:space="preserve">  </w:t>
      </w:r>
    </w:p>
    <w:p>
      <w:pPr>
        <w:autoSpaceDE w:val="0"/>
        <w:spacing w:line="600" w:lineRule="exact"/>
        <w:ind w:firstLine="640" w:firstLineChars="200"/>
        <w:jc w:val="left"/>
        <w:rPr>
          <w:rFonts w:ascii="仿宋_GB2312" w:hAnsi="Calibri" w:eastAsia="仿宋_GB2312" w:cs="宋体"/>
          <w:b/>
          <w:bCs/>
          <w:kern w:val="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根据《盐池县财政局关于开展202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年部门项目支出绩效自评的通知》（盐财发〔202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〕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26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号）文件要求，对照绩效自评内容和方法，开展了202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eastAsia="zh-CN"/>
        </w:rPr>
        <w:t>标前审计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资金绩效自评工作。现报告如下：</w:t>
      </w:r>
    </w:p>
    <w:p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 w:themeColor="text1"/>
          <w:kern w:val="0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</w:rPr>
        <w:t>一、绩效目标批复下达情况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根据盐财（预）指标[202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]1号及盐财预（暂存款）2021第068号相关文件精神，下达我镇202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年民兵应急分队工作经费及民兵应急排装备器材购置经费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3.75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万元。主要用于维护社会稳定，完成抢险救灾工作，保质保量完成上级部门下达任务。</w:t>
      </w:r>
    </w:p>
    <w:p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 w:themeColor="text1"/>
          <w:kern w:val="0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</w:rPr>
        <w:t>二、绩效目标完成情况分析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（一）资金投入情况分析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1、资金到位情况分析。202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年民兵应急分队工作经费及民兵应急排装备器材购置经费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3.75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万元，于202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年到位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3.75万元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，资金到位率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100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%。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2、资金执行情况。资金支出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3.75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万元，结余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万元，资金执行率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100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%。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3、资金管理情况。严格执行资金管理制度，根据资金用途据实支付资金，做到专款专用，无挤占挪用、虚列支出等情况，会计核算准确、财务资料完整。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（二）绩效目标完成情况分析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1、产出指标完成情况分析。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(1)数量指标。我镇202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年完成应急救灾训练次数1次，救援训练次数1次。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(2)质量指标。训练时参训人员出勤率达到100%，考核合格率达到98%。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(3)时效指标。我镇202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年完成应急救灾训及练救援训练如期完成。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(4)成本指标。202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年度民兵应急工作经费用于民兵应急装备器材采购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30000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元；民兵工作经费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7500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元，如期完成指标。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2、效益指标完成情况分析。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(1)经济效益: 兵应急工作经费有效经费节支达到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75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%。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(2)社会效益：完成了救援训练，维护了社会稳定。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(3）可持续影响：激发了广大民兵的工作积极性，维护了群众生活稳定。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3、满意度指标完成情况分析。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群众对基层民兵工作的满意度99%，达到了预期效果。</w:t>
      </w:r>
    </w:p>
    <w:p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 w:themeColor="text1"/>
          <w:kern w:val="0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</w:rPr>
        <w:t>三、偏离绩效目标的原因和下一步改进措施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年我镇民兵应急工作经费达到了预期效果。下一步，我镇将制定更全面的计划，抓住应急要点，加大国防教育宣传，配备齐全应急物资装备，在急难险任务中提高应急处突的胆识。</w:t>
      </w:r>
    </w:p>
    <w:p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 w:themeColor="text1"/>
          <w:kern w:val="0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</w:rPr>
        <w:t>四、绩效自评结果拟应用和公开情况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99</w:t>
      </w:r>
      <w:bookmarkStart w:id="0" w:name="_GoBack"/>
      <w:bookmarkEnd w:id="0"/>
      <w:r>
        <w:rPr>
          <w:rFonts w:hint="eastAsia" w:ascii="仿宋_GB2312" w:hAnsi="Calibri" w:eastAsia="仿宋_GB2312" w:cs="宋体"/>
          <w:kern w:val="2"/>
          <w:sz w:val="32"/>
          <w:szCs w:val="32"/>
        </w:rPr>
        <w:t>分。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（二）按照财政部门的统一要求，对绩效评价情况进行公开。</w:t>
      </w:r>
    </w:p>
    <w:p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color w:val="000000" w:themeColor="text1"/>
          <w:kern w:val="0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0"/>
        </w:rPr>
        <w:t>五、其他需要说明的问题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 xml:space="preserve">    无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</w:p>
    <w:p>
      <w:pPr>
        <w:autoSpaceDE w:val="0"/>
        <w:spacing w:line="600" w:lineRule="exact"/>
        <w:ind w:firstLine="5120" w:firstLineChars="16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>惠安堡镇人民政府</w:t>
      </w:r>
    </w:p>
    <w:p>
      <w:pPr>
        <w:autoSpaceDE w:val="0"/>
        <w:spacing w:line="600" w:lineRule="exact"/>
        <w:ind w:firstLine="640" w:firstLineChars="200"/>
        <w:jc w:val="left"/>
        <w:rPr>
          <w:rFonts w:hint="eastAsia" w:ascii="仿宋_GB2312" w:hAnsi="Calibri" w:eastAsia="仿宋_GB2312" w:cs="宋体"/>
          <w:kern w:val="2"/>
          <w:sz w:val="32"/>
          <w:szCs w:val="32"/>
        </w:rPr>
      </w:pPr>
      <w:r>
        <w:rPr>
          <w:rFonts w:hint="eastAsia" w:ascii="仿宋_GB2312" w:hAnsi="Calibri" w:eastAsia="仿宋_GB2312" w:cs="宋体"/>
          <w:kern w:val="2"/>
          <w:sz w:val="32"/>
          <w:szCs w:val="32"/>
        </w:rPr>
        <w:t xml:space="preserve">                    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 xml:space="preserve"> 202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年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月</w:t>
      </w:r>
      <w:r>
        <w:rPr>
          <w:rFonts w:hint="eastAsia" w:ascii="仿宋_GB2312" w:hAnsi="Calibri" w:eastAsia="仿宋_GB2312" w:cs="宋体"/>
          <w:kern w:val="2"/>
          <w:sz w:val="32"/>
          <w:szCs w:val="32"/>
          <w:lang w:val="en-US" w:eastAsia="zh-CN"/>
        </w:rPr>
        <w:t>21</w:t>
      </w:r>
      <w:r>
        <w:rPr>
          <w:rFonts w:hint="eastAsia" w:ascii="仿宋_GB2312" w:hAnsi="Calibri" w:eastAsia="仿宋_GB2312" w:cs="宋体"/>
          <w:kern w:val="2"/>
          <w:sz w:val="32"/>
          <w:szCs w:val="32"/>
        </w:rPr>
        <w:t>日</w:t>
      </w: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03765E7"/>
    <w:rsid w:val="00481223"/>
    <w:rsid w:val="00532E8E"/>
    <w:rsid w:val="00E16602"/>
    <w:rsid w:val="1A843381"/>
    <w:rsid w:val="2123425E"/>
    <w:rsid w:val="2628488E"/>
    <w:rsid w:val="29C96606"/>
    <w:rsid w:val="2F3B3619"/>
    <w:rsid w:val="32BC1970"/>
    <w:rsid w:val="3EA315FD"/>
    <w:rsid w:val="410666EB"/>
    <w:rsid w:val="46AC1E68"/>
    <w:rsid w:val="56174A06"/>
    <w:rsid w:val="628C0E42"/>
    <w:rsid w:val="64F104DD"/>
    <w:rsid w:val="68FF07F4"/>
    <w:rsid w:val="6CF91317"/>
    <w:rsid w:val="6EB378EF"/>
    <w:rsid w:val="710E0CD9"/>
    <w:rsid w:val="7E3972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unhideWhenUsed/>
    <w:qFormat/>
    <w:uiPriority w:val="99"/>
  </w:style>
  <w:style w:type="character" w:customStyle="1" w:styleId="12">
    <w:name w:val="页眉 Char"/>
    <w:basedOn w:val="10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891</Words>
  <Characters>981</Characters>
  <Lines>6</Lines>
  <Paragraphs>1</Paragraphs>
  <TotalTime>117</TotalTime>
  <ScaleCrop>false</ScaleCrop>
  <LinksUpToDate>false</LinksUpToDate>
  <CharactersWithSpaces>1017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2022-05-16T03:43:00Z</dcterms:created>
  <dc:creator>Administrator</dc:creator>
  <cp:lastModifiedBy>、</cp:lastModifiedBy>
  <cp:lastPrinted>2021-04-13T07:30:00Z</cp:lastPrinted>
  <dcterms:modified xsi:type="dcterms:W3CDTF">2023-03-28T02:32:13Z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DCF70FCA1EBE48EABC7C4069A535D566</vt:lpwstr>
  </property>
</Properties>
</file>