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2021年项目管理、验收、资金决算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及屋顶光伏电站补助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绩效自评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总结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为贯彻落实盐池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扶贫开发领导小组《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盐池县202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年实现巩固拓展脱贫攻坚成果同乡村振兴有效衔接实施方案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（盐扶开发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1号）精神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县发改牵头、各有关单位组成的验收工作组，对2021年全县脱贫攻坚巩固提升的各类项目进行了验收。目前，各项目的验收工作已全面完成。现就项目实施中管理、验收、资金决算及屋顶光伏电站补助绩效情况自评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绩效目标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分解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（一）财政专项扶贫资金下达预算及项目情况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依据盐池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扶贫开发领导小组领导小组《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盐池县202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年实现巩固拓展脱贫攻坚成果同乡村振兴有效衔接实施方案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》精神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，2021年盐池县财政局共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下达我局县财政资金590.36万元。包括：①2021年有效衔接项目管理（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盐财预（暂存款）字第083号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下达我局县财政资金165.18万元，②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2021年有效衔接项目管理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（2021）盐财预（公共预算）字第037号下达我局县财政资金235.02万元，③盐池县农户屋顶光伏精准扶贫项目补助资金（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财预（公共预算）字第284号）下达我局县财政资金190.16万元。其中：2021年有效衔接基础设施前期费176.2万元、2016-2020年扶贫开发基础设施项目资金决算审计费60万元、2013年以来扶贫资产后续管理费20万元、2021年有效衔接各项目管理及宣传费100万元；农户屋顶光伏监理费2万元、2021年扶贫资金使用绩效评价费12万元；2020年互助资金审计费30万元、农户屋顶光伏精准扶贫项目补助资金190.16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财政专项扶贫资金项目绩效目标设定情况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项目绩效目标设定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1.基础设施项目前期管理费：其中项目设计费率1.8%、监理费率2%、项目预算费率0.5%、项目第三方质量检测费0.5%。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2.产业扶持项目验收：完成2020年脱贫攻坚巩固提升产业项目验收。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3.2016-2021年扶贫开发基础设施项目资金决算审计费率0.1%。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4.农户屋顶光伏精准扶贫补助每户电站安装费1万元。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5.2020年互助资金审计费率0.1%。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绩效自评工作开展情况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项目绩效评价工作是根据县财政局有关要求开展，我局从各项工作开始到竣工，在项目实施地点，通过查阅相关资料、项目村村民满意度测评，结合自评报告和项目建设实际，按照项目设定评价目标对项目建设进行评价。结合评价，对搜集到的项目建设资料进行整理、核实和综合分析，对项目作出独立、客观、公正、实事求是的绩效评价，完成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县财政局按照项目预算按时将项目资金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590.36万元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拨付我办。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项目资金执行情况分析。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严格执行财政投资评审制度，确保资金专款专用。严格执行衔接资金管理制度，对该项目建设资金实行项目单独核算管理，所有经费拨付由县财政全程监管，资金使用没有违规行为并全部用于项目，没有挤占、挪用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项目资金管理情况分析。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为保证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脱贫攻坚巩固提升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管理资金的精准使用，我局设立专账，专户储存，专户管理，专款专用，封闭运行，严格按照《盐池县统筹整合使用财政涉农资金管理暂行办法》执行，做到专款专用，使用合法，杜绝贪污挪用现象发生。项目完成后，我局申请财政委托第三方会计事务所进行专业结算，确保脱贫摘帽基础设施建设项目资金合理使用；项目管理资金我局财务人员对项目资金完成情况进行了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绩效目标完成情况分析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1.项目完成情况。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（1）基础设施项目前期管理费。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了我局实施3个项目的设计、监理等所有前期准备工作（其中项目设计费率1.8%、监理费率2%、项目送审控制价预算0.5%、项目第三方质量检测费0.5%），实际完成项目资金178.2万元（包括农户屋顶光伏监理费2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（2）产业扶持项目验收。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完成了2020年全县有效衔接产业项目的验收和宣传工作。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（3）2016-2021年扶贫开发基础设施项目资金决算审计。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通过公开竞争，由6个第三方共同完成2016-2021年我局实施项目的资金决算。同时，整改完成了决算发现的问题。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（4）2020年互助资金审计。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通过公开招标分别由2个第三方完成了2020年度全县102个互助社、2.79亿元互助资金使用的审计工作。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（5）农户屋顶光伏精准扶贫项目补助。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完成盐池县农户屋顶光伏精准扶贫项目农户电站补助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234户，兑付项目补助资金共190.16万元。其中：97户每户补助1万元，兑现项目资金97万元；137户每户补助0.68万元，共计兑现项目资金93.16万元。项目完成后，增加了785项目户每年3200元发电收益。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2021年衔接资金使用绩效评价。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聘请第三方完成了2021年度盐池县有效衔接项目实施绩效评价报告。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2013年以来扶贫资产后续管理。一是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完成了确权资产原值共25.26亿元（其中已确权到户资产原值3.95亿元、到村资产原值15.55亿、到乡资产原值0.95亿元、到县资产原值4.81亿元）；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完成了各类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扶贫资产的移交工作（各扶贫资产台账打印3套）。目前该项工作尚未完成，后续工作正在进行，已完成项目支付12.5万元。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2.资金完成情况。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县财政局到位资金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590.36万元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，实际完成支付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570.20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万元，结余资金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20.16万元（其中2016-2020年扶贫开发基础设施项目资金决算审计结余10.28万元、2013年以来扶贫资产后续管理费结余7.5万元、2020年互助资金审计结余2.38万元）。2016-2020年扶贫开发基础设施项目资金决算审计结余10.28万元、2013年以来扶贫资产后续管理费结余7.5万元，由于这两个项目目前尚未完成，结余资金17.78万元继续用于2022年原资金项目；2020年互助资金审计结余2.38万元上缴县财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基础设施明显改善，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灌区道路硬化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大力促进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田间和村庄之间的连通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有效解决善了农村交通难的问题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有效改善了贫困村基本生产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生活条件，提高贫困群众的生活质量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脱贫户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收入显著提高，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通过项目带动及项目完成后基础设施的大力完善，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有力的促进了脱贫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村农民人均纯收入增加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群众满意度和幸福感不断提升，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极大改善了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村广大群众的精神面貌，提升他们的幸福感和对我县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巩固拓展脱贫攻坚同乡村振兴有效衔接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政策的认可度。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（三）项目管理情况分析。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作为项目法人单位，与项目设计、监理单位签订设计合同及监理合同，在项目实施过程中严格执行合同各项条款，以合同为依据控制质量、安全、进度、拨款，使整个项目的实施过程始终处于合同的约束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四、存在问题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以上项目均没有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偏离绩效目标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项目具体实施过程中，由于项目涉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面较广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个别项目由于缺乏专业人员，造成部分项目预算不准确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2013年以来扶贫资产后续管理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费预算与实际支出差别较大。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 xml:space="preserve">（二）意见建议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加强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专业知识学习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要求项目管理人员加强专业知识学习，做到项目预算准确，提高项目资金使用率。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专业知识强的工作，聘请专业人员，保证项目资金准确预算。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加强工程管护宣传，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项目完成后，加强宣传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及时交付项目村，做好项目管护，保障各项目正常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五、绩效自评结果公开情况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按照衔接资金项目实施公示公开要求，我局在项目实施前、结算前对项目实施内容、地点、完成情况通过县政府门户网站进行了公示。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DE0YWI0NjdjZWU4N2Q1MjE5MTJlZGZiYjc5YjgifQ=="/>
  </w:docVars>
  <w:rsids>
    <w:rsidRoot w:val="3AEB72ED"/>
    <w:rsid w:val="00186D7C"/>
    <w:rsid w:val="007B7A52"/>
    <w:rsid w:val="00BD79DA"/>
    <w:rsid w:val="04406968"/>
    <w:rsid w:val="051E64D7"/>
    <w:rsid w:val="0607127C"/>
    <w:rsid w:val="06831967"/>
    <w:rsid w:val="085A1C0E"/>
    <w:rsid w:val="087B0AC2"/>
    <w:rsid w:val="08907C6F"/>
    <w:rsid w:val="09024539"/>
    <w:rsid w:val="09FF73E8"/>
    <w:rsid w:val="0DB31D06"/>
    <w:rsid w:val="0EF0092B"/>
    <w:rsid w:val="0F35216A"/>
    <w:rsid w:val="0F900DD6"/>
    <w:rsid w:val="15267618"/>
    <w:rsid w:val="154813EE"/>
    <w:rsid w:val="166C082E"/>
    <w:rsid w:val="173B2DFE"/>
    <w:rsid w:val="18262EB3"/>
    <w:rsid w:val="19811D3E"/>
    <w:rsid w:val="19CB7951"/>
    <w:rsid w:val="1B976FA9"/>
    <w:rsid w:val="1CD750EC"/>
    <w:rsid w:val="1F310932"/>
    <w:rsid w:val="21AF1A23"/>
    <w:rsid w:val="229655CC"/>
    <w:rsid w:val="244A7F77"/>
    <w:rsid w:val="24980DCD"/>
    <w:rsid w:val="2518099F"/>
    <w:rsid w:val="25A1082B"/>
    <w:rsid w:val="25FF7D8C"/>
    <w:rsid w:val="27C2782C"/>
    <w:rsid w:val="2DEE1D15"/>
    <w:rsid w:val="2E414BC1"/>
    <w:rsid w:val="2E8310B0"/>
    <w:rsid w:val="2EF825C4"/>
    <w:rsid w:val="2F67398F"/>
    <w:rsid w:val="30066F92"/>
    <w:rsid w:val="303E6DDB"/>
    <w:rsid w:val="31F435C7"/>
    <w:rsid w:val="320A0A8A"/>
    <w:rsid w:val="3471096A"/>
    <w:rsid w:val="358C1B25"/>
    <w:rsid w:val="35E5119B"/>
    <w:rsid w:val="36512DB5"/>
    <w:rsid w:val="365448A0"/>
    <w:rsid w:val="388719E1"/>
    <w:rsid w:val="3A4032B3"/>
    <w:rsid w:val="3AEB72ED"/>
    <w:rsid w:val="3C9A469E"/>
    <w:rsid w:val="3F0163F9"/>
    <w:rsid w:val="3F543DC5"/>
    <w:rsid w:val="3F9755DA"/>
    <w:rsid w:val="44D37345"/>
    <w:rsid w:val="45F65B6A"/>
    <w:rsid w:val="46E51AD1"/>
    <w:rsid w:val="471A65B8"/>
    <w:rsid w:val="47417479"/>
    <w:rsid w:val="495F303F"/>
    <w:rsid w:val="4B5A2F2C"/>
    <w:rsid w:val="4C5A2313"/>
    <w:rsid w:val="4C7851C8"/>
    <w:rsid w:val="4CE07715"/>
    <w:rsid w:val="4D682382"/>
    <w:rsid w:val="4E9A49B8"/>
    <w:rsid w:val="4EB909A5"/>
    <w:rsid w:val="507E26D8"/>
    <w:rsid w:val="517968E1"/>
    <w:rsid w:val="51AA6E89"/>
    <w:rsid w:val="52A37AB8"/>
    <w:rsid w:val="52AB1120"/>
    <w:rsid w:val="533F7226"/>
    <w:rsid w:val="53FF1260"/>
    <w:rsid w:val="54E6312D"/>
    <w:rsid w:val="55302E55"/>
    <w:rsid w:val="56B41F3A"/>
    <w:rsid w:val="570271BB"/>
    <w:rsid w:val="57C55F66"/>
    <w:rsid w:val="58800D1D"/>
    <w:rsid w:val="58BA4873"/>
    <w:rsid w:val="58F5431B"/>
    <w:rsid w:val="5AB877E4"/>
    <w:rsid w:val="5E9F0444"/>
    <w:rsid w:val="618F6B23"/>
    <w:rsid w:val="63CB2DAC"/>
    <w:rsid w:val="64442BFA"/>
    <w:rsid w:val="64DE2FEA"/>
    <w:rsid w:val="65440B0A"/>
    <w:rsid w:val="6C1D530E"/>
    <w:rsid w:val="6C2B6A73"/>
    <w:rsid w:val="6C5B242F"/>
    <w:rsid w:val="6D5A756C"/>
    <w:rsid w:val="6DCF605A"/>
    <w:rsid w:val="6E170A19"/>
    <w:rsid w:val="6EF87F03"/>
    <w:rsid w:val="6F1E7303"/>
    <w:rsid w:val="6F241F65"/>
    <w:rsid w:val="6FF666DC"/>
    <w:rsid w:val="71260D69"/>
    <w:rsid w:val="71722845"/>
    <w:rsid w:val="731E2740"/>
    <w:rsid w:val="73472613"/>
    <w:rsid w:val="75301909"/>
    <w:rsid w:val="76114074"/>
    <w:rsid w:val="76C410FF"/>
    <w:rsid w:val="76E01F6B"/>
    <w:rsid w:val="7817093B"/>
    <w:rsid w:val="7A5C1957"/>
    <w:rsid w:val="7BCE3243"/>
    <w:rsid w:val="7C326D6B"/>
    <w:rsid w:val="7C9E5047"/>
    <w:rsid w:val="7E0F60D5"/>
    <w:rsid w:val="7E6671CE"/>
    <w:rsid w:val="AFB98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2713</Words>
  <Characters>3026</Characters>
  <Lines>0</Lines>
  <Paragraphs>0</Paragraphs>
  <TotalTime>34</TotalTime>
  <ScaleCrop>false</ScaleCrop>
  <LinksUpToDate>false</LinksUpToDate>
  <CharactersWithSpaces>3028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2021-01-11T17:36:00Z</dcterms:created>
  <dc:creator>大海</dc:creator>
  <cp:lastModifiedBy>Vapaus.</cp:lastModifiedBy>
  <cp:lastPrinted>2022-06-09T07:41:18Z</cp:lastPrinted>
  <dcterms:modified xsi:type="dcterms:W3CDTF">2022-06-09T07:41:22Z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2BF01EF2C7024EC89BD56650037C48D2</vt:lpwstr>
  </property>
</Properties>
</file>