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b/>
          <w:bCs/>
          <w:kern w:val="2"/>
          <w:sz w:val="32"/>
          <w:szCs w:val="32"/>
          <w:lang w:val="en-US" w:eastAsia="zh-CN" w:bidi="ar"/>
        </w:rPr>
        <w:t>盐池县大水坑、惠安堡、高沙窝污水处理特许经营项目前期咨询费2</w:t>
      </w:r>
      <w:r>
        <w:rPr>
          <w:rFonts w:hint="eastAsia" w:asciiTheme="minorEastAsia" w:hAnsiTheme="minorEastAsia" w:cstheme="minorEastAsia"/>
          <w:b/>
          <w:bCs/>
          <w:kern w:val="2"/>
          <w:sz w:val="32"/>
          <w:szCs w:val="32"/>
          <w:lang w:val="en-US" w:eastAsia="zh-CN" w:bidi="ar"/>
        </w:rPr>
        <w:t>020</w:t>
      </w:r>
      <w:r>
        <w:rPr>
          <w:rFonts w:hint="eastAsia" w:asciiTheme="minorEastAsia" w:hAnsiTheme="minorEastAsia" w:eastAsiaTheme="minorEastAsia" w:cstheme="minorEastAsia"/>
          <w:b/>
          <w:bCs/>
          <w:kern w:val="2"/>
          <w:sz w:val="32"/>
          <w:szCs w:val="32"/>
          <w:lang w:val="en-US" w:eastAsia="zh-CN" w:bidi="ar"/>
        </w:rPr>
        <w:t>年度绩效自评报告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0000FF"/>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40" w:lineRule="auto"/>
        <w:ind w:leftChars="0" w:firstLine="643" w:firstLineChars="200"/>
        <w:jc w:val="left"/>
        <w:textAlignment w:val="auto"/>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一、绩效目标批复下达情况：</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（一）年初批复下</w:t>
      </w:r>
      <w:r>
        <w:rPr>
          <w:rFonts w:hint="eastAsia" w:asciiTheme="minorEastAsia" w:hAnsiTheme="minorEastAsia" w:eastAsiaTheme="minorEastAsia" w:cstheme="minorEastAsia"/>
          <w:kern w:val="2"/>
          <w:sz w:val="28"/>
          <w:szCs w:val="28"/>
          <w:lang w:val="en-US" w:eastAsia="zh-CN" w:bidi="ar"/>
        </w:rPr>
        <w:t>达盐池县大水坑、惠安堡、高沙窝污水处理特许经营项目前期咨询费</w:t>
      </w:r>
      <w:r>
        <w:rPr>
          <w:rFonts w:hint="eastAsia" w:asciiTheme="minorEastAsia" w:hAnsiTheme="minorEastAsia" w:eastAsiaTheme="minorEastAsia" w:cstheme="minorEastAsia"/>
          <w:sz w:val="28"/>
          <w:szCs w:val="28"/>
          <w:lang w:eastAsia="zh-CN"/>
        </w:rPr>
        <w:t>资金预算和绩效目标情况。</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sz w:val="28"/>
          <w:szCs w:val="28"/>
          <w:highlight w:val="green"/>
          <w:lang w:eastAsia="zh-CN"/>
        </w:rPr>
      </w:pPr>
      <w:r>
        <w:rPr>
          <w:rFonts w:hint="eastAsia" w:asciiTheme="minorEastAsia" w:hAnsiTheme="minorEastAsia" w:eastAsiaTheme="minorEastAsia" w:cstheme="minorEastAsia"/>
          <w:sz w:val="28"/>
          <w:szCs w:val="28"/>
          <w:lang w:eastAsia="zh-CN"/>
        </w:rPr>
        <w:t>20</w:t>
      </w:r>
      <w:r>
        <w:rPr>
          <w:rFonts w:hint="eastAsia" w:asciiTheme="minorEastAsia" w:hAnsiTheme="minorEastAsia" w:eastAsiaTheme="minorEastAsia" w:cstheme="minorEastAsia"/>
          <w:sz w:val="28"/>
          <w:szCs w:val="28"/>
          <w:lang w:val="en-US" w:eastAsia="zh-CN"/>
        </w:rPr>
        <w:t>20</w:t>
      </w:r>
      <w:r>
        <w:rPr>
          <w:rFonts w:hint="eastAsia" w:asciiTheme="minorEastAsia" w:hAnsiTheme="minorEastAsia" w:eastAsiaTheme="minorEastAsia" w:cstheme="minorEastAsia"/>
          <w:sz w:val="28"/>
          <w:szCs w:val="28"/>
          <w:lang w:eastAsia="zh-CN"/>
        </w:rPr>
        <w:t>年下达我局</w:t>
      </w:r>
      <w:r>
        <w:rPr>
          <w:rFonts w:hint="eastAsia" w:asciiTheme="minorEastAsia" w:hAnsiTheme="minorEastAsia" w:eastAsiaTheme="minorEastAsia" w:cstheme="minorEastAsia"/>
          <w:kern w:val="2"/>
          <w:sz w:val="28"/>
          <w:szCs w:val="28"/>
          <w:lang w:val="en-US" w:eastAsia="zh-CN" w:bidi="ar"/>
        </w:rPr>
        <w:t>盐池县大水坑、惠安堡、高沙窝污水处理特许经营项目前期咨询费</w:t>
      </w:r>
      <w:r>
        <w:rPr>
          <w:rFonts w:hint="eastAsia" w:asciiTheme="minorEastAsia" w:hAnsiTheme="minorEastAsia" w:eastAsiaTheme="minorEastAsia" w:cstheme="minorEastAsia"/>
          <w:sz w:val="28"/>
          <w:szCs w:val="28"/>
          <w:lang w:eastAsia="zh-CN"/>
        </w:rPr>
        <w:t>共</w:t>
      </w:r>
      <w:r>
        <w:rPr>
          <w:rFonts w:hint="eastAsia" w:asciiTheme="minorEastAsia" w:hAnsiTheme="minorEastAsia" w:eastAsiaTheme="minorEastAsia" w:cstheme="minorEastAsia"/>
          <w:sz w:val="28"/>
          <w:szCs w:val="28"/>
          <w:lang w:val="en-US" w:eastAsia="zh-CN"/>
        </w:rPr>
        <w:t>40.00</w:t>
      </w:r>
      <w:r>
        <w:rPr>
          <w:rFonts w:hint="eastAsia" w:asciiTheme="minorEastAsia" w:hAnsiTheme="minorEastAsia" w:eastAsiaTheme="minorEastAsia" w:cstheme="minorEastAsia"/>
          <w:sz w:val="28"/>
          <w:szCs w:val="28"/>
          <w:lang w:eastAsia="zh-CN"/>
        </w:rPr>
        <w:t>万元。主要绩效目标：年度内做好服务区域范围内的污水处理工作，出水水质合格率达到100%，改善水体水质，改善盐池县饮用水水源，改善经济发展环境，增加城市可持续发展的动力</w:t>
      </w:r>
      <w:r>
        <w:rPr>
          <w:rFonts w:hint="eastAsia" w:asciiTheme="minorEastAsia" w:hAnsiTheme="minorEastAsia" w:eastAsiaTheme="minorEastAsia" w:cstheme="minorEastAsia"/>
          <w:sz w:val="28"/>
          <w:szCs w:val="28"/>
          <w:highlight w:val="none"/>
          <w:lang w:eastAsia="zh-CN"/>
        </w:rPr>
        <w:t>。</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kern w:val="2"/>
          <w:sz w:val="28"/>
          <w:szCs w:val="28"/>
          <w:lang w:val="en-US" w:eastAsia="zh-CN" w:bidi="ar"/>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二</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kern w:val="2"/>
          <w:sz w:val="28"/>
          <w:szCs w:val="28"/>
          <w:lang w:val="en-US" w:eastAsia="zh-CN" w:bidi="ar"/>
        </w:rPr>
        <w:t>年度中由县级资金安排下达盐池县大水坑、惠安堡、高沙窝污水处理特许经营项目前期咨询费资金预算和绩效目标情况。</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根据盐池县财政局下发《盐池县2020年财政预算划转通知书》（（2020）盐财预（公共预算）字第256号）文件要求。</w:t>
      </w:r>
      <w:r>
        <w:rPr>
          <w:rFonts w:hint="eastAsia" w:asciiTheme="minorEastAsia" w:hAnsiTheme="minorEastAsia" w:eastAsiaTheme="minorEastAsia" w:cstheme="minorEastAsia"/>
          <w:kern w:val="2"/>
          <w:sz w:val="28"/>
          <w:szCs w:val="28"/>
          <w:lang w:val="en-US" w:eastAsia="zh-CN" w:bidi="ar"/>
        </w:rPr>
        <w:t>盐池县大水坑、惠安堡、高沙窝污水处理特许经营项目前期咨询费</w:t>
      </w:r>
      <w:r>
        <w:rPr>
          <w:rFonts w:hint="eastAsia" w:asciiTheme="minorEastAsia" w:hAnsiTheme="minorEastAsia" w:eastAsiaTheme="minorEastAsia" w:cstheme="minorEastAsia"/>
          <w:b w:val="0"/>
          <w:bCs w:val="0"/>
          <w:color w:val="auto"/>
          <w:sz w:val="28"/>
          <w:szCs w:val="28"/>
          <w:lang w:val="en-US" w:eastAsia="zh-CN"/>
        </w:rPr>
        <w:t>资金预算安排40.00万元，全部为财政拨款，</w:t>
      </w:r>
      <w:r>
        <w:rPr>
          <w:rFonts w:hint="eastAsia" w:asciiTheme="minorEastAsia" w:hAnsiTheme="minorEastAsia" w:eastAsiaTheme="minorEastAsia" w:cstheme="minorEastAsia"/>
          <w:kern w:val="2"/>
          <w:sz w:val="28"/>
          <w:szCs w:val="28"/>
          <w:lang w:val="en-US" w:eastAsia="zh-CN" w:bidi="ar"/>
        </w:rPr>
        <w:t>盐池县大水坑、惠安堡、高沙窝污水处理特许经营项目前期咨询费</w:t>
      </w:r>
      <w:r>
        <w:rPr>
          <w:rFonts w:hint="eastAsia" w:asciiTheme="minorEastAsia" w:hAnsiTheme="minorEastAsia" w:eastAsiaTheme="minorEastAsia" w:cstheme="minorEastAsia"/>
          <w:b w:val="0"/>
          <w:bCs w:val="0"/>
          <w:color w:val="auto"/>
          <w:sz w:val="28"/>
          <w:szCs w:val="28"/>
          <w:lang w:val="en-US" w:eastAsia="zh-CN"/>
        </w:rPr>
        <w:t>2020年资金已全部到位。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643" w:firstLineChars="200"/>
        <w:jc w:val="left"/>
        <w:textAlignment w:val="auto"/>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二、绩效目标完成情况分析</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（一）资金投入情况分析</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1、项目资金到位情况分析</w:t>
      </w:r>
    </w:p>
    <w:p>
      <w:pPr>
        <w:keepNext w:val="0"/>
        <w:keepLines w:val="0"/>
        <w:pageBreakBefore w:val="0"/>
        <w:widowControl w:val="0"/>
        <w:kinsoku/>
        <w:wordWrap/>
        <w:overflowPunct/>
        <w:topLinePunct w:val="0"/>
        <w:autoSpaceDE/>
        <w:autoSpaceDN/>
        <w:bidi w:val="0"/>
        <w:adjustRightInd/>
        <w:snapToGrid/>
        <w:spacing w:line="360" w:lineRule="auto"/>
        <w:ind w:right="0" w:firstLine="560" w:firstLineChars="20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kern w:val="2"/>
          <w:sz w:val="28"/>
          <w:szCs w:val="28"/>
          <w:lang w:val="en-US" w:eastAsia="zh-CN" w:bidi="ar"/>
        </w:rPr>
        <w:t>20</w:t>
      </w:r>
      <w:r>
        <w:rPr>
          <w:rFonts w:hint="eastAsia" w:asciiTheme="minorEastAsia" w:hAnsiTheme="minorEastAsia" w:cstheme="minorEastAsia"/>
          <w:kern w:val="2"/>
          <w:sz w:val="28"/>
          <w:szCs w:val="28"/>
          <w:lang w:val="en-US" w:eastAsia="zh-CN" w:bidi="ar"/>
        </w:rPr>
        <w:t>20</w:t>
      </w:r>
      <w:r>
        <w:rPr>
          <w:rFonts w:hint="eastAsia" w:asciiTheme="minorEastAsia" w:hAnsiTheme="minorEastAsia" w:eastAsiaTheme="minorEastAsia" w:cstheme="minorEastAsia"/>
          <w:kern w:val="2"/>
          <w:sz w:val="28"/>
          <w:szCs w:val="28"/>
          <w:lang w:val="en-US" w:eastAsia="zh-CN" w:bidi="ar"/>
        </w:rPr>
        <w:t>年盐池县大水坑、惠安堡、高沙窝污水处理特许经营项目前期咨询费计划</w:t>
      </w:r>
      <w:r>
        <w:rPr>
          <w:rFonts w:hint="eastAsia" w:asciiTheme="minorEastAsia" w:hAnsiTheme="minorEastAsia" w:cstheme="minorEastAsia"/>
          <w:sz w:val="28"/>
          <w:szCs w:val="28"/>
          <w:lang w:val="en-US" w:eastAsia="zh-CN"/>
        </w:rPr>
        <w:t>资金40</w:t>
      </w:r>
      <w:r>
        <w:rPr>
          <w:rFonts w:hint="eastAsia" w:asciiTheme="minorEastAsia" w:hAnsiTheme="minorEastAsia" w:eastAsiaTheme="minorEastAsia" w:cstheme="minorEastAsia"/>
          <w:sz w:val="28"/>
          <w:szCs w:val="28"/>
          <w:lang w:val="en-US" w:eastAsia="zh-CN"/>
        </w:rPr>
        <w:t>.00</w:t>
      </w:r>
      <w:r>
        <w:rPr>
          <w:rFonts w:hint="eastAsia" w:asciiTheme="minorEastAsia" w:hAnsiTheme="minorEastAsia" w:eastAsiaTheme="minorEastAsia" w:cstheme="minorEastAsia"/>
          <w:kern w:val="2"/>
          <w:sz w:val="28"/>
          <w:szCs w:val="28"/>
          <w:lang w:val="en-US" w:eastAsia="zh-CN" w:bidi="ar"/>
        </w:rPr>
        <w:t>万元，截止2</w:t>
      </w:r>
      <w:r>
        <w:rPr>
          <w:rFonts w:hint="eastAsia" w:asciiTheme="minorEastAsia" w:hAnsiTheme="minorEastAsia" w:cstheme="minorEastAsia"/>
          <w:kern w:val="2"/>
          <w:sz w:val="28"/>
          <w:szCs w:val="28"/>
          <w:lang w:val="en-US" w:eastAsia="zh-CN" w:bidi="ar"/>
        </w:rPr>
        <w:t>020</w:t>
      </w:r>
      <w:r>
        <w:rPr>
          <w:rFonts w:hint="eastAsia" w:asciiTheme="minorEastAsia" w:hAnsiTheme="minorEastAsia" w:eastAsiaTheme="minorEastAsia" w:cstheme="minorEastAsia"/>
          <w:kern w:val="2"/>
          <w:sz w:val="28"/>
          <w:szCs w:val="28"/>
          <w:lang w:val="en-US" w:eastAsia="zh-CN" w:bidi="ar"/>
        </w:rPr>
        <w:t>年度，到位资金</w:t>
      </w:r>
      <w:r>
        <w:rPr>
          <w:rFonts w:hint="eastAsia" w:asciiTheme="minorEastAsia" w:hAnsiTheme="minorEastAsia" w:cstheme="minorEastAsia"/>
          <w:kern w:val="2"/>
          <w:sz w:val="28"/>
          <w:szCs w:val="28"/>
          <w:lang w:val="en-US" w:eastAsia="zh-CN" w:bidi="ar"/>
        </w:rPr>
        <w:t>40.00</w:t>
      </w:r>
      <w:r>
        <w:rPr>
          <w:rFonts w:hint="eastAsia" w:asciiTheme="minorEastAsia" w:hAnsiTheme="minorEastAsia" w:eastAsiaTheme="minorEastAsia" w:cstheme="minorEastAsia"/>
          <w:kern w:val="2"/>
          <w:sz w:val="28"/>
          <w:szCs w:val="28"/>
          <w:lang w:val="en-US" w:eastAsia="zh-CN" w:bidi="ar"/>
        </w:rPr>
        <w:t>万元，资金到位率100%。</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2、项目资金执行情况分析</w:t>
      </w:r>
    </w:p>
    <w:p>
      <w:pPr>
        <w:keepNext w:val="0"/>
        <w:keepLines w:val="0"/>
        <w:pageBreakBefore w:val="0"/>
        <w:widowControl w:val="0"/>
        <w:kinsoku/>
        <w:wordWrap/>
        <w:overflowPunct/>
        <w:topLinePunct w:val="0"/>
        <w:autoSpaceDE/>
        <w:autoSpaceDN/>
        <w:bidi w:val="0"/>
        <w:adjustRightInd/>
        <w:snapToGrid/>
        <w:spacing w:line="360" w:lineRule="auto"/>
        <w:ind w:right="0" w:firstLine="560" w:firstLineChars="200"/>
        <w:jc w:val="both"/>
        <w:textAlignment w:val="auto"/>
        <w:outlineLvl w:val="9"/>
        <w:rPr>
          <w:rFonts w:hint="eastAsia" w:asciiTheme="minorEastAsia" w:hAnsiTheme="minorEastAsia" w:eastAsiaTheme="minorEastAsia" w:cstheme="minorEastAsia"/>
          <w:kern w:val="2"/>
          <w:sz w:val="28"/>
          <w:szCs w:val="28"/>
          <w:lang w:val="en-US" w:eastAsia="zh-CN" w:bidi="ar"/>
        </w:rPr>
      </w:pPr>
      <w:r>
        <w:rPr>
          <w:rFonts w:hint="eastAsia" w:asciiTheme="minorEastAsia" w:hAnsiTheme="minorEastAsia" w:eastAsiaTheme="minorEastAsia" w:cstheme="minorEastAsia"/>
          <w:kern w:val="2"/>
          <w:sz w:val="28"/>
          <w:szCs w:val="28"/>
          <w:lang w:val="en-US" w:eastAsia="zh-CN" w:bidi="ar"/>
        </w:rPr>
        <w:t>20</w:t>
      </w:r>
      <w:r>
        <w:rPr>
          <w:rFonts w:hint="eastAsia" w:asciiTheme="minorEastAsia" w:hAnsiTheme="minorEastAsia" w:cstheme="minorEastAsia"/>
          <w:kern w:val="2"/>
          <w:sz w:val="28"/>
          <w:szCs w:val="28"/>
          <w:lang w:val="en-US" w:eastAsia="zh-CN" w:bidi="ar"/>
        </w:rPr>
        <w:t>20</w:t>
      </w:r>
      <w:r>
        <w:rPr>
          <w:rFonts w:hint="eastAsia" w:asciiTheme="minorEastAsia" w:hAnsiTheme="minorEastAsia" w:eastAsiaTheme="minorEastAsia" w:cstheme="minorEastAsia"/>
          <w:kern w:val="2"/>
          <w:sz w:val="28"/>
          <w:szCs w:val="28"/>
          <w:lang w:val="en-US" w:eastAsia="zh-CN" w:bidi="ar"/>
        </w:rPr>
        <w:t>年盐池县大水坑、惠安堡、高沙窝污水处理特许经营项目前期咨询费预算资金已全部安排，20</w:t>
      </w:r>
      <w:r>
        <w:rPr>
          <w:rFonts w:hint="eastAsia" w:asciiTheme="minorEastAsia" w:hAnsiTheme="minorEastAsia" w:cstheme="minorEastAsia"/>
          <w:kern w:val="2"/>
          <w:sz w:val="28"/>
          <w:szCs w:val="28"/>
          <w:lang w:val="en-US" w:eastAsia="zh-CN" w:bidi="ar"/>
        </w:rPr>
        <w:t>20年</w:t>
      </w:r>
      <w:r>
        <w:rPr>
          <w:rFonts w:hint="eastAsia" w:asciiTheme="minorEastAsia" w:hAnsiTheme="minorEastAsia" w:eastAsiaTheme="minorEastAsia" w:cstheme="minorEastAsia"/>
          <w:kern w:val="2"/>
          <w:sz w:val="28"/>
          <w:szCs w:val="28"/>
          <w:lang w:val="en-US" w:eastAsia="zh-CN" w:bidi="ar"/>
        </w:rPr>
        <w:t>实际总支出为</w:t>
      </w:r>
      <w:r>
        <w:rPr>
          <w:rFonts w:hint="eastAsia" w:asciiTheme="minorEastAsia" w:hAnsiTheme="minorEastAsia" w:cstheme="minorEastAsia"/>
          <w:sz w:val="28"/>
          <w:szCs w:val="28"/>
          <w:lang w:val="en-US" w:eastAsia="zh-CN"/>
        </w:rPr>
        <w:t>0.00</w:t>
      </w:r>
      <w:r>
        <w:rPr>
          <w:rFonts w:hint="eastAsia" w:asciiTheme="minorEastAsia" w:hAnsiTheme="minorEastAsia" w:eastAsiaTheme="minorEastAsia" w:cstheme="minorEastAsia"/>
          <w:kern w:val="2"/>
          <w:sz w:val="28"/>
          <w:szCs w:val="28"/>
          <w:lang w:val="en-US" w:eastAsia="zh-CN" w:bidi="ar"/>
        </w:rPr>
        <w:t>万元，结余</w:t>
      </w:r>
      <w:r>
        <w:rPr>
          <w:rFonts w:hint="eastAsia" w:asciiTheme="minorEastAsia" w:hAnsiTheme="minorEastAsia" w:cstheme="minorEastAsia"/>
          <w:kern w:val="2"/>
          <w:sz w:val="28"/>
          <w:szCs w:val="28"/>
          <w:lang w:val="en-US" w:eastAsia="zh-CN" w:bidi="ar"/>
        </w:rPr>
        <w:t>40.00</w:t>
      </w:r>
      <w:r>
        <w:rPr>
          <w:rFonts w:hint="eastAsia" w:asciiTheme="minorEastAsia" w:hAnsiTheme="minorEastAsia" w:eastAsiaTheme="minorEastAsia" w:cstheme="minorEastAsia"/>
          <w:kern w:val="2"/>
          <w:sz w:val="28"/>
          <w:szCs w:val="28"/>
          <w:lang w:val="en-US" w:eastAsia="zh-CN" w:bidi="ar"/>
        </w:rPr>
        <w:t>万元，资金执行率</w:t>
      </w:r>
      <w:r>
        <w:rPr>
          <w:rFonts w:hint="eastAsia" w:asciiTheme="minorEastAsia" w:hAnsiTheme="minorEastAsia" w:cstheme="minorEastAsia"/>
          <w:kern w:val="2"/>
          <w:sz w:val="28"/>
          <w:szCs w:val="28"/>
          <w:lang w:val="en-US" w:eastAsia="zh-CN" w:bidi="ar"/>
        </w:rPr>
        <w:t>0.00</w:t>
      </w:r>
      <w:r>
        <w:rPr>
          <w:rFonts w:hint="eastAsia" w:asciiTheme="minorEastAsia" w:hAnsiTheme="minorEastAsia" w:eastAsiaTheme="minorEastAsia" w:cstheme="minorEastAsia"/>
          <w:kern w:val="2"/>
          <w:sz w:val="28"/>
          <w:szCs w:val="28"/>
          <w:lang w:val="en-US" w:eastAsia="zh-CN" w:bidi="ar"/>
        </w:rPr>
        <w:t>%（</w:t>
      </w:r>
      <w:r>
        <w:rPr>
          <w:rFonts w:hint="eastAsia" w:asciiTheme="minorEastAsia" w:hAnsiTheme="minorEastAsia" w:cstheme="minorEastAsia"/>
          <w:kern w:val="2"/>
          <w:sz w:val="28"/>
          <w:szCs w:val="28"/>
          <w:lang w:val="en-US" w:eastAsia="zh-CN" w:bidi="ar"/>
        </w:rPr>
        <w:t>资金下达较迟，未来得及支付</w:t>
      </w:r>
      <w:r>
        <w:rPr>
          <w:rFonts w:hint="eastAsia" w:asciiTheme="minorEastAsia" w:hAnsiTheme="minorEastAsia" w:eastAsiaTheme="minorEastAsia" w:cstheme="minorEastAsia"/>
          <w:kern w:val="2"/>
          <w:sz w:val="28"/>
          <w:szCs w:val="28"/>
          <w:lang w:val="en-US" w:eastAsia="zh-CN" w:bidi="ar"/>
        </w:rPr>
        <w:t>）。</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3、项目资金管理情况分析</w:t>
      </w:r>
    </w:p>
    <w:p>
      <w:pPr>
        <w:keepNext w:val="0"/>
        <w:keepLines w:val="0"/>
        <w:pageBreakBefore w:val="0"/>
        <w:widowControl w:val="0"/>
        <w:kinsoku/>
        <w:wordWrap/>
        <w:overflowPunct/>
        <w:topLinePunct w:val="0"/>
        <w:autoSpaceDE/>
        <w:autoSpaceDN/>
        <w:bidi w:val="0"/>
        <w:adjustRightInd/>
        <w:snapToGrid/>
        <w:spacing w:line="360" w:lineRule="auto"/>
        <w:ind w:right="0" w:firstLine="560" w:firstLineChars="200"/>
        <w:jc w:val="both"/>
        <w:textAlignment w:val="auto"/>
        <w:outlineLvl w:val="9"/>
        <w:rPr>
          <w:rFonts w:hint="eastAsia" w:asciiTheme="minorEastAsia" w:hAnsiTheme="minorEastAsia" w:eastAsiaTheme="minorEastAsia" w:cstheme="minorEastAsia"/>
          <w:color w:val="0000FF"/>
          <w:sz w:val="28"/>
          <w:szCs w:val="28"/>
          <w:lang w:val="en-US" w:eastAsia="zh-CN"/>
        </w:rPr>
      </w:pPr>
      <w:r>
        <w:rPr>
          <w:rFonts w:hint="eastAsia" w:asciiTheme="minorEastAsia" w:hAnsiTheme="minorEastAsia" w:cstheme="minorEastAsia"/>
          <w:kern w:val="2"/>
          <w:sz w:val="28"/>
          <w:szCs w:val="28"/>
          <w:lang w:val="en-US" w:eastAsia="zh-CN" w:bidi="ar"/>
        </w:rPr>
        <w:t>2</w:t>
      </w:r>
      <w:r>
        <w:rPr>
          <w:rFonts w:hint="eastAsia" w:asciiTheme="minorEastAsia" w:hAnsiTheme="minorEastAsia" w:eastAsiaTheme="minorEastAsia" w:cstheme="minorEastAsia"/>
          <w:kern w:val="2"/>
          <w:sz w:val="28"/>
          <w:szCs w:val="28"/>
          <w:lang w:val="en-US" w:eastAsia="zh-CN" w:bidi="ar"/>
        </w:rPr>
        <w:t>0</w:t>
      </w:r>
      <w:r>
        <w:rPr>
          <w:rFonts w:hint="eastAsia" w:asciiTheme="minorEastAsia" w:hAnsiTheme="minorEastAsia" w:cstheme="minorEastAsia"/>
          <w:kern w:val="2"/>
          <w:sz w:val="28"/>
          <w:szCs w:val="28"/>
          <w:lang w:val="en-US" w:eastAsia="zh-CN" w:bidi="ar"/>
        </w:rPr>
        <w:t>20</w:t>
      </w:r>
      <w:r>
        <w:rPr>
          <w:rFonts w:hint="eastAsia" w:asciiTheme="minorEastAsia" w:hAnsiTheme="minorEastAsia" w:eastAsiaTheme="minorEastAsia" w:cstheme="minorEastAsia"/>
          <w:kern w:val="2"/>
          <w:sz w:val="28"/>
          <w:szCs w:val="28"/>
          <w:lang w:val="en-US" w:eastAsia="zh-CN" w:bidi="ar"/>
        </w:rPr>
        <w:t>年盐池县大水坑、惠安堡、高沙窝污水处理特许经营项目前期咨询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（二）绩效目标分析完成情况分析。</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1、产出指标完成情况分析。</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（1）数量指标：</w:t>
      </w:r>
      <w:r>
        <w:rPr>
          <w:rFonts w:hint="eastAsia" w:asciiTheme="minorEastAsia" w:hAnsiTheme="minorEastAsia" w:eastAsiaTheme="minorEastAsia" w:cstheme="minorEastAsia"/>
          <w:kern w:val="2"/>
          <w:sz w:val="28"/>
          <w:szCs w:val="28"/>
          <w:lang w:val="en-US" w:eastAsia="zh-CN" w:bidi="ar"/>
        </w:rPr>
        <w:t>盐池县大水坑、惠安堡、高沙窝污水处理特许经营项目前期咨询费</w:t>
      </w:r>
      <w:r>
        <w:rPr>
          <w:rFonts w:hint="eastAsia" w:asciiTheme="minorEastAsia" w:hAnsiTheme="minorEastAsia" w:eastAsiaTheme="minorEastAsia" w:cstheme="minorEastAsia"/>
          <w:sz w:val="28"/>
          <w:szCs w:val="28"/>
          <w:highlight w:val="none"/>
          <w:lang w:val="en-US" w:eastAsia="zh-CN"/>
        </w:rPr>
        <w:t>。污水处理特许经营招标代理，进一步提高财政资金效能，保证污水处理产品符合国家相关标准要求。</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kern w:val="2"/>
          <w:sz w:val="28"/>
          <w:szCs w:val="28"/>
          <w:lang w:val="en-US" w:eastAsia="zh-CN" w:bidi="ar"/>
        </w:rPr>
      </w:pPr>
      <w:r>
        <w:rPr>
          <w:rFonts w:hint="eastAsia" w:asciiTheme="minorEastAsia" w:hAnsiTheme="minorEastAsia" w:eastAsiaTheme="minorEastAsia" w:cstheme="minorEastAsia"/>
          <w:sz w:val="28"/>
          <w:szCs w:val="28"/>
          <w:lang w:val="en-US" w:eastAsia="zh-CN"/>
        </w:rPr>
        <w:t>（2）质量指标：</w:t>
      </w:r>
      <w:r>
        <w:rPr>
          <w:rFonts w:hint="eastAsia" w:asciiTheme="minorEastAsia" w:hAnsiTheme="minorEastAsia" w:eastAsiaTheme="minorEastAsia" w:cstheme="minorEastAsia"/>
          <w:kern w:val="2"/>
          <w:sz w:val="28"/>
          <w:szCs w:val="28"/>
          <w:lang w:val="en-US" w:eastAsia="zh-CN" w:bidi="ar"/>
        </w:rPr>
        <w:t>项目从前期准备到后期施工，严格按照施工图纸和技术规范进行施工，工程完成质量均达到设计标准，验收均为合格工程。</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sz w:val="28"/>
          <w:szCs w:val="28"/>
          <w:lang w:val="en-US" w:eastAsia="zh-CN"/>
        </w:rPr>
        <w:t>（3）时效指标：</w:t>
      </w:r>
      <w:r>
        <w:rPr>
          <w:rFonts w:hint="eastAsia" w:asciiTheme="minorEastAsia" w:hAnsiTheme="minorEastAsia" w:eastAsiaTheme="minorEastAsia" w:cstheme="minorEastAsia"/>
          <w:kern w:val="2"/>
          <w:sz w:val="28"/>
          <w:szCs w:val="28"/>
          <w:lang w:val="en-US" w:eastAsia="zh-CN" w:bidi="ar"/>
        </w:rPr>
        <w:t>盐池县大水坑、惠安堡、高沙窝污水处理特许经营项目前期咨询费</w:t>
      </w:r>
      <w:r>
        <w:rPr>
          <w:rFonts w:hint="eastAsia" w:asciiTheme="minorEastAsia" w:hAnsiTheme="minorEastAsia" w:eastAsiaTheme="minorEastAsia" w:cstheme="minorEastAsia"/>
          <w:color w:val="auto"/>
          <w:sz w:val="28"/>
          <w:szCs w:val="28"/>
          <w:lang w:val="en-US" w:eastAsia="zh-CN"/>
        </w:rPr>
        <w:t>已在规定时间内按时完成项目的实施。</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840" w:firstLineChars="3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成本指标：一是控制成本是关系减少无用消耗，提高有效投入能力，取得经济效益和社会效益的综合平衡。二是项目从开工建设到完工，正确合理指导施工，施工流程合理，通过加强工程质量管理减少返工损失。三是建立健全成本分析制度，及时进行成本分析，加强对材料、人工、机械的管理。四是在确保工程质量和安全生产的前提下，合理缩短工期，减少施工管理费用的支出，做到“集中、快速、文明”施工，提高工程效益及节约项目建设成本。</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840" w:firstLineChars="3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2、效益指标完成情况分析。</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（1）经济效益：</w:t>
      </w:r>
      <w:r>
        <w:rPr>
          <w:rFonts w:hint="eastAsia" w:asciiTheme="minorEastAsia" w:hAnsiTheme="minorEastAsia" w:eastAsiaTheme="minorEastAsia" w:cstheme="minorEastAsia"/>
          <w:kern w:val="2"/>
          <w:sz w:val="28"/>
          <w:szCs w:val="28"/>
          <w:lang w:val="en-US" w:eastAsia="zh-CN" w:bidi="ar"/>
        </w:rPr>
        <w:t>盐池县大水坑、惠安堡、高沙窝</w:t>
      </w:r>
      <w:r>
        <w:rPr>
          <w:rFonts w:hint="eastAsia" w:asciiTheme="minorEastAsia" w:hAnsiTheme="minorEastAsia" w:eastAsiaTheme="minorEastAsia" w:cstheme="minorEastAsia"/>
          <w:sz w:val="28"/>
          <w:szCs w:val="28"/>
          <w:lang w:val="en-US" w:eastAsia="zh-CN"/>
        </w:rPr>
        <w:t>污水处理工程是城市公用设施，为国民经济所作的贡献主要表现为社会产生的间接经济效益。但根据现行的排污收费制度以及污水处理服务水价，本工程的直接经济效益可以单方面从污水处理量来进行定量收费。</w:t>
      </w:r>
      <w:r>
        <w:rPr>
          <w:rFonts w:hint="eastAsia" w:asciiTheme="minorEastAsia" w:hAnsiTheme="minorEastAsia" w:eastAsiaTheme="minorEastAsia" w:cstheme="minorEastAsia"/>
          <w:kern w:val="2"/>
          <w:sz w:val="28"/>
          <w:szCs w:val="28"/>
          <w:lang w:val="en-US" w:eastAsia="zh-CN" w:bidi="ar"/>
        </w:rPr>
        <w:t>盐池县大水坑、惠安堡、高沙窝</w:t>
      </w:r>
      <w:r>
        <w:rPr>
          <w:rFonts w:hint="eastAsia" w:asciiTheme="minorEastAsia" w:hAnsiTheme="minorEastAsia" w:eastAsiaTheme="minorEastAsia" w:cstheme="minorEastAsia"/>
          <w:sz w:val="28"/>
          <w:szCs w:val="28"/>
          <w:lang w:val="en-US" w:eastAsia="zh-CN"/>
        </w:rPr>
        <w:t>污水处理厂其经济效益主要表现在改善水环境后减少因水污染而造成的经济损失等的间接效益。节省部分工业用水处理费用，减少污水分散处理运行开支，土地增值作用。污水处理厂的建设解决了区域地块开发的污水出路问题，区域水环境也将得到改善，城市的土地价值会随之而提高，从而改善投资环境，吸引外商投资。减少水污染对农业、渔业的收成以及因生活饮用水污染导致居民身体健康受到严重损害。通过污水处理厂工程的建设，可以改善给水水源，从而可以降低自来水的处理成本，可以减少城市用水费用、水质改善后，可提高某些工业产品的质量，减少不能达到特殊标准的产品量。水质改善，对农业灌溉有益，可提供符合卫生标准的灌溉水，提高农作物的产量和质量。</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kern w:val="2"/>
          <w:sz w:val="28"/>
          <w:szCs w:val="28"/>
          <w:lang w:val="en-US" w:eastAsia="zh-CN" w:bidi="ar"/>
        </w:rPr>
      </w:pPr>
      <w:r>
        <w:rPr>
          <w:rFonts w:hint="eastAsia" w:asciiTheme="minorEastAsia" w:hAnsiTheme="minorEastAsia" w:eastAsiaTheme="minorEastAsia" w:cstheme="minorEastAsia"/>
          <w:sz w:val="28"/>
          <w:szCs w:val="28"/>
          <w:lang w:val="en-US" w:eastAsia="zh-CN"/>
        </w:rPr>
        <w:t>（2）社会效益：在环境保护已成为一项基本国策的今天，水污染所引发的各种问题日益受到全社会的关注与重视，甚至对社会的安定、国民经济的持续稳定发展产生重要影响。</w:t>
      </w:r>
      <w:r>
        <w:rPr>
          <w:rFonts w:hint="eastAsia" w:asciiTheme="minorEastAsia" w:hAnsiTheme="minorEastAsia" w:eastAsiaTheme="minorEastAsia" w:cstheme="minorEastAsia"/>
          <w:kern w:val="2"/>
          <w:sz w:val="28"/>
          <w:szCs w:val="28"/>
          <w:lang w:val="en-US" w:eastAsia="zh-CN" w:bidi="ar"/>
        </w:rPr>
        <w:t>盐池县大水坑、惠安堡、高沙窝</w:t>
      </w:r>
      <w:r>
        <w:rPr>
          <w:rFonts w:hint="eastAsia" w:asciiTheme="minorEastAsia" w:hAnsiTheme="minorEastAsia" w:eastAsiaTheme="minorEastAsia" w:cstheme="minorEastAsia"/>
          <w:sz w:val="28"/>
          <w:szCs w:val="28"/>
          <w:lang w:val="en-US" w:eastAsia="zh-CN"/>
        </w:rPr>
        <w:t>污水处理，对临川区区域发展战略，具有深远的意义和影响。此外，本项目的实施在提供污水处理基础设施的同时，还能提供人们休闲娱乐的场所，进一步树立临川区的良好形象。城市环境条件的改善也将使人民更加安居乐业，促进社会更加安定团结、促进社会的经济发展更进一步。改善水体环境质量，可以预防各种传染病、公害病，提高了人民的身体健康水平；改善了投资环境，促使地价升值，增加投资项目；减少水环境的污染，保护水环境；使临川区城区容貌更清洁，更卫生，改善城市投资环境；人民群众积极参与环保，支持污水处理项目建设，节约用水和环保意识不断得到加强。</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sz w:val="28"/>
          <w:szCs w:val="28"/>
          <w:lang w:val="en-US" w:eastAsia="zh-CN"/>
        </w:rPr>
        <w:t>（3）生态效益：工程的实施对缓解地区水环境污染状况有积极的促进作用。作为一项重要的城镇基础设施，污水处理工程的建设将有效地改善城市的环境条件，对改善居民生活条件、提高市民健康水平有十分重要的作用。</w:t>
      </w:r>
      <w:r>
        <w:rPr>
          <w:rFonts w:hint="eastAsia" w:asciiTheme="minorEastAsia" w:hAnsiTheme="minorEastAsia" w:eastAsiaTheme="minorEastAsia" w:cstheme="minorEastAsia"/>
          <w:color w:val="auto"/>
          <w:sz w:val="28"/>
          <w:szCs w:val="28"/>
          <w:lang w:val="en-US" w:eastAsia="zh-CN"/>
        </w:rPr>
        <w:t>缓解交通问题与污水问题，从一定程度上减轻生态环境破坏，维持区域生态平衡，同时最重要的是可以防止水土流失，大大提升生态环境质量。</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可持续影响：缓解污水对盐池县环境的影响，为盐池县的良性循环与可持续发展提供坚实的保障，提升改造工程是十分重要的、必要的，是当务之急，它的建设与顺利运行必将产生巨大的环境效益、社会效益和一定的经济效益。</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3、满意度指标完成情况分析</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自2020年以来，我单位对全部项目实施和整体社会效益及满意度等各项指标调查，基本情况是群众对项目实施满意度达93%。项目社会效益和经济效益明显，达到了预期效果。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643" w:firstLineChars="200"/>
        <w:jc w:val="both"/>
        <w:textAlignment w:val="auto"/>
        <w:rPr>
          <w:rFonts w:hint="eastAsia" w:asciiTheme="minorEastAsia" w:hAnsiTheme="minorEastAsia" w:cstheme="minorEastAsia"/>
          <w:b/>
          <w:bCs/>
          <w:sz w:val="32"/>
          <w:szCs w:val="32"/>
          <w:lang w:val="en-US" w:eastAsia="zh-CN"/>
        </w:rPr>
      </w:pPr>
      <w:r>
        <w:rPr>
          <w:rFonts w:hint="eastAsia" w:asciiTheme="minorEastAsia" w:hAnsiTheme="minorEastAsia" w:cstheme="minorEastAsia"/>
          <w:b/>
          <w:bCs/>
          <w:sz w:val="32"/>
          <w:szCs w:val="32"/>
          <w:lang w:val="en-US" w:eastAsia="zh-CN"/>
        </w:rPr>
        <w:t>三、偏离绩效目标的原因和下一步改进措施</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560" w:firstLineChars="200"/>
        <w:textAlignment w:val="auto"/>
        <w:rPr>
          <w:rFonts w:hint="eastAsia" w:asciiTheme="minorEastAsia" w:hAnsiTheme="minorEastAsia" w:eastAsiaTheme="minorEastAsia" w:cstheme="minorEastAsia"/>
          <w:color w:val="auto"/>
          <w:sz w:val="28"/>
          <w:szCs w:val="28"/>
          <w:lang w:val="en-US"/>
        </w:rPr>
      </w:pPr>
      <w:r>
        <w:rPr>
          <w:rFonts w:hint="eastAsia" w:asciiTheme="minorEastAsia" w:hAnsiTheme="minorEastAsia" w:eastAsiaTheme="minorEastAsia" w:cstheme="minorEastAsia"/>
          <w:color w:val="auto"/>
          <w:sz w:val="28"/>
          <w:szCs w:val="28"/>
          <w:lang w:val="en-US"/>
        </w:rPr>
        <w:t>20</w:t>
      </w:r>
      <w:r>
        <w:rPr>
          <w:rFonts w:hint="eastAsia" w:asciiTheme="minorEastAsia" w:hAnsiTheme="minorEastAsia" w:eastAsiaTheme="minorEastAsia" w:cstheme="minorEastAsia"/>
          <w:color w:val="auto"/>
          <w:sz w:val="28"/>
          <w:szCs w:val="28"/>
          <w:lang w:val="en-US" w:eastAsia="zh-CN"/>
        </w:rPr>
        <w:t>20</w:t>
      </w:r>
      <w:r>
        <w:rPr>
          <w:rFonts w:hint="eastAsia" w:asciiTheme="minorEastAsia" w:hAnsiTheme="minorEastAsia" w:eastAsiaTheme="minorEastAsia" w:cstheme="minorEastAsia"/>
          <w:color w:val="auto"/>
          <w:sz w:val="28"/>
          <w:szCs w:val="28"/>
          <w:lang w:val="en-US"/>
        </w:rPr>
        <w:t>年度</w:t>
      </w:r>
      <w:r>
        <w:rPr>
          <w:rFonts w:hint="eastAsia" w:asciiTheme="minorEastAsia" w:hAnsiTheme="minorEastAsia" w:eastAsiaTheme="minorEastAsia" w:cstheme="minorEastAsia"/>
          <w:sz w:val="28"/>
          <w:szCs w:val="28"/>
          <w:lang w:val="en-US" w:eastAsia="zh-CN"/>
        </w:rPr>
        <w:t>地方政府新增一般债券资金</w:t>
      </w:r>
      <w:r>
        <w:rPr>
          <w:rFonts w:hint="eastAsia" w:asciiTheme="minorEastAsia" w:hAnsiTheme="minorEastAsia" w:eastAsiaTheme="minorEastAsia" w:cstheme="minorEastAsia"/>
          <w:color w:val="auto"/>
          <w:sz w:val="28"/>
          <w:szCs w:val="28"/>
          <w:lang w:val="en-US"/>
        </w:rPr>
        <w:t>安排实施的</w:t>
      </w:r>
      <w:r>
        <w:rPr>
          <w:rFonts w:hint="eastAsia" w:asciiTheme="minorEastAsia" w:hAnsiTheme="minorEastAsia" w:eastAsiaTheme="minorEastAsia" w:cstheme="minorEastAsia"/>
          <w:kern w:val="2"/>
          <w:sz w:val="28"/>
          <w:szCs w:val="28"/>
          <w:lang w:val="en-US" w:eastAsia="zh-CN" w:bidi="ar"/>
        </w:rPr>
        <w:t>盐池县大水坑、惠安堡、高沙窝污水处理特许经营项目前期咨询费工程</w:t>
      </w:r>
      <w:r>
        <w:rPr>
          <w:rFonts w:hint="eastAsia" w:asciiTheme="minorEastAsia" w:hAnsiTheme="minorEastAsia" w:eastAsiaTheme="minorEastAsia" w:cstheme="minorEastAsia"/>
          <w:color w:val="auto"/>
          <w:sz w:val="28"/>
          <w:szCs w:val="28"/>
          <w:lang w:val="en-US"/>
        </w:rPr>
        <w:t>按照年度</w:t>
      </w:r>
      <w:r>
        <w:rPr>
          <w:rFonts w:hint="eastAsia" w:asciiTheme="minorEastAsia" w:hAnsiTheme="minorEastAsia" w:eastAsiaTheme="minorEastAsia" w:cstheme="minorEastAsia"/>
          <w:color w:val="auto"/>
          <w:sz w:val="28"/>
          <w:szCs w:val="28"/>
          <w:lang w:val="en-US" w:eastAsia="zh-CN"/>
        </w:rPr>
        <w:t>建设</w:t>
      </w:r>
      <w:r>
        <w:rPr>
          <w:rFonts w:hint="eastAsia" w:asciiTheme="minorEastAsia" w:hAnsiTheme="minorEastAsia" w:eastAsiaTheme="minorEastAsia" w:cstheme="minorEastAsia"/>
          <w:color w:val="auto"/>
          <w:sz w:val="28"/>
          <w:szCs w:val="28"/>
          <w:lang w:val="en-US"/>
        </w:rPr>
        <w:t>目标全部完成建设，均达到了绩效目标。</w:t>
      </w:r>
    </w:p>
    <w:p>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560" w:firstLineChars="200"/>
        <w:textAlignment w:val="auto"/>
        <w:rPr>
          <w:rFonts w:hint="eastAsia" w:asciiTheme="minorEastAsia" w:hAnsiTheme="minorEastAsia" w:eastAsiaTheme="minorEastAsia" w:cstheme="minorEastAsia"/>
          <w:color w:val="auto"/>
          <w:sz w:val="28"/>
          <w:szCs w:val="28"/>
          <w:lang w:val="en-US"/>
        </w:rPr>
      </w:pPr>
      <w:r>
        <w:rPr>
          <w:rFonts w:hint="eastAsia" w:asciiTheme="minorEastAsia" w:hAnsiTheme="minorEastAsia" w:eastAsiaTheme="minorEastAsia" w:cstheme="minorEastAsia"/>
          <w:color w:val="auto"/>
          <w:sz w:val="28"/>
          <w:szCs w:val="28"/>
          <w:lang w:val="en-US" w:eastAsia="zh-CN"/>
        </w:rPr>
        <w:t>下一步改进措施：高沙窝、惠安堡、大水坑镇进厂污水污染物</w:t>
      </w:r>
      <w:r>
        <w:rPr>
          <w:rFonts w:hint="eastAsia" w:asciiTheme="minorEastAsia" w:hAnsiTheme="minorEastAsia" w:eastAsiaTheme="minorEastAsia" w:cstheme="minorEastAsia"/>
          <w:kern w:val="2"/>
          <w:sz w:val="28"/>
          <w:szCs w:val="28"/>
          <w:lang w:val="en-US" w:eastAsia="zh-CN" w:bidi="ar"/>
        </w:rPr>
        <w:t>浓度较高，频繁超过</w:t>
      </w:r>
      <w:r>
        <w:rPr>
          <w:rFonts w:hint="eastAsia" w:asciiTheme="minorEastAsia" w:hAnsiTheme="minorEastAsia" w:eastAsiaTheme="minorEastAsia" w:cstheme="minorEastAsia"/>
          <w:color w:val="auto"/>
          <w:sz w:val="28"/>
          <w:szCs w:val="28"/>
          <w:lang w:val="en-US" w:eastAsia="zh-CN"/>
        </w:rPr>
        <w:t>《污水排入城镇下水道水质标准》（GB/T31962-2015），为保证污水处理厂的正常运转，有关部门需对厂外管网进行摸排，对超标排放现象进行整改，接入污水收集管道的水质要求必须符合《污水排入城镇下水道水质标准》（GB/T31962-2015）中的规定。尽快开展详细地质勘察工作，以便能更好的进行下一步工程设计。尽快开展推荐方案的环评及排放口论证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Theme="minorEastAsia" w:hAnsiTheme="minorEastAsia" w:cstheme="minorEastAsia"/>
          <w:b/>
          <w:bCs/>
          <w:sz w:val="32"/>
          <w:szCs w:val="32"/>
          <w:lang w:val="en-US" w:eastAsia="zh-CN"/>
        </w:rPr>
      </w:pPr>
      <w:r>
        <w:rPr>
          <w:rFonts w:hint="eastAsia" w:asciiTheme="minorEastAsia" w:hAnsiTheme="minorEastAsia" w:cstheme="minorEastAsia"/>
          <w:b/>
          <w:bCs/>
          <w:sz w:val="32"/>
          <w:szCs w:val="32"/>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360" w:lineRule="auto"/>
        <w:ind w:left="0" w:right="0" w:firstLine="560" w:firstLineChars="200"/>
        <w:jc w:val="both"/>
        <w:textAlignment w:val="auto"/>
        <w:rPr>
          <w:rFonts w:hint="eastAsia" w:asciiTheme="minorEastAsia" w:hAnsiTheme="minorEastAsia" w:eastAsiaTheme="minorEastAsia" w:cstheme="minorEastAsia"/>
          <w:color w:val="auto"/>
          <w:kern w:val="2"/>
          <w:sz w:val="28"/>
          <w:szCs w:val="28"/>
          <w:lang w:val="en-US" w:eastAsia="zh-CN" w:bidi="ar"/>
        </w:rPr>
      </w:pPr>
      <w:r>
        <w:rPr>
          <w:rFonts w:hint="eastAsia" w:asciiTheme="minorEastAsia" w:hAnsiTheme="minorEastAsia" w:eastAsiaTheme="minorEastAsia" w:cstheme="minorEastAsia"/>
          <w:color w:val="auto"/>
          <w:kern w:val="2"/>
          <w:sz w:val="28"/>
          <w:szCs w:val="28"/>
          <w:lang w:val="en-US" w:eastAsia="zh-CN" w:bidi="ar"/>
        </w:rPr>
        <w:t>1、我单位根据项目绩效评价指标对各项目量化评价，自评指标得分</w:t>
      </w:r>
      <w:r>
        <w:rPr>
          <w:rFonts w:hint="eastAsia" w:asciiTheme="minorEastAsia" w:hAnsiTheme="minorEastAsia" w:cstheme="minorEastAsia"/>
          <w:color w:val="auto"/>
          <w:kern w:val="2"/>
          <w:sz w:val="28"/>
          <w:szCs w:val="28"/>
          <w:lang w:val="en-US" w:eastAsia="zh-CN" w:bidi="ar"/>
        </w:rPr>
        <w:t>92</w:t>
      </w:r>
      <w:r>
        <w:rPr>
          <w:rFonts w:hint="eastAsia" w:asciiTheme="minorEastAsia" w:hAnsiTheme="minorEastAsia" w:eastAsiaTheme="minorEastAsia" w:cstheme="minorEastAsia"/>
          <w:color w:val="auto"/>
          <w:kern w:val="2"/>
          <w:sz w:val="28"/>
          <w:szCs w:val="28"/>
          <w:lang w:val="en-US" w:eastAsia="zh-CN" w:bidi="ar"/>
        </w:rPr>
        <w:t>分。</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left="0" w:right="0" w:firstLine="560" w:firstLineChars="200"/>
        <w:jc w:val="both"/>
        <w:textAlignment w:val="auto"/>
        <w:rPr>
          <w:rFonts w:hint="eastAsia" w:asciiTheme="minorEastAsia" w:hAnsiTheme="minorEastAsia" w:eastAsiaTheme="minorEastAsia" w:cstheme="minorEastAsia"/>
          <w:color w:val="auto"/>
          <w:kern w:val="2"/>
          <w:sz w:val="28"/>
          <w:szCs w:val="28"/>
          <w:lang w:val="en-US" w:eastAsia="zh-CN" w:bidi="ar"/>
        </w:rPr>
      </w:pPr>
      <w:r>
        <w:rPr>
          <w:rFonts w:hint="eastAsia" w:asciiTheme="minorEastAsia" w:hAnsiTheme="minorEastAsia" w:eastAsiaTheme="minorEastAsia" w:cstheme="minorEastAsia"/>
          <w:color w:val="auto"/>
          <w:kern w:val="2"/>
          <w:sz w:val="28"/>
          <w:szCs w:val="28"/>
          <w:lang w:val="en-US" w:eastAsia="zh-CN" w:bidi="ar"/>
        </w:rPr>
        <w:t>2、项目主管部门将对绩效自评结果进行抽查，将绩效自评结果与下一年度项目预算联系，作为以后年度项目立项和经费支持的重要依据。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360" w:lineRule="auto"/>
        <w:ind w:left="0" w:right="0"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kern w:val="2"/>
          <w:sz w:val="28"/>
          <w:szCs w:val="28"/>
          <w:lang w:val="en-US" w:eastAsia="zh-CN" w:bidi="ar"/>
        </w:rPr>
        <w:t>3、项目主管部门将按照财政部门的统一要求，对绩效评价情况予以公开。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Theme="minorEastAsia" w:hAnsiTheme="minorEastAsia" w:cstheme="minorEastAsia"/>
          <w:b/>
          <w:bCs/>
          <w:sz w:val="32"/>
          <w:szCs w:val="32"/>
          <w:lang w:val="en-US" w:eastAsia="zh-CN"/>
        </w:rPr>
      </w:pPr>
      <w:r>
        <w:rPr>
          <w:rFonts w:hint="eastAsia" w:asciiTheme="minorEastAsia" w:hAnsiTheme="minorEastAsia" w:cstheme="minorEastAsia"/>
          <w:b/>
          <w:bCs/>
          <w:sz w:val="32"/>
          <w:szCs w:val="32"/>
          <w:lang w:val="en-US"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无</w:t>
      </w:r>
    </w:p>
    <w:p>
      <w:pPr>
        <w:rPr>
          <w:rFonts w:hint="eastAsia" w:asciiTheme="minorEastAsia" w:hAnsiTheme="minorEastAsia" w:eastAsiaTheme="minorEastAsia" w:cstheme="minorEastAsia"/>
          <w:sz w:val="28"/>
          <w:szCs w:val="28"/>
        </w:rPr>
      </w:pPr>
    </w:p>
    <w:sectPr>
      <w:footerReference r:id="rId3" w:type="default"/>
      <w:pgSz w:w="12240" w:h="15840"/>
      <w:pgMar w:top="1440" w:right="1800" w:bottom="1440" w:left="1800" w:header="72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8D46B7"/>
    <w:rsid w:val="01087C50"/>
    <w:rsid w:val="011F12D1"/>
    <w:rsid w:val="016B4D7B"/>
    <w:rsid w:val="01A957B5"/>
    <w:rsid w:val="030112F1"/>
    <w:rsid w:val="03501812"/>
    <w:rsid w:val="037738AA"/>
    <w:rsid w:val="03A8460A"/>
    <w:rsid w:val="03C1595B"/>
    <w:rsid w:val="03E4324F"/>
    <w:rsid w:val="045D7F65"/>
    <w:rsid w:val="04687563"/>
    <w:rsid w:val="0477221F"/>
    <w:rsid w:val="05273A83"/>
    <w:rsid w:val="054A5BC3"/>
    <w:rsid w:val="056D07A8"/>
    <w:rsid w:val="05AA71EB"/>
    <w:rsid w:val="05AC548D"/>
    <w:rsid w:val="07051C37"/>
    <w:rsid w:val="071C2CDC"/>
    <w:rsid w:val="072E1965"/>
    <w:rsid w:val="074A18F2"/>
    <w:rsid w:val="07ED76B3"/>
    <w:rsid w:val="082454A2"/>
    <w:rsid w:val="08A07CD4"/>
    <w:rsid w:val="08A85CD0"/>
    <w:rsid w:val="08CB1BFE"/>
    <w:rsid w:val="09115857"/>
    <w:rsid w:val="0A6C35E8"/>
    <w:rsid w:val="0B1C0D2D"/>
    <w:rsid w:val="0C66369B"/>
    <w:rsid w:val="0CA9750E"/>
    <w:rsid w:val="0D2B4DAC"/>
    <w:rsid w:val="0D6E05F5"/>
    <w:rsid w:val="0D8E2433"/>
    <w:rsid w:val="0DB32195"/>
    <w:rsid w:val="0E1564A7"/>
    <w:rsid w:val="0EA8541C"/>
    <w:rsid w:val="108F0B5F"/>
    <w:rsid w:val="109200B3"/>
    <w:rsid w:val="10973C43"/>
    <w:rsid w:val="10BF250E"/>
    <w:rsid w:val="115B29BC"/>
    <w:rsid w:val="11A550C6"/>
    <w:rsid w:val="12875EDF"/>
    <w:rsid w:val="12995D4B"/>
    <w:rsid w:val="133A468D"/>
    <w:rsid w:val="13753D32"/>
    <w:rsid w:val="13DD1F31"/>
    <w:rsid w:val="1405636F"/>
    <w:rsid w:val="145103F3"/>
    <w:rsid w:val="14794A0C"/>
    <w:rsid w:val="156B569D"/>
    <w:rsid w:val="15941648"/>
    <w:rsid w:val="15FF6DDB"/>
    <w:rsid w:val="1619700E"/>
    <w:rsid w:val="163E5797"/>
    <w:rsid w:val="16434702"/>
    <w:rsid w:val="16A875E2"/>
    <w:rsid w:val="17F30B51"/>
    <w:rsid w:val="184348D1"/>
    <w:rsid w:val="18935434"/>
    <w:rsid w:val="18D310B8"/>
    <w:rsid w:val="19333614"/>
    <w:rsid w:val="19724963"/>
    <w:rsid w:val="19D72DFC"/>
    <w:rsid w:val="1A2921F2"/>
    <w:rsid w:val="1A375E7E"/>
    <w:rsid w:val="1AB3586E"/>
    <w:rsid w:val="1BC3416D"/>
    <w:rsid w:val="1BDD63FB"/>
    <w:rsid w:val="1C4F3AF8"/>
    <w:rsid w:val="1C5263A4"/>
    <w:rsid w:val="1CAC2665"/>
    <w:rsid w:val="1D1970EC"/>
    <w:rsid w:val="1DB643E1"/>
    <w:rsid w:val="1E055677"/>
    <w:rsid w:val="1EB11D3E"/>
    <w:rsid w:val="1F0B2586"/>
    <w:rsid w:val="1F594CBA"/>
    <w:rsid w:val="1F772611"/>
    <w:rsid w:val="1FA41B66"/>
    <w:rsid w:val="2026353F"/>
    <w:rsid w:val="2029619E"/>
    <w:rsid w:val="20337450"/>
    <w:rsid w:val="20367755"/>
    <w:rsid w:val="203B71EF"/>
    <w:rsid w:val="20F14542"/>
    <w:rsid w:val="226C478D"/>
    <w:rsid w:val="230A7C5E"/>
    <w:rsid w:val="23AF4823"/>
    <w:rsid w:val="248D46B7"/>
    <w:rsid w:val="249F6918"/>
    <w:rsid w:val="24A2218B"/>
    <w:rsid w:val="24BE6E3D"/>
    <w:rsid w:val="2502001C"/>
    <w:rsid w:val="25E2582D"/>
    <w:rsid w:val="26F60D4E"/>
    <w:rsid w:val="27132AAE"/>
    <w:rsid w:val="27FC7BA9"/>
    <w:rsid w:val="280866C3"/>
    <w:rsid w:val="283A4B3C"/>
    <w:rsid w:val="298017EE"/>
    <w:rsid w:val="2996435F"/>
    <w:rsid w:val="29A50E7D"/>
    <w:rsid w:val="2B7E534A"/>
    <w:rsid w:val="2D30074F"/>
    <w:rsid w:val="2D58497D"/>
    <w:rsid w:val="2D6B7573"/>
    <w:rsid w:val="2DF03E60"/>
    <w:rsid w:val="2EF51CF3"/>
    <w:rsid w:val="30251208"/>
    <w:rsid w:val="3040080A"/>
    <w:rsid w:val="30733839"/>
    <w:rsid w:val="310B5416"/>
    <w:rsid w:val="31186D0B"/>
    <w:rsid w:val="318D5D38"/>
    <w:rsid w:val="31E749BA"/>
    <w:rsid w:val="321A2FE4"/>
    <w:rsid w:val="325609D2"/>
    <w:rsid w:val="32953FE9"/>
    <w:rsid w:val="32A15DE6"/>
    <w:rsid w:val="333B3C18"/>
    <w:rsid w:val="3358136E"/>
    <w:rsid w:val="33994DAF"/>
    <w:rsid w:val="33A43D2C"/>
    <w:rsid w:val="33C606B0"/>
    <w:rsid w:val="33F203E1"/>
    <w:rsid w:val="344C15EA"/>
    <w:rsid w:val="354E4DAF"/>
    <w:rsid w:val="35F02810"/>
    <w:rsid w:val="36424F20"/>
    <w:rsid w:val="3656503A"/>
    <w:rsid w:val="36985B56"/>
    <w:rsid w:val="37583FCD"/>
    <w:rsid w:val="377C0F02"/>
    <w:rsid w:val="37A32CA4"/>
    <w:rsid w:val="37EB3B4C"/>
    <w:rsid w:val="3808756C"/>
    <w:rsid w:val="38C4425B"/>
    <w:rsid w:val="397678E8"/>
    <w:rsid w:val="39AC7F5C"/>
    <w:rsid w:val="39DE2AA7"/>
    <w:rsid w:val="39E61A2B"/>
    <w:rsid w:val="3A0E3E56"/>
    <w:rsid w:val="3A336BD6"/>
    <w:rsid w:val="3B810625"/>
    <w:rsid w:val="3CEE0132"/>
    <w:rsid w:val="3D457D1A"/>
    <w:rsid w:val="3D85022E"/>
    <w:rsid w:val="3E275486"/>
    <w:rsid w:val="3E5549A3"/>
    <w:rsid w:val="3EA16443"/>
    <w:rsid w:val="3EE868FA"/>
    <w:rsid w:val="3F5B459E"/>
    <w:rsid w:val="3F754722"/>
    <w:rsid w:val="3FF36334"/>
    <w:rsid w:val="403C0682"/>
    <w:rsid w:val="4087591A"/>
    <w:rsid w:val="409C2E81"/>
    <w:rsid w:val="4109096F"/>
    <w:rsid w:val="416A28A6"/>
    <w:rsid w:val="41B05C6A"/>
    <w:rsid w:val="42073B42"/>
    <w:rsid w:val="4245287B"/>
    <w:rsid w:val="42650407"/>
    <w:rsid w:val="42743C3D"/>
    <w:rsid w:val="428D3E24"/>
    <w:rsid w:val="431F0685"/>
    <w:rsid w:val="43906024"/>
    <w:rsid w:val="44707B36"/>
    <w:rsid w:val="44E93576"/>
    <w:rsid w:val="45A9635B"/>
    <w:rsid w:val="46BB7BAB"/>
    <w:rsid w:val="472B06C6"/>
    <w:rsid w:val="476D07D2"/>
    <w:rsid w:val="482271E8"/>
    <w:rsid w:val="48CB77B0"/>
    <w:rsid w:val="48F80C8D"/>
    <w:rsid w:val="4A046734"/>
    <w:rsid w:val="4A766A87"/>
    <w:rsid w:val="4A773CE3"/>
    <w:rsid w:val="4A801C29"/>
    <w:rsid w:val="4A84581F"/>
    <w:rsid w:val="4B6E013A"/>
    <w:rsid w:val="4BA4501B"/>
    <w:rsid w:val="4CC9444D"/>
    <w:rsid w:val="4D332FAA"/>
    <w:rsid w:val="4DC444C6"/>
    <w:rsid w:val="4DC553B6"/>
    <w:rsid w:val="4E136472"/>
    <w:rsid w:val="50B15CAE"/>
    <w:rsid w:val="50B33B07"/>
    <w:rsid w:val="50D35807"/>
    <w:rsid w:val="51866B28"/>
    <w:rsid w:val="52457DB7"/>
    <w:rsid w:val="53BB41AD"/>
    <w:rsid w:val="53CD6865"/>
    <w:rsid w:val="54585D35"/>
    <w:rsid w:val="545F04A4"/>
    <w:rsid w:val="54750EBF"/>
    <w:rsid w:val="54BF07F5"/>
    <w:rsid w:val="558102D0"/>
    <w:rsid w:val="559B3D0E"/>
    <w:rsid w:val="56443F86"/>
    <w:rsid w:val="5665544D"/>
    <w:rsid w:val="575268BD"/>
    <w:rsid w:val="57664E75"/>
    <w:rsid w:val="57B81B2B"/>
    <w:rsid w:val="581322F7"/>
    <w:rsid w:val="592726EF"/>
    <w:rsid w:val="5A580E03"/>
    <w:rsid w:val="5AF71E09"/>
    <w:rsid w:val="5B036558"/>
    <w:rsid w:val="5B5B445E"/>
    <w:rsid w:val="5BB92B5C"/>
    <w:rsid w:val="5BD56E65"/>
    <w:rsid w:val="5BF459D1"/>
    <w:rsid w:val="5CC3055F"/>
    <w:rsid w:val="5EDC277E"/>
    <w:rsid w:val="609B292B"/>
    <w:rsid w:val="614C5308"/>
    <w:rsid w:val="61EB7841"/>
    <w:rsid w:val="62552FF1"/>
    <w:rsid w:val="62717479"/>
    <w:rsid w:val="632F41BB"/>
    <w:rsid w:val="63331F33"/>
    <w:rsid w:val="64011BC2"/>
    <w:rsid w:val="65FE1D27"/>
    <w:rsid w:val="666803D5"/>
    <w:rsid w:val="675153FC"/>
    <w:rsid w:val="67A010C8"/>
    <w:rsid w:val="682C295F"/>
    <w:rsid w:val="690E406B"/>
    <w:rsid w:val="696F6416"/>
    <w:rsid w:val="6A767496"/>
    <w:rsid w:val="6BD04DE0"/>
    <w:rsid w:val="6BDF6DBF"/>
    <w:rsid w:val="6BE20FF6"/>
    <w:rsid w:val="6DF95D56"/>
    <w:rsid w:val="6E8A5361"/>
    <w:rsid w:val="6EAE48FC"/>
    <w:rsid w:val="6EF25F73"/>
    <w:rsid w:val="70124823"/>
    <w:rsid w:val="70976906"/>
    <w:rsid w:val="71512F03"/>
    <w:rsid w:val="71520C32"/>
    <w:rsid w:val="72566024"/>
    <w:rsid w:val="72A77633"/>
    <w:rsid w:val="72F54118"/>
    <w:rsid w:val="740755C1"/>
    <w:rsid w:val="7480014B"/>
    <w:rsid w:val="74DA6BB1"/>
    <w:rsid w:val="750A6C90"/>
    <w:rsid w:val="755E162E"/>
    <w:rsid w:val="758D0C67"/>
    <w:rsid w:val="759A34BE"/>
    <w:rsid w:val="775807DA"/>
    <w:rsid w:val="779E3811"/>
    <w:rsid w:val="78193AE9"/>
    <w:rsid w:val="79012026"/>
    <w:rsid w:val="790B78DD"/>
    <w:rsid w:val="790F7EEB"/>
    <w:rsid w:val="79BD3CDF"/>
    <w:rsid w:val="7A79773E"/>
    <w:rsid w:val="7AAA0E54"/>
    <w:rsid w:val="7AB81543"/>
    <w:rsid w:val="7C235BC4"/>
    <w:rsid w:val="7C7670EB"/>
    <w:rsid w:val="7D3172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customStyle="1" w:styleId="7">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2020-09-09T02:02:00Z</dcterms:created>
  <dc:creator>lenovo</dc:creator>
  <cp:lastModifiedBy>Administrator</cp:lastModifiedBy>
  <dcterms:modified xsi:type="dcterms:W3CDTF">2021-03-19T03:49:51Z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CF6DB53E6F734F65911E91FC5BC16E6C</vt:lpwstr>
  </property>
</Properties>
</file>