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盐池县民政局效能目标管理责任制考核工作以奖代补资金2022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民政局以奖代补资金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民政局效能目标管理责任制考核工作以奖代补资金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4.2623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4.2623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民政局以奖代补资金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民政局以奖代补资金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4.2623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民政局以奖代补资金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4.2623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民政局以奖代补资金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4.2623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万元。本年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结余。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为婚姻登记处为婚姻登记购买智能交互终端等，婚姻登记完整率达100%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婚姻登记设备安装的完整性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年度按时完成婚姻登记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资金支付，及时性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为建设人民满意的服务型政府，有效满足各类市场主体和人民群众异地办事需求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，效果显著。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p/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7B6834B1"/>
    <w:rsid w:val="2E476B2A"/>
    <w:rsid w:val="352D3B38"/>
    <w:rsid w:val="7B68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937</Words>
  <Characters>996</Characters>
  <Lines>0</Lines>
  <Paragraphs>0</Paragraphs>
  <TotalTime>0</TotalTime>
  <ScaleCrop>false</ScaleCrop>
  <LinksUpToDate>false</LinksUpToDate>
  <CharactersWithSpaces>1002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2023-04-07T02:04:00Z</dcterms:created>
  <dc:creator>3349599578</dc:creator>
  <cp:lastModifiedBy>Faine</cp:lastModifiedBy>
  <dcterms:modified xsi:type="dcterms:W3CDTF">2023-04-07T09:35:43Z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A97002DEAE9F4D3FAB7C90740657B61B</vt:lpwstr>
  </property>
</Properties>
</file>