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711200</wp:posOffset>
                </wp:positionV>
                <wp:extent cx="5600065" cy="0"/>
                <wp:effectExtent l="0" t="28575" r="635" b="2857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065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15pt;margin-top:56pt;height:0pt;width:440.95pt;z-index:251658240;mso-width-relative:page;mso-height-relative:page;" filled="f" stroked="t" coordsize="21600,21600" o:gfxdata="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DDdXPb1AAAAAoBAAAPAAAAAAAAAAEAIAAAADgAAABkcnMvZG93bnJldi54bWxQSwECFAAUAAAA&#10;CACHTuJAzyekxtwBAACfAwAADgAAAAAAAAABACAAAAA5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 w:cs="宋体"/>
          <w:color w:val="FF0000"/>
          <w:kern w:val="0"/>
          <w:sz w:val="70"/>
          <w:szCs w:val="32"/>
        </w:rPr>
        <w:t>盐  池  县  财  政  局</w:t>
      </w:r>
      <w:r>
        <w:rPr>
          <w:rFonts w:hint="eastAsia" w:ascii="仿宋" w:hAnsi="仿宋" w:eastAsia="仿宋"/>
          <w:sz w:val="32"/>
          <w:szCs w:val="32"/>
        </w:rPr>
        <w:t xml:space="preserve">                              </w:t>
      </w:r>
    </w:p>
    <w:p>
      <w:pPr>
        <w:pStyle w:val="2"/>
      </w:pPr>
      <w:bookmarkStart w:id="0" w:name="_GoBack"/>
      <w:bookmarkEnd w:id="0"/>
    </w:p>
    <w:p>
      <w:pPr>
        <w:spacing w:line="1000" w:lineRule="exact"/>
        <w:jc w:val="both"/>
        <w:rPr>
          <w:rFonts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盐池县财政局关于财政一体化信息系统的正常运行维护经费202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年度绩效自评报告</w:t>
      </w:r>
    </w:p>
    <w:p>
      <w:pPr>
        <w:autoSpaceDE w:val="0"/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</w:p>
    <w:p>
      <w:pPr>
        <w:autoSpaceDE w:val="0"/>
        <w:spacing w:line="600" w:lineRule="exact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县财政局：</w:t>
      </w:r>
    </w:p>
    <w:p>
      <w:pPr>
        <w:pStyle w:val="2"/>
        <w:spacing w:before="0" w:after="0" w:line="600" w:lineRule="exact"/>
        <w:ind w:firstLine="640" w:firstLineChars="200"/>
        <w:jc w:val="both"/>
        <w:rPr>
          <w:rFonts w:ascii="仿宋_GB2312" w:hAnsi="Calibri" w:eastAsia="仿宋_GB2312" w:cs="宋体"/>
          <w:b w:val="0"/>
          <w:bCs w:val="0"/>
          <w:kern w:val="2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为进一步贯彻《盐池县全面实施预算绩效管理的实施方案（盐党办发〔2019〕75号）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，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根据《盐池县财政局关于202</w:t>
      </w:r>
      <w:r>
        <w:rPr>
          <w:rFonts w:hint="eastAsia" w:ascii="仿宋_GB2312" w:hAnsi="Calibri" w:eastAsia="仿宋_GB2312" w:cs="宋体"/>
          <w:b w:val="0"/>
          <w:bCs w:val="0"/>
          <w:kern w:val="2"/>
          <w:lang w:val="en-US" w:eastAsia="zh-CN"/>
        </w:rPr>
        <w:t>2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年部门项目支出绩效自评的通知》（盐财发〔202</w:t>
      </w:r>
      <w:r>
        <w:rPr>
          <w:rFonts w:hint="eastAsia" w:ascii="仿宋_GB2312" w:hAnsi="Calibri" w:eastAsia="仿宋_GB2312" w:cs="宋体"/>
          <w:b w:val="0"/>
          <w:bCs w:val="0"/>
          <w:kern w:val="2"/>
          <w:lang w:val="en-US" w:eastAsia="zh-CN"/>
        </w:rPr>
        <w:t>3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〕2</w:t>
      </w:r>
      <w:r>
        <w:rPr>
          <w:rFonts w:hint="eastAsia" w:ascii="仿宋_GB2312" w:hAnsi="Calibri" w:eastAsia="仿宋_GB2312" w:cs="宋体"/>
          <w:b w:val="0"/>
          <w:bCs w:val="0"/>
          <w:kern w:val="2"/>
          <w:lang w:val="en-US" w:eastAsia="zh-CN"/>
        </w:rPr>
        <w:t>7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号）文件要求，对照绩效自评内容和方法，我局开展了财政一体化信息系统的正常运行维护经费自评工作。现报告如下：</w:t>
      </w:r>
    </w:p>
    <w:p>
      <w:pPr>
        <w:pStyle w:val="2"/>
        <w:numPr>
          <w:ilvl w:val="0"/>
          <w:numId w:val="1"/>
        </w:numPr>
        <w:spacing w:before="0" w:after="0" w:line="600" w:lineRule="exact"/>
        <w:ind w:firstLine="640" w:firstLineChars="200"/>
        <w:jc w:val="both"/>
        <w:rPr>
          <w:rFonts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绩效目标下达情况</w:t>
      </w:r>
    </w:p>
    <w:p>
      <w:pPr>
        <w:pStyle w:val="2"/>
        <w:spacing w:before="0" w:after="0" w:line="600" w:lineRule="exact"/>
        <w:ind w:firstLine="640" w:firstLineChars="200"/>
        <w:jc w:val="both"/>
        <w:rPr>
          <w:rFonts w:ascii="仿宋_GB2312" w:hAnsi="Calibri" w:eastAsia="仿宋_GB2312" w:cs="宋体"/>
          <w:b w:val="0"/>
          <w:bCs w:val="0"/>
          <w:kern w:val="2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202</w:t>
      </w:r>
      <w:r>
        <w:rPr>
          <w:rFonts w:hint="eastAsia" w:ascii="仿宋_GB2312" w:hAnsi="Calibri" w:eastAsia="仿宋_GB2312" w:cs="宋体"/>
          <w:b w:val="0"/>
          <w:bCs w:val="0"/>
          <w:kern w:val="2"/>
          <w:lang w:val="en-US" w:eastAsia="zh-CN"/>
        </w:rPr>
        <w:t>2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年县财政局下达全县财政一体化信息系统的正常运行维护经费7万元。</w:t>
      </w:r>
    </w:p>
    <w:p>
      <w:pPr>
        <w:pStyle w:val="2"/>
        <w:numPr>
          <w:ilvl w:val="0"/>
          <w:numId w:val="1"/>
        </w:numPr>
        <w:spacing w:before="0" w:after="0" w:line="600" w:lineRule="exact"/>
        <w:ind w:firstLine="640" w:firstLineChars="200"/>
        <w:jc w:val="both"/>
        <w:rPr>
          <w:rFonts w:ascii="黑体" w:hAnsi="黑体" w:eastAsia="黑体" w:cs="黑体"/>
          <w:b w:val="0"/>
          <w:bCs w:val="0"/>
          <w:kern w:val="2"/>
        </w:rPr>
      </w:pPr>
      <w:r>
        <w:rPr>
          <w:rFonts w:hint="eastAsia" w:ascii="黑体" w:hAnsi="黑体" w:eastAsia="黑体" w:cs="黑体"/>
          <w:b w:val="0"/>
          <w:bCs w:val="0"/>
          <w:kern w:val="2"/>
        </w:rPr>
        <w:t>绩效目标完成情况分析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资金投入情况分析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项目资金到位情况分析</w:t>
      </w:r>
      <w:r>
        <w:rPr>
          <w:rFonts w:hint="eastAsia" w:ascii="仿宋_GB2312" w:hAnsi="Calibri" w:eastAsia="仿宋_GB2312" w:cs="宋体"/>
          <w:kern w:val="2"/>
          <w:sz w:val="32"/>
          <w:szCs w:val="32"/>
          <w:lang w:eastAsia="zh-CN"/>
        </w:rPr>
        <w:t>：通过</w:t>
      </w: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</w:rPr>
        <w:t>盐财（预）指标(202</w:t>
      </w: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</w:rPr>
        <w:t>）</w:t>
      </w: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  <w:lang w:val="en-US" w:eastAsia="zh-CN"/>
        </w:rPr>
        <w:t>344</w:t>
      </w: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</w:rPr>
        <w:t>号文件，</w:t>
      </w:r>
      <w:r>
        <w:rPr>
          <w:rFonts w:hint="eastAsia" w:ascii="仿宋_GB2312" w:hAnsi="Calibri" w:eastAsia="仿宋_GB2312" w:cs="宋体"/>
          <w:kern w:val="2"/>
          <w:sz w:val="32"/>
          <w:szCs w:val="32"/>
        </w:rPr>
        <w:t>指标金额7万元。</w:t>
      </w:r>
    </w:p>
    <w:p>
      <w:pPr>
        <w:pStyle w:val="2"/>
        <w:numPr>
          <w:ilvl w:val="0"/>
          <w:numId w:val="3"/>
        </w:numPr>
        <w:spacing w:before="0" w:after="0" w:line="600" w:lineRule="exact"/>
        <w:ind w:firstLine="640"/>
        <w:jc w:val="both"/>
        <w:rPr>
          <w:rFonts w:ascii="仿宋_GB2312" w:hAnsi="Calibri" w:eastAsia="仿宋_GB2312" w:cs="宋体"/>
          <w:b w:val="0"/>
          <w:bCs w:val="0"/>
          <w:kern w:val="2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项目资金执行情况分析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：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财政一体化信息系统的正常运行维护经费支付资金7万元。</w:t>
      </w:r>
    </w:p>
    <w:p>
      <w:pPr>
        <w:pStyle w:val="2"/>
        <w:numPr>
          <w:ilvl w:val="0"/>
          <w:numId w:val="3"/>
        </w:numPr>
        <w:spacing w:before="0" w:after="0" w:line="600" w:lineRule="exact"/>
        <w:ind w:firstLine="640"/>
        <w:jc w:val="both"/>
        <w:rPr>
          <w:rFonts w:ascii="仿宋_GB2312" w:hAnsi="Calibri" w:eastAsia="仿宋_GB2312" w:cs="宋体"/>
          <w:b w:val="0"/>
          <w:bCs w:val="0"/>
          <w:kern w:val="2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项目资金管理情况分析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：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财务严格执行资金相关管理办法进行账务处理，使全县财政一体化信息系统的正常运行维护经费资金合理使用。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总体绩效目标完成情况分析</w:t>
      </w:r>
    </w:p>
    <w:p>
      <w:p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财政一体化信息系统是财政金财工程的重要组成部分，“金财工程”以财政系统纵横三级网络为支撑，以细化的部门预算为基础，以所有财政收支全部进入国库单一账户为基本模式，以预算指标、用款计划和采购定单为预算执行的要要控制机制，以出纳环节调度集中并实现国库资金的有效调度为特征，实现财政收支全过程监管、以提高财政资金使用效益。为保障全县财政一体化信息系统的正常运行机制，财政安排维护资金7万元。</w:t>
      </w:r>
    </w:p>
    <w:p>
      <w:p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1、产出指标完成情况分析。</w:t>
      </w:r>
    </w:p>
    <w:p>
      <w:pPr>
        <w:pStyle w:val="2"/>
        <w:spacing w:before="0" w:after="0" w:line="600" w:lineRule="exact"/>
        <w:ind w:firstLine="640" w:firstLineChars="200"/>
        <w:jc w:val="both"/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（1）数量指标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：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①服务的用户单位数量100家；②服务的用户单位数量4次；③每周提供电话、传真、电子邮件等方式的服务天数5天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。</w:t>
      </w:r>
    </w:p>
    <w:p>
      <w:pPr>
        <w:pStyle w:val="2"/>
        <w:spacing w:before="0" w:after="0" w:line="600" w:lineRule="exact"/>
        <w:ind w:firstLine="640" w:firstLineChars="200"/>
        <w:jc w:val="both"/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（2）质量指标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：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确保系统软件正常运行天数占运行总天数比率＞99%；②对用户有服务请求和问题及时响应和解决时间＜2小时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。</w:t>
      </w:r>
    </w:p>
    <w:p>
      <w:pPr>
        <w:pStyle w:val="2"/>
        <w:spacing w:before="0" w:after="0" w:line="600" w:lineRule="exact"/>
        <w:ind w:firstLine="640" w:firstLineChars="200"/>
        <w:jc w:val="both"/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（3）时效指标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：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服务期202</w:t>
      </w:r>
      <w:r>
        <w:rPr>
          <w:rFonts w:hint="eastAsia" w:ascii="仿宋_GB2312" w:hAnsi="Calibri" w:eastAsia="仿宋_GB2312" w:cs="宋体"/>
          <w:b w:val="0"/>
          <w:bCs w:val="0"/>
          <w:kern w:val="2"/>
          <w:lang w:val="en-US" w:eastAsia="zh-CN"/>
        </w:rPr>
        <w:t>2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年全年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。</w:t>
      </w:r>
    </w:p>
    <w:p>
      <w:pPr>
        <w:pStyle w:val="2"/>
        <w:spacing w:before="0" w:after="0" w:line="600" w:lineRule="exact"/>
        <w:ind w:firstLine="640" w:firstLineChars="200"/>
        <w:jc w:val="both"/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（3）成本指标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：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服务费用7万元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eastAsia"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效益指标完成情况分析。</w:t>
      </w:r>
    </w:p>
    <w:p>
      <w:pPr>
        <w:pStyle w:val="2"/>
        <w:numPr>
          <w:ilvl w:val="0"/>
          <w:numId w:val="0"/>
        </w:numPr>
        <w:spacing w:before="0" w:after="0" w:line="600" w:lineRule="exact"/>
        <w:ind w:firstLine="640" w:firstLineChars="200"/>
        <w:jc w:val="both"/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（</w:t>
      </w:r>
      <w:r>
        <w:rPr>
          <w:rFonts w:hint="eastAsia" w:ascii="仿宋_GB2312" w:hAnsi="Calibri" w:eastAsia="仿宋_GB2312" w:cs="宋体"/>
          <w:b w:val="0"/>
          <w:bCs w:val="0"/>
          <w:kern w:val="2"/>
          <w:lang w:val="en-US" w:eastAsia="zh-CN"/>
        </w:rPr>
        <w:t>1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）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社会效益指标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：有效节约人工成本、交通成本、银行代理成本。</w:t>
      </w:r>
    </w:p>
    <w:p>
      <w:pPr>
        <w:pStyle w:val="2"/>
        <w:numPr>
          <w:ilvl w:val="0"/>
          <w:numId w:val="0"/>
        </w:numPr>
        <w:spacing w:before="0" w:after="0" w:line="600" w:lineRule="exact"/>
        <w:ind w:firstLine="640" w:firstLineChars="200"/>
        <w:jc w:val="both"/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（2）可持续影响指标</w:t>
      </w:r>
      <w:r>
        <w:rPr>
          <w:rFonts w:hint="eastAsia" w:ascii="仿宋_GB2312" w:hAnsi="Calibri" w:eastAsia="仿宋_GB2312" w:cs="宋体"/>
          <w:b w:val="0"/>
          <w:bCs w:val="0"/>
          <w:kern w:val="2"/>
          <w:lang w:eastAsia="zh-CN"/>
        </w:rPr>
        <w:t>：进一步提高支付资金的安全性和效率。</w:t>
      </w:r>
    </w:p>
    <w:p>
      <w:pPr>
        <w:pStyle w:val="2"/>
        <w:spacing w:before="0" w:after="0" w:line="600" w:lineRule="exact"/>
        <w:ind w:left="640"/>
        <w:jc w:val="both"/>
        <w:rPr>
          <w:rFonts w:ascii="仿宋_GB2312" w:hAnsi="Calibri" w:eastAsia="仿宋_GB2312" w:cs="宋体"/>
          <w:b w:val="0"/>
          <w:bCs w:val="0"/>
          <w:kern w:val="2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>3、满意度指标完成情况分析。</w:t>
      </w:r>
    </w:p>
    <w:p>
      <w:pPr>
        <w:spacing w:line="600" w:lineRule="exact"/>
        <w:ind w:firstLine="640" w:firstLineChars="200"/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被服务单位满意率达到9</w:t>
      </w:r>
      <w:r>
        <w:rPr>
          <w:rFonts w:hint="eastAsia" w:ascii="仿宋_GB2312" w:hAnsi="Calibri" w:eastAsia="仿宋_GB2312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宋体"/>
          <w:kern w:val="2"/>
          <w:sz w:val="32"/>
          <w:szCs w:val="32"/>
        </w:rPr>
        <w:t>%。</w:t>
      </w:r>
    </w:p>
    <w:p>
      <w:pPr>
        <w:pStyle w:val="2"/>
        <w:numPr>
          <w:ilvl w:val="0"/>
          <w:numId w:val="1"/>
        </w:numPr>
        <w:spacing w:before="0" w:after="0" w:line="600" w:lineRule="exact"/>
        <w:ind w:firstLine="640" w:firstLineChars="200"/>
        <w:jc w:val="both"/>
        <w:rPr>
          <w:rFonts w:ascii="黑体" w:hAnsi="黑体" w:eastAsia="黑体" w:cs="黑体"/>
          <w:b w:val="0"/>
          <w:bCs w:val="0"/>
          <w:kern w:val="2"/>
        </w:rPr>
      </w:pPr>
      <w:r>
        <w:rPr>
          <w:rFonts w:hint="eastAsia" w:ascii="黑体" w:hAnsi="黑体" w:eastAsia="黑体" w:cs="黑体"/>
          <w:b w:val="0"/>
          <w:bCs w:val="0"/>
          <w:kern w:val="2"/>
        </w:rPr>
        <w:t>下一步改进措施</w:t>
      </w:r>
    </w:p>
    <w:p>
      <w:pPr>
        <w:spacing w:line="600" w:lineRule="exact"/>
        <w:ind w:firstLine="640" w:firstLineChars="200"/>
        <w:rPr>
          <w:rFonts w:hint="eastAsia"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对预算的执行情况全面分析，找出业务与预算之间发生差距的原因，提出改进管理的措施和建议，适时控制预算的执行，确保预算目标的完成。</w:t>
      </w:r>
    </w:p>
    <w:p>
      <w:pPr>
        <w:pStyle w:val="2"/>
        <w:numPr>
          <w:ilvl w:val="0"/>
          <w:numId w:val="0"/>
        </w:numPr>
        <w:spacing w:before="0" w:after="0" w:line="60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四、绩效自评结果拟应用和公开情况</w:t>
      </w:r>
    </w:p>
    <w:p>
      <w:pPr>
        <w:spacing w:line="600" w:lineRule="exact"/>
        <w:ind w:firstLine="680" w:firstLineChars="200"/>
        <w:rPr>
          <w:rFonts w:hint="eastAsia" w:ascii="宋体" w:hAnsi="宋体" w:eastAsia="宋体"/>
          <w:sz w:val="34"/>
          <w:szCs w:val="34"/>
        </w:rPr>
      </w:pPr>
      <w:r>
        <w:rPr>
          <w:rFonts w:hint="eastAsia" w:ascii="宋体" w:hAnsi="宋体" w:eastAsia="宋体"/>
          <w:sz w:val="34"/>
          <w:szCs w:val="34"/>
        </w:rPr>
        <w:t>（一）我单位根据项目绩效评价指标对各项目量化评价，自评指标得分</w:t>
      </w:r>
      <w:r>
        <w:rPr>
          <w:rFonts w:hint="eastAsia" w:ascii="宋体" w:hAnsi="宋体" w:eastAsia="宋体"/>
          <w:sz w:val="34"/>
          <w:szCs w:val="34"/>
          <w:lang w:val="en-US" w:eastAsia="zh-CN"/>
        </w:rPr>
        <w:t>98</w:t>
      </w:r>
      <w:r>
        <w:rPr>
          <w:rFonts w:hint="eastAsia" w:ascii="宋体" w:hAnsi="宋体" w:eastAsia="宋体"/>
          <w:sz w:val="34"/>
          <w:szCs w:val="34"/>
        </w:rPr>
        <w:t>分。</w:t>
      </w:r>
    </w:p>
    <w:p>
      <w:pPr>
        <w:spacing w:line="600" w:lineRule="exact"/>
        <w:ind w:firstLine="680" w:firstLineChars="200"/>
        <w:rPr>
          <w:rFonts w:hint="eastAsia" w:ascii="宋体" w:hAnsi="宋体" w:eastAsia="宋体"/>
          <w:sz w:val="34"/>
          <w:szCs w:val="34"/>
        </w:rPr>
      </w:pPr>
      <w:r>
        <w:rPr>
          <w:rFonts w:hint="eastAsia" w:ascii="宋体" w:hAnsi="宋体" w:eastAsia="宋体"/>
          <w:sz w:val="34"/>
          <w:szCs w:val="34"/>
        </w:rPr>
        <w:t>（二）我单位将按照财政部门的统一要求，对绩效评价情况予以公开。</w:t>
      </w:r>
    </w:p>
    <w:p>
      <w:pPr>
        <w:pStyle w:val="2"/>
        <w:numPr>
          <w:ilvl w:val="0"/>
          <w:numId w:val="0"/>
        </w:numPr>
        <w:spacing w:before="0" w:after="0" w:line="60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五、其他需要说明的问题</w:t>
      </w:r>
    </w:p>
    <w:p>
      <w:pPr>
        <w:spacing w:line="600" w:lineRule="exact"/>
        <w:ind w:firstLine="680" w:firstLineChars="200"/>
        <w:rPr>
          <w:rFonts w:hint="eastAsia" w:ascii="宋体" w:hAnsi="宋体" w:eastAsia="宋体"/>
          <w:sz w:val="34"/>
          <w:szCs w:val="34"/>
        </w:rPr>
      </w:pPr>
      <w:r>
        <w:rPr>
          <w:rFonts w:hint="eastAsia" w:ascii="宋体" w:hAnsi="宋体" w:eastAsia="宋体"/>
          <w:sz w:val="34"/>
          <w:szCs w:val="34"/>
        </w:rPr>
        <w:t>无</w:t>
      </w:r>
    </w:p>
    <w:p>
      <w:pPr>
        <w:spacing w:line="600" w:lineRule="exact"/>
        <w:ind w:firstLine="680" w:firstLineChars="200"/>
        <w:rPr>
          <w:rFonts w:hint="eastAsia" w:ascii="宋体" w:hAnsi="宋体" w:eastAsia="宋体"/>
          <w:sz w:val="34"/>
          <w:szCs w:val="34"/>
        </w:rPr>
      </w:pPr>
      <w:r>
        <w:rPr>
          <w:rFonts w:hint="eastAsia" w:ascii="宋体" w:hAnsi="宋体" w:eastAsia="宋体"/>
          <w:sz w:val="34"/>
          <w:szCs w:val="34"/>
        </w:rPr>
        <w:t>附件:部门项目支出绩效自评表</w:t>
      </w:r>
    </w:p>
    <w:p>
      <w:pPr>
        <w:pStyle w:val="2"/>
        <w:rPr>
          <w:rFonts w:hint="eastAsia"/>
        </w:rPr>
      </w:pPr>
    </w:p>
    <w:p>
      <w:pPr>
        <w:pStyle w:val="2"/>
        <w:rPr>
          <w:rFonts w:ascii="仿宋_GB2312" w:hAnsi="Calibri" w:eastAsia="仿宋_GB2312" w:cs="宋体"/>
          <w:b w:val="0"/>
          <w:bCs w:val="0"/>
          <w:kern w:val="2"/>
        </w:rPr>
      </w:pPr>
    </w:p>
    <w:p>
      <w:pPr>
        <w:pStyle w:val="2"/>
      </w:pPr>
    </w:p>
    <w:p>
      <w:pPr>
        <w:jc w:val="left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 xml:space="preserve">                       </w:t>
      </w:r>
      <w:r>
        <w:rPr>
          <w:rFonts w:hint="eastAsia" w:ascii="仿宋_GB2312" w:hAnsi="Calibri" w:eastAsia="仿宋_GB2312" w:cs="宋体"/>
          <w:kern w:val="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Calibri" w:eastAsia="仿宋_GB2312" w:cs="宋体"/>
          <w:kern w:val="2"/>
          <w:sz w:val="32"/>
          <w:szCs w:val="32"/>
        </w:rPr>
        <w:t xml:space="preserve"> 盐池县财政局</w:t>
      </w:r>
    </w:p>
    <w:p>
      <w:pPr>
        <w:pStyle w:val="2"/>
        <w:jc w:val="both"/>
        <w:rPr>
          <w:rFonts w:ascii="仿宋_GB2312" w:hAnsi="Calibri" w:eastAsia="仿宋_GB2312" w:cs="宋体"/>
          <w:b w:val="0"/>
          <w:bCs w:val="0"/>
          <w:kern w:val="2"/>
        </w:rPr>
      </w:pPr>
      <w:r>
        <w:rPr>
          <w:rFonts w:hint="eastAsia" w:ascii="仿宋_GB2312" w:hAnsi="Calibri" w:eastAsia="仿宋_GB2312" w:cs="宋体"/>
          <w:b w:val="0"/>
          <w:bCs w:val="0"/>
          <w:kern w:val="2"/>
        </w:rPr>
        <w:t xml:space="preserve">                            202</w:t>
      </w:r>
      <w:r>
        <w:rPr>
          <w:rFonts w:hint="eastAsia" w:ascii="仿宋_GB2312" w:hAnsi="Calibri" w:eastAsia="仿宋_GB2312" w:cs="宋体"/>
          <w:b w:val="0"/>
          <w:bCs w:val="0"/>
          <w:kern w:val="2"/>
          <w:lang w:val="en-US" w:eastAsia="zh-CN"/>
        </w:rPr>
        <w:t>3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年</w:t>
      </w:r>
      <w:r>
        <w:rPr>
          <w:rFonts w:hint="eastAsia" w:ascii="仿宋_GB2312" w:hAnsi="Calibri" w:eastAsia="仿宋_GB2312" w:cs="宋体"/>
          <w:b w:val="0"/>
          <w:bCs w:val="0"/>
          <w:kern w:val="2"/>
          <w:lang w:val="en-US" w:eastAsia="zh-CN"/>
        </w:rPr>
        <w:t>3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月</w:t>
      </w:r>
      <w:r>
        <w:rPr>
          <w:rFonts w:hint="eastAsia" w:ascii="仿宋_GB2312" w:hAnsi="Calibri" w:eastAsia="仿宋_GB2312" w:cs="宋体"/>
          <w:b w:val="0"/>
          <w:bCs w:val="0"/>
          <w:kern w:val="2"/>
          <w:lang w:val="en-US" w:eastAsia="zh-CN"/>
        </w:rPr>
        <w:t>22</w:t>
      </w:r>
      <w:r>
        <w:rPr>
          <w:rFonts w:hint="eastAsia" w:ascii="仿宋_GB2312" w:hAnsi="Calibri" w:eastAsia="仿宋_GB2312" w:cs="宋体"/>
          <w:b w:val="0"/>
          <w:bCs w:val="0"/>
          <w:kern w:val="2"/>
        </w:rPr>
        <w:t>日</w:t>
      </w:r>
    </w:p>
    <w:p>
      <w:pPr>
        <w:rPr>
          <w:rFonts w:ascii="仿宋_GB2312" w:hAnsi="Calibri" w:eastAsia="仿宋_GB2312" w:cs="宋体"/>
          <w:kern w:val="2"/>
          <w:sz w:val="32"/>
          <w:szCs w:val="32"/>
        </w:rPr>
      </w:pP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pStyle w:val="2"/>
      </w:pPr>
    </w:p>
    <w:sectPr>
      <w:pgSz w:w="11906" w:h="16838"/>
      <w:pgMar w:top="1157" w:right="1800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E8E41F"/>
    <w:multiLevelType w:val="singleLevel"/>
    <w:tmpl w:val="C9E8E41F"/>
    <w:lvl w:ilvl="0" w:tentative="0">
      <w:start w:val="2"/>
      <w:numFmt w:val="decimal"/>
      <w:suff w:val="nothing"/>
      <w:lvlText w:val="%1、"/>
      <w:lvlJc w:val="left"/>
      <w:rPr>
        <w:sz w:val="32"/>
        <w:szCs w:val="32"/>
      </w:rPr>
    </w:lvl>
  </w:abstractNum>
  <w:abstractNum w:abstractNumId="1">
    <w:nsid w:val="02D9030F"/>
    <w:multiLevelType w:val="singleLevel"/>
    <w:tmpl w:val="02D9030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0040D3C"/>
    <w:multiLevelType w:val="singleLevel"/>
    <w:tmpl w:val="30040D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AE69997"/>
    <w:multiLevelType w:val="singleLevel"/>
    <w:tmpl w:val="7AE6999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E4C56"/>
    <w:rsid w:val="00017B65"/>
    <w:rsid w:val="00053D5A"/>
    <w:rsid w:val="00085695"/>
    <w:rsid w:val="000D4D69"/>
    <w:rsid w:val="000D6CF9"/>
    <w:rsid w:val="000E1D74"/>
    <w:rsid w:val="000E6326"/>
    <w:rsid w:val="0016369B"/>
    <w:rsid w:val="001D034A"/>
    <w:rsid w:val="001E1F93"/>
    <w:rsid w:val="00253ED3"/>
    <w:rsid w:val="00257EDA"/>
    <w:rsid w:val="00271A82"/>
    <w:rsid w:val="00273D3F"/>
    <w:rsid w:val="00296D3A"/>
    <w:rsid w:val="00297CAD"/>
    <w:rsid w:val="002A57C3"/>
    <w:rsid w:val="002D326D"/>
    <w:rsid w:val="003818D9"/>
    <w:rsid w:val="003C27F4"/>
    <w:rsid w:val="003C5E2D"/>
    <w:rsid w:val="004E2F32"/>
    <w:rsid w:val="00561B16"/>
    <w:rsid w:val="00565D76"/>
    <w:rsid w:val="00665E4B"/>
    <w:rsid w:val="006B5F9C"/>
    <w:rsid w:val="006B7F60"/>
    <w:rsid w:val="006C46C4"/>
    <w:rsid w:val="006E29C0"/>
    <w:rsid w:val="006E2C37"/>
    <w:rsid w:val="007E1496"/>
    <w:rsid w:val="007E6382"/>
    <w:rsid w:val="00852432"/>
    <w:rsid w:val="008B27CC"/>
    <w:rsid w:val="008B6E26"/>
    <w:rsid w:val="008E19F7"/>
    <w:rsid w:val="008F5EE1"/>
    <w:rsid w:val="0094284C"/>
    <w:rsid w:val="0094348F"/>
    <w:rsid w:val="00A20575"/>
    <w:rsid w:val="00A463B1"/>
    <w:rsid w:val="00A74A71"/>
    <w:rsid w:val="00A80D7F"/>
    <w:rsid w:val="00A86207"/>
    <w:rsid w:val="00B6446B"/>
    <w:rsid w:val="00BA0DCD"/>
    <w:rsid w:val="00BD1ED4"/>
    <w:rsid w:val="00BE0D7F"/>
    <w:rsid w:val="00C120E6"/>
    <w:rsid w:val="00C46030"/>
    <w:rsid w:val="00D00718"/>
    <w:rsid w:val="00D31D82"/>
    <w:rsid w:val="00D63952"/>
    <w:rsid w:val="00E05F08"/>
    <w:rsid w:val="00E41A70"/>
    <w:rsid w:val="00E447D1"/>
    <w:rsid w:val="00E51702"/>
    <w:rsid w:val="00EB6F9F"/>
    <w:rsid w:val="00F1598C"/>
    <w:rsid w:val="00F2106F"/>
    <w:rsid w:val="00F43A80"/>
    <w:rsid w:val="00F44D1A"/>
    <w:rsid w:val="00F45883"/>
    <w:rsid w:val="00F74506"/>
    <w:rsid w:val="00FB3F65"/>
    <w:rsid w:val="00FD610A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7F63BED"/>
    <w:rsid w:val="6839385A"/>
    <w:rsid w:val="69C25EC3"/>
    <w:rsid w:val="69C65AA7"/>
    <w:rsid w:val="6AED1438"/>
    <w:rsid w:val="6D0E508C"/>
    <w:rsid w:val="6E1A4400"/>
    <w:rsid w:val="6FEB8616"/>
    <w:rsid w:val="70482964"/>
    <w:rsid w:val="70ED5FC5"/>
    <w:rsid w:val="7126259A"/>
    <w:rsid w:val="717C3494"/>
    <w:rsid w:val="71EB5FE5"/>
    <w:rsid w:val="721446D8"/>
    <w:rsid w:val="73611ECC"/>
    <w:rsid w:val="737D7894"/>
    <w:rsid w:val="74896F9E"/>
    <w:rsid w:val="74CC3E20"/>
    <w:rsid w:val="74F7691C"/>
    <w:rsid w:val="75646567"/>
    <w:rsid w:val="76E1FCA2"/>
    <w:rsid w:val="77135CDE"/>
    <w:rsid w:val="795178D1"/>
    <w:rsid w:val="79697633"/>
    <w:rsid w:val="79E032DA"/>
    <w:rsid w:val="7A4D0383"/>
    <w:rsid w:val="7AC81005"/>
    <w:rsid w:val="7AED1098"/>
    <w:rsid w:val="7BD3B0E4"/>
    <w:rsid w:val="7BF7433B"/>
    <w:rsid w:val="7C84022B"/>
    <w:rsid w:val="7C8C34FD"/>
    <w:rsid w:val="7CCF1F49"/>
    <w:rsid w:val="7DF76D23"/>
    <w:rsid w:val="7F296F73"/>
    <w:rsid w:val="C7FFBDBA"/>
    <w:rsid w:val="CFA89AB1"/>
    <w:rsid w:val="DFF410A2"/>
    <w:rsid w:val="FD66D6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微软雅黑" w:asciiTheme="minorHAnsi" w:hAnsiTheme="minorHAnsi" w:eastAsiaTheme="majorEastAsia"/>
      <w:color w:val="000000" w:themeColor="text1"/>
      <w:sz w:val="21"/>
      <w:szCs w:val="21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8">
    <w:name w:val="font61"/>
    <w:basedOn w:val="7"/>
    <w:qFormat/>
    <w:uiPriority w:val="0"/>
    <w:rPr>
      <w:rFonts w:hint="default" w:ascii="方正小标宋_GBK" w:hAnsi="方正小标宋_GBK" w:eastAsia="方正小标宋_GBK" w:cs="方正小标宋_GBK"/>
      <w:color w:val="000000"/>
      <w:sz w:val="40"/>
      <w:szCs w:val="40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31"/>
    <w:basedOn w:val="7"/>
    <w:qFormat/>
    <w:uiPriority w:val="0"/>
    <w:rPr>
      <w:rFonts w:hint="default" w:ascii="方正小标宋_GBK" w:hAnsi="方正小标宋_GBK" w:eastAsia="方正小标宋_GBK" w:cs="方正小标宋_GBK"/>
      <w:color w:val="000000"/>
      <w:sz w:val="40"/>
      <w:szCs w:val="40"/>
      <w:u w:val="none"/>
    </w:rPr>
  </w:style>
  <w:style w:type="character" w:customStyle="1" w:styleId="11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51"/>
    <w:basedOn w:val="7"/>
    <w:qFormat/>
    <w:uiPriority w:val="0"/>
    <w:rPr>
      <w:rFonts w:hint="default" w:ascii="方正小标宋_GBK" w:hAnsi="方正小标宋_GBK" w:eastAsia="方正小标宋_GBK" w:cs="方正小标宋_GBK"/>
      <w:color w:val="000000"/>
      <w:sz w:val="40"/>
      <w:szCs w:val="40"/>
      <w:u w:val="none"/>
    </w:rPr>
  </w:style>
  <w:style w:type="character" w:customStyle="1" w:styleId="13">
    <w:name w:val="font11"/>
    <w:basedOn w:val="7"/>
    <w:qFormat/>
    <w:uiPriority w:val="0"/>
    <w:rPr>
      <w:rFonts w:ascii="Arial" w:hAnsi="Arial" w:cs="Arial"/>
      <w:color w:val="000000"/>
      <w:sz w:val="16"/>
      <w:szCs w:val="16"/>
      <w:u w:val="none"/>
    </w:rPr>
  </w:style>
  <w:style w:type="character" w:customStyle="1" w:styleId="14">
    <w:name w:val="font01"/>
    <w:basedOn w:val="7"/>
    <w:qFormat/>
    <w:uiPriority w:val="0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15">
    <w:name w:val="font21"/>
    <w:basedOn w:val="7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6">
    <w:name w:val="页眉 Char"/>
    <w:basedOn w:val="7"/>
    <w:link w:val="4"/>
    <w:qFormat/>
    <w:uiPriority w:val="0"/>
    <w:rPr>
      <w:rFonts w:cs="微软雅黑" w:asciiTheme="minorHAnsi" w:hAnsiTheme="minorHAnsi" w:eastAsiaTheme="majorEastAsia"/>
      <w:color w:val="000000" w:themeColor="text1"/>
      <w:sz w:val="18"/>
      <w:szCs w:val="18"/>
      <w14:textFill>
        <w14:solidFill>
          <w14:schemeClr w14:val="tx1"/>
        </w14:solidFill>
      </w14:textFill>
    </w:rPr>
  </w:style>
  <w:style w:type="character" w:customStyle="1" w:styleId="17">
    <w:name w:val="页脚 Char"/>
    <w:basedOn w:val="7"/>
    <w:link w:val="3"/>
    <w:qFormat/>
    <w:uiPriority w:val="0"/>
    <w:rPr>
      <w:rFonts w:cs="微软雅黑" w:asciiTheme="minorHAnsi" w:hAnsiTheme="minorHAnsi" w:eastAsiaTheme="majorEastAsia"/>
      <w:color w:val="000000" w:themeColor="text1"/>
      <w:sz w:val="18"/>
      <w:szCs w:val="1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348</Words>
  <Characters>1984</Characters>
  <Lines>16</Lines>
  <Paragraphs>4</Paragraphs>
  <TotalTime>0</TotalTime>
  <ScaleCrop>false</ScaleCrop>
  <LinksUpToDate>false</LinksUpToDate>
  <CharactersWithSpaces>2328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2021-03-30T18:40:00Z</dcterms:created>
  <dc:creator>焦清红</dc:creator>
  <cp:lastModifiedBy>ycak</cp:lastModifiedBy>
  <dcterms:modified xsi:type="dcterms:W3CDTF">2023-04-10T11:43:13Z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