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80" w:lineRule="exact"/>
        <w:rPr>
          <w:rFonts w:ascii="仿宋_GB2312" w:hAnsi="Arial" w:eastAsia="仿宋_GB2312" w:cs="Arial"/>
          <w:color w:val="000000"/>
          <w:sz w:val="32"/>
          <w:szCs w:val="32"/>
        </w:rPr>
      </w:pPr>
      <w:r>
        <w:rPr>
          <w:rFonts w:hint="eastAsia" w:ascii="仿宋_GB2312" w:hAnsi="Arial" w:eastAsia="仿宋_GB2312" w:cs="Arial"/>
          <w:color w:val="000000"/>
          <w:sz w:val="32"/>
          <w:szCs w:val="32"/>
        </w:rPr>
        <w:t> </w:t>
      </w:r>
    </w:p>
    <w:p>
      <w:pPr>
        <w:pStyle w:val="4"/>
        <w:spacing w:before="0" w:beforeAutospacing="0" w:after="0" w:afterAutospacing="0" w:line="580" w:lineRule="exact"/>
        <w:rPr>
          <w:rFonts w:ascii="仿宋_GB2312" w:hAnsi="Arial" w:eastAsia="仿宋_GB2312" w:cs="Arial"/>
          <w:color w:val="000000"/>
          <w:sz w:val="32"/>
          <w:szCs w:val="32"/>
        </w:rPr>
      </w:pPr>
      <w:r>
        <w:rPr>
          <w:rFonts w:hint="eastAsia" w:ascii="仿宋_GB2312" w:hAnsi="Arial" w:eastAsia="仿宋_GB2312" w:cs="Arial"/>
          <w:color w:val="000000"/>
          <w:sz w:val="32"/>
          <w:szCs w:val="32"/>
        </w:rPr>
        <w:t> </w:t>
      </w:r>
    </w:p>
    <w:p>
      <w:pPr>
        <w:pStyle w:val="4"/>
        <w:spacing w:before="0" w:beforeAutospacing="0" w:after="0" w:afterAutospacing="0" w:line="580" w:lineRule="exact"/>
        <w:rPr>
          <w:rFonts w:ascii="仿宋_GB2312" w:hAnsi="Arial" w:eastAsia="仿宋_GB2312" w:cs="Arial"/>
          <w:color w:val="000000"/>
          <w:sz w:val="32"/>
          <w:szCs w:val="32"/>
        </w:rPr>
      </w:pPr>
      <w:r>
        <w:rPr>
          <w:rFonts w:hint="eastAsia" w:ascii="仿宋_GB2312" w:eastAsia="仿宋_GB2312"/>
          <w:color w:val="000000"/>
          <w:sz w:val="32"/>
          <w:szCs w:val="32"/>
        </w:rPr>
        <w:t> </w:t>
      </w:r>
    </w:p>
    <w:p>
      <w:pPr>
        <w:pStyle w:val="4"/>
        <w:spacing w:before="0" w:beforeAutospacing="0" w:after="0" w:afterAutospacing="0" w:line="580" w:lineRule="exact"/>
        <w:rPr>
          <w:rFonts w:ascii="仿宋_GB2312" w:hAnsi="Arial" w:eastAsia="仿宋_GB2312" w:cs="Arial"/>
          <w:color w:val="000000"/>
          <w:sz w:val="32"/>
          <w:szCs w:val="32"/>
        </w:rPr>
      </w:pPr>
      <w:r>
        <w:rPr>
          <w:rFonts w:hint="eastAsia" w:ascii="仿宋_GB2312" w:eastAsia="仿宋_GB2312"/>
          <w:color w:val="000000"/>
          <w:sz w:val="32"/>
          <w:szCs w:val="32"/>
        </w:rPr>
        <w:t> </w:t>
      </w:r>
    </w:p>
    <w:p>
      <w:pPr>
        <w:pStyle w:val="4"/>
        <w:spacing w:before="0" w:beforeAutospacing="0" w:after="0" w:afterAutospacing="0" w:line="580" w:lineRule="exact"/>
        <w:rPr>
          <w:rFonts w:ascii="仿宋_GB2312" w:hAnsi="Arial" w:eastAsia="仿宋_GB2312" w:cs="Arial"/>
          <w:color w:val="000000"/>
          <w:sz w:val="32"/>
          <w:szCs w:val="32"/>
        </w:rPr>
      </w:pPr>
      <w:r>
        <w:rPr>
          <w:rStyle w:val="7"/>
          <w:rFonts w:hint="eastAsia" w:ascii="仿宋_GB2312" w:eastAsia="仿宋_GB2312" w:cs="Arial"/>
          <w:color w:val="000000"/>
          <w:sz w:val="32"/>
          <w:szCs w:val="32"/>
        </w:rPr>
        <w:t> </w:t>
      </w:r>
    </w:p>
    <w:p>
      <w:pPr>
        <w:pStyle w:val="4"/>
        <w:spacing w:before="0" w:beforeAutospacing="0" w:after="0" w:afterAutospacing="0" w:line="580" w:lineRule="exact"/>
        <w:jc w:val="center"/>
        <w:rPr>
          <w:rFonts w:ascii="方正小标宋简体" w:hAnsi="黑体" w:eastAsia="方正小标宋简体" w:cs="Arial"/>
          <w:color w:val="000000"/>
          <w:sz w:val="44"/>
          <w:szCs w:val="44"/>
        </w:rPr>
      </w:pPr>
      <w:r>
        <w:rPr>
          <w:rStyle w:val="7"/>
          <w:rFonts w:hint="eastAsia" w:ascii="方正小标宋简体" w:hAnsi="黑体" w:eastAsia="方正小标宋简体" w:cs="Arial"/>
          <w:b w:val="0"/>
          <w:color w:val="000000"/>
          <w:sz w:val="44"/>
          <w:szCs w:val="44"/>
        </w:rPr>
        <w:t>盐池县科学技术局2018年部门预算</w:t>
      </w:r>
    </w:p>
    <w:p>
      <w:pPr>
        <w:pStyle w:val="4"/>
        <w:spacing w:before="0" w:beforeAutospacing="0" w:after="0" w:afterAutospacing="0" w:line="580" w:lineRule="exact"/>
        <w:jc w:val="center"/>
        <w:rPr>
          <w:rFonts w:ascii="仿宋_GB2312" w:hAnsi="Arial" w:eastAsia="仿宋_GB2312" w:cs="Arial"/>
          <w:color w:val="000000"/>
          <w:sz w:val="32"/>
          <w:szCs w:val="32"/>
        </w:rPr>
      </w:pPr>
      <w:r>
        <w:rPr>
          <w:rStyle w:val="7"/>
          <w:rFonts w:hint="eastAsia" w:ascii="仿宋_GB2312" w:eastAsia="仿宋_GB2312" w:cs="Arial"/>
          <w:color w:val="000000"/>
          <w:sz w:val="32"/>
          <w:szCs w:val="32"/>
        </w:rPr>
        <w:t> </w:t>
      </w:r>
    </w:p>
    <w:p>
      <w:pPr>
        <w:pStyle w:val="4"/>
        <w:spacing w:before="0" w:beforeAutospacing="0" w:after="0" w:afterAutospacing="0" w:line="580" w:lineRule="exact"/>
        <w:jc w:val="center"/>
        <w:rPr>
          <w:rFonts w:ascii="仿宋_GB2312" w:hAnsi="Arial" w:eastAsia="仿宋_GB2312" w:cs="Arial"/>
          <w:color w:val="000000"/>
          <w:sz w:val="32"/>
          <w:szCs w:val="32"/>
        </w:rPr>
      </w:pPr>
      <w:r>
        <w:rPr>
          <w:rStyle w:val="7"/>
          <w:rFonts w:hint="eastAsia" w:ascii="仿宋_GB2312" w:eastAsia="仿宋_GB2312" w:cs="Arial"/>
          <w:color w:val="000000"/>
          <w:sz w:val="32"/>
          <w:szCs w:val="32"/>
        </w:rPr>
        <w:t> </w:t>
      </w:r>
    </w:p>
    <w:p>
      <w:pPr>
        <w:pStyle w:val="4"/>
        <w:spacing w:before="0" w:beforeAutospacing="0" w:after="0" w:afterAutospacing="0" w:line="580" w:lineRule="exact"/>
        <w:jc w:val="center"/>
        <w:rPr>
          <w:rFonts w:ascii="仿宋_GB2312" w:hAnsi="Arial" w:eastAsia="仿宋_GB2312" w:cs="Arial"/>
          <w:color w:val="000000"/>
          <w:sz w:val="32"/>
          <w:szCs w:val="32"/>
        </w:rPr>
      </w:pPr>
      <w:r>
        <w:rPr>
          <w:rStyle w:val="7"/>
          <w:rFonts w:hint="eastAsia" w:ascii="仿宋_GB2312" w:eastAsia="仿宋_GB2312" w:cs="Arial"/>
          <w:color w:val="000000"/>
          <w:sz w:val="32"/>
          <w:szCs w:val="32"/>
        </w:rPr>
        <w:t> </w:t>
      </w:r>
    </w:p>
    <w:p>
      <w:pPr>
        <w:pStyle w:val="4"/>
        <w:spacing w:before="0" w:beforeAutospacing="0" w:after="0" w:afterAutospacing="0" w:line="580" w:lineRule="exact"/>
        <w:jc w:val="center"/>
        <w:rPr>
          <w:rFonts w:ascii="仿宋_GB2312" w:hAnsi="Arial" w:eastAsia="仿宋_GB2312" w:cs="Arial"/>
          <w:color w:val="000000"/>
          <w:sz w:val="32"/>
          <w:szCs w:val="32"/>
        </w:rPr>
      </w:pPr>
      <w:r>
        <w:rPr>
          <w:rStyle w:val="7"/>
          <w:rFonts w:hint="eastAsia" w:ascii="仿宋_GB2312" w:eastAsia="仿宋_GB2312" w:cs="Arial"/>
          <w:color w:val="000000"/>
          <w:sz w:val="32"/>
          <w:szCs w:val="32"/>
        </w:rPr>
        <w:t> </w:t>
      </w:r>
    </w:p>
    <w:p>
      <w:pPr>
        <w:pStyle w:val="4"/>
        <w:spacing w:before="0" w:beforeAutospacing="0" w:after="0" w:afterAutospacing="0" w:line="580" w:lineRule="exact"/>
        <w:jc w:val="center"/>
        <w:rPr>
          <w:rFonts w:ascii="仿宋_GB2312" w:hAnsi="Arial" w:eastAsia="仿宋_GB2312" w:cs="Arial"/>
          <w:color w:val="000000"/>
          <w:sz w:val="32"/>
          <w:szCs w:val="32"/>
        </w:rPr>
      </w:pPr>
      <w:r>
        <w:rPr>
          <w:rStyle w:val="7"/>
          <w:rFonts w:hint="eastAsia" w:ascii="仿宋_GB2312" w:eastAsia="仿宋_GB2312" w:cs="Arial"/>
          <w:color w:val="000000"/>
          <w:sz w:val="32"/>
          <w:szCs w:val="32"/>
        </w:rPr>
        <w:t> </w:t>
      </w:r>
    </w:p>
    <w:p>
      <w:pPr>
        <w:pStyle w:val="4"/>
        <w:spacing w:before="0" w:beforeAutospacing="0" w:after="0" w:afterAutospacing="0" w:line="580" w:lineRule="exact"/>
        <w:jc w:val="center"/>
        <w:rPr>
          <w:rFonts w:ascii="仿宋_GB2312" w:hAnsi="Arial" w:eastAsia="仿宋_GB2312" w:cs="Arial"/>
          <w:color w:val="000000"/>
          <w:sz w:val="32"/>
          <w:szCs w:val="32"/>
        </w:rPr>
      </w:pPr>
      <w:r>
        <w:rPr>
          <w:rStyle w:val="7"/>
          <w:rFonts w:hint="eastAsia" w:ascii="仿宋_GB2312" w:eastAsia="仿宋_GB2312" w:cs="Arial"/>
          <w:color w:val="000000"/>
          <w:sz w:val="32"/>
          <w:szCs w:val="32"/>
        </w:rPr>
        <w:t> </w:t>
      </w:r>
    </w:p>
    <w:p>
      <w:pPr>
        <w:pStyle w:val="4"/>
        <w:spacing w:before="0" w:beforeAutospacing="0" w:after="0" w:afterAutospacing="0" w:line="580" w:lineRule="exact"/>
        <w:jc w:val="center"/>
        <w:rPr>
          <w:rFonts w:ascii="仿宋_GB2312" w:hAnsi="Arial" w:eastAsia="仿宋_GB2312" w:cs="Arial"/>
          <w:color w:val="000000"/>
          <w:sz w:val="32"/>
          <w:szCs w:val="32"/>
        </w:rPr>
      </w:pPr>
      <w:r>
        <w:rPr>
          <w:rStyle w:val="7"/>
          <w:rFonts w:hint="eastAsia" w:ascii="仿宋_GB2312" w:eastAsia="仿宋_GB2312" w:cs="Arial"/>
          <w:color w:val="000000"/>
          <w:sz w:val="32"/>
          <w:szCs w:val="32"/>
        </w:rPr>
        <w:t> </w:t>
      </w:r>
    </w:p>
    <w:p>
      <w:pPr>
        <w:pStyle w:val="4"/>
        <w:spacing w:before="0" w:beforeAutospacing="0" w:after="0" w:afterAutospacing="0" w:line="580" w:lineRule="exact"/>
        <w:jc w:val="center"/>
        <w:rPr>
          <w:rFonts w:ascii="仿宋_GB2312" w:hAnsi="Arial" w:eastAsia="仿宋_GB2312" w:cs="Arial"/>
          <w:color w:val="000000"/>
          <w:sz w:val="32"/>
          <w:szCs w:val="32"/>
        </w:rPr>
      </w:pPr>
      <w:r>
        <w:rPr>
          <w:rStyle w:val="7"/>
          <w:rFonts w:hint="eastAsia" w:ascii="仿宋_GB2312" w:eastAsia="仿宋_GB2312" w:cs="Arial"/>
          <w:color w:val="000000"/>
          <w:sz w:val="32"/>
          <w:szCs w:val="32"/>
        </w:rPr>
        <w:t> </w:t>
      </w:r>
    </w:p>
    <w:p>
      <w:pPr>
        <w:pStyle w:val="4"/>
        <w:spacing w:before="0" w:beforeAutospacing="0" w:after="0" w:afterAutospacing="0" w:line="580" w:lineRule="exact"/>
        <w:jc w:val="center"/>
        <w:rPr>
          <w:rFonts w:ascii="仿宋_GB2312" w:hAnsi="Arial" w:eastAsia="仿宋_GB2312" w:cs="Arial"/>
          <w:color w:val="000000"/>
          <w:sz w:val="32"/>
          <w:szCs w:val="32"/>
        </w:rPr>
      </w:pPr>
      <w:r>
        <w:rPr>
          <w:rStyle w:val="7"/>
          <w:rFonts w:hint="eastAsia" w:ascii="仿宋_GB2312" w:eastAsia="仿宋_GB2312" w:cs="Arial"/>
          <w:color w:val="000000"/>
          <w:sz w:val="32"/>
          <w:szCs w:val="32"/>
        </w:rPr>
        <w:t> </w:t>
      </w:r>
    </w:p>
    <w:p>
      <w:pPr>
        <w:pStyle w:val="4"/>
        <w:spacing w:before="0" w:beforeAutospacing="0" w:after="0" w:afterAutospacing="0" w:line="580" w:lineRule="exact"/>
        <w:jc w:val="center"/>
        <w:rPr>
          <w:rStyle w:val="7"/>
          <w:rFonts w:ascii="仿宋_GB2312" w:eastAsia="仿宋_GB2312" w:cs="Arial"/>
          <w:color w:val="000000"/>
          <w:sz w:val="32"/>
          <w:szCs w:val="32"/>
        </w:rPr>
      </w:pPr>
    </w:p>
    <w:p>
      <w:pPr>
        <w:pStyle w:val="4"/>
        <w:spacing w:before="0" w:beforeAutospacing="0" w:after="0" w:afterAutospacing="0" w:line="580" w:lineRule="exact"/>
        <w:jc w:val="center"/>
        <w:rPr>
          <w:rStyle w:val="7"/>
          <w:rFonts w:ascii="仿宋_GB2312" w:eastAsia="仿宋_GB2312" w:cs="Arial"/>
          <w:color w:val="000000"/>
          <w:sz w:val="32"/>
          <w:szCs w:val="32"/>
        </w:rPr>
      </w:pPr>
    </w:p>
    <w:p>
      <w:pPr>
        <w:pStyle w:val="4"/>
        <w:spacing w:before="0" w:beforeAutospacing="0" w:after="0" w:afterAutospacing="0" w:line="580" w:lineRule="exact"/>
        <w:jc w:val="center"/>
        <w:rPr>
          <w:rStyle w:val="7"/>
          <w:rFonts w:ascii="仿宋_GB2312" w:eastAsia="仿宋_GB2312" w:cs="Arial"/>
          <w:color w:val="000000"/>
          <w:sz w:val="32"/>
          <w:szCs w:val="32"/>
        </w:rPr>
      </w:pPr>
    </w:p>
    <w:p>
      <w:pPr>
        <w:pStyle w:val="4"/>
        <w:spacing w:before="0" w:beforeAutospacing="0" w:after="0" w:afterAutospacing="0" w:line="580" w:lineRule="exact"/>
        <w:jc w:val="center"/>
        <w:rPr>
          <w:rStyle w:val="7"/>
          <w:rFonts w:ascii="仿宋_GB2312" w:eastAsia="仿宋_GB2312" w:cs="Arial"/>
          <w:color w:val="000000"/>
          <w:sz w:val="32"/>
          <w:szCs w:val="32"/>
        </w:rPr>
      </w:pPr>
    </w:p>
    <w:p>
      <w:pPr>
        <w:pStyle w:val="4"/>
        <w:spacing w:before="0" w:beforeAutospacing="0" w:after="0" w:afterAutospacing="0" w:line="580" w:lineRule="exact"/>
        <w:jc w:val="center"/>
        <w:rPr>
          <w:rStyle w:val="7"/>
          <w:rFonts w:ascii="仿宋_GB2312" w:eastAsia="仿宋_GB2312" w:cs="Arial"/>
          <w:color w:val="000000"/>
          <w:sz w:val="32"/>
          <w:szCs w:val="32"/>
        </w:rPr>
      </w:pPr>
    </w:p>
    <w:p>
      <w:pPr>
        <w:pStyle w:val="4"/>
        <w:spacing w:before="0" w:beforeAutospacing="0" w:after="0" w:afterAutospacing="0" w:line="580" w:lineRule="exact"/>
        <w:jc w:val="center"/>
        <w:rPr>
          <w:rStyle w:val="7"/>
          <w:rFonts w:ascii="仿宋_GB2312" w:eastAsia="仿宋_GB2312" w:cs="Arial"/>
          <w:color w:val="000000"/>
          <w:sz w:val="32"/>
          <w:szCs w:val="32"/>
        </w:rPr>
      </w:pPr>
    </w:p>
    <w:p>
      <w:pPr>
        <w:pStyle w:val="4"/>
        <w:spacing w:before="0" w:beforeAutospacing="0" w:after="0" w:afterAutospacing="0" w:line="580" w:lineRule="exact"/>
        <w:jc w:val="center"/>
        <w:rPr>
          <w:rStyle w:val="7"/>
          <w:rFonts w:ascii="仿宋_GB2312" w:eastAsia="仿宋_GB2312" w:cs="Arial"/>
          <w:color w:val="000000"/>
          <w:sz w:val="32"/>
          <w:szCs w:val="32"/>
        </w:rPr>
      </w:pPr>
    </w:p>
    <w:p>
      <w:pPr>
        <w:pStyle w:val="4"/>
        <w:spacing w:before="0" w:beforeAutospacing="0" w:after="0" w:afterAutospacing="0" w:line="580" w:lineRule="exact"/>
        <w:jc w:val="center"/>
        <w:rPr>
          <w:rStyle w:val="7"/>
          <w:rFonts w:ascii="仿宋_GB2312" w:eastAsia="仿宋_GB2312" w:cs="Arial"/>
          <w:color w:val="000000"/>
          <w:sz w:val="32"/>
          <w:szCs w:val="32"/>
        </w:rPr>
      </w:pPr>
    </w:p>
    <w:p>
      <w:pPr>
        <w:pStyle w:val="4"/>
        <w:spacing w:before="0" w:beforeAutospacing="0" w:after="0" w:afterAutospacing="0" w:line="580" w:lineRule="exact"/>
        <w:jc w:val="center"/>
        <w:rPr>
          <w:rFonts w:ascii="仿宋_GB2312" w:hAnsi="Arial" w:eastAsia="仿宋_GB2312" w:cs="Arial"/>
          <w:color w:val="000000"/>
          <w:sz w:val="32"/>
          <w:szCs w:val="32"/>
        </w:rPr>
      </w:pPr>
      <w:r>
        <w:rPr>
          <w:rStyle w:val="7"/>
          <w:rFonts w:hint="eastAsia" w:ascii="仿宋_GB2312" w:eastAsia="仿宋_GB2312" w:cs="Arial"/>
          <w:color w:val="000000"/>
          <w:sz w:val="32"/>
          <w:szCs w:val="32"/>
        </w:rPr>
        <w:t> </w:t>
      </w:r>
    </w:p>
    <w:p>
      <w:pPr>
        <w:pStyle w:val="4"/>
        <w:spacing w:before="0" w:beforeAutospacing="0" w:after="0" w:afterAutospacing="0" w:line="580" w:lineRule="exact"/>
        <w:jc w:val="center"/>
        <w:rPr>
          <w:rFonts w:ascii="仿宋_GB2312" w:hAnsi="Arial" w:eastAsia="仿宋_GB2312" w:cs="Arial"/>
          <w:color w:val="000000"/>
          <w:sz w:val="44"/>
          <w:szCs w:val="44"/>
        </w:rPr>
      </w:pPr>
      <w:r>
        <w:rPr>
          <w:rStyle w:val="7"/>
          <w:rFonts w:hint="eastAsia" w:ascii="仿宋_GB2312" w:eastAsia="仿宋_GB2312" w:cs="Arial"/>
          <w:color w:val="000000"/>
          <w:sz w:val="44"/>
          <w:szCs w:val="44"/>
        </w:rPr>
        <w:t> </w:t>
      </w:r>
    </w:p>
    <w:p>
      <w:pPr>
        <w:pStyle w:val="4"/>
        <w:spacing w:before="0" w:beforeAutospacing="0" w:after="0" w:afterAutospacing="0" w:line="580" w:lineRule="exact"/>
        <w:jc w:val="center"/>
        <w:rPr>
          <w:rFonts w:ascii="仿宋_GB2312" w:hAnsi="Arial" w:eastAsia="仿宋_GB2312" w:cs="Arial"/>
          <w:color w:val="000000"/>
          <w:sz w:val="44"/>
          <w:szCs w:val="44"/>
        </w:rPr>
      </w:pPr>
      <w:r>
        <w:rPr>
          <w:rStyle w:val="7"/>
          <w:rFonts w:hint="eastAsia" w:ascii="仿宋_GB2312" w:eastAsia="仿宋_GB2312" w:cs="Arial"/>
          <w:color w:val="000000"/>
          <w:sz w:val="44"/>
          <w:szCs w:val="44"/>
        </w:rPr>
        <w:t>目录</w:t>
      </w:r>
    </w:p>
    <w:p>
      <w:pPr>
        <w:pStyle w:val="4"/>
        <w:spacing w:before="0" w:beforeAutospacing="0" w:after="0" w:afterAutospacing="0" w:line="580" w:lineRule="exact"/>
        <w:jc w:val="center"/>
        <w:rPr>
          <w:rFonts w:ascii="仿宋_GB2312" w:hAnsi="Arial" w:eastAsia="仿宋_GB2312" w:cs="Arial"/>
          <w:color w:val="000000"/>
          <w:sz w:val="32"/>
          <w:szCs w:val="32"/>
        </w:rPr>
      </w:pPr>
      <w:r>
        <w:rPr>
          <w:rStyle w:val="7"/>
          <w:rFonts w:hint="eastAsia" w:ascii="仿宋_GB2312" w:eastAsia="仿宋_GB2312" w:cs="Arial"/>
          <w:color w:val="000000"/>
          <w:sz w:val="32"/>
          <w:szCs w:val="32"/>
        </w:rPr>
        <w:t> </w:t>
      </w:r>
    </w:p>
    <w:p>
      <w:pPr>
        <w:pStyle w:val="4"/>
        <w:spacing w:before="0" w:beforeAutospacing="0" w:after="0" w:afterAutospacing="0" w:line="580" w:lineRule="exact"/>
        <w:ind w:firstLine="645"/>
        <w:rPr>
          <w:rFonts w:ascii="仿宋_GB2312" w:hAnsi="Arial" w:eastAsia="仿宋_GB2312" w:cs="Arial"/>
          <w:color w:val="000000"/>
          <w:sz w:val="32"/>
          <w:szCs w:val="32"/>
        </w:rPr>
      </w:pPr>
      <w:r>
        <w:rPr>
          <w:rStyle w:val="7"/>
          <w:rFonts w:hint="eastAsia" w:ascii="仿宋_GB2312" w:hAnsi="Arial" w:eastAsia="仿宋_GB2312" w:cs="Arial"/>
          <w:color w:val="000000"/>
          <w:sz w:val="32"/>
          <w:szCs w:val="32"/>
        </w:rPr>
        <w:t>第一部分  单位概况</w:t>
      </w:r>
    </w:p>
    <w:p>
      <w:pPr>
        <w:pStyle w:val="4"/>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一、主要职能</w:t>
      </w:r>
    </w:p>
    <w:p>
      <w:pPr>
        <w:pStyle w:val="4"/>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二、部门预算单位构成</w:t>
      </w:r>
    </w:p>
    <w:p>
      <w:pPr>
        <w:pStyle w:val="4"/>
        <w:spacing w:before="0" w:beforeAutospacing="0" w:after="0" w:afterAutospacing="0" w:line="580" w:lineRule="exact"/>
        <w:ind w:firstLine="645"/>
        <w:rPr>
          <w:rFonts w:ascii="仿宋_GB2312" w:hAnsi="Arial" w:eastAsia="仿宋_GB2312" w:cs="Arial"/>
          <w:color w:val="000000"/>
          <w:sz w:val="32"/>
          <w:szCs w:val="32"/>
        </w:rPr>
      </w:pPr>
      <w:r>
        <w:rPr>
          <w:rStyle w:val="7"/>
          <w:rFonts w:hint="eastAsia" w:ascii="仿宋_GB2312" w:hAnsi="Arial" w:eastAsia="仿宋_GB2312" w:cs="Arial"/>
          <w:color w:val="000000"/>
          <w:sz w:val="32"/>
          <w:szCs w:val="32"/>
        </w:rPr>
        <w:t>第二部分  2018年部门预算情况说明</w:t>
      </w:r>
    </w:p>
    <w:p>
      <w:pPr>
        <w:pStyle w:val="4"/>
        <w:spacing w:before="0" w:beforeAutospacing="0" w:after="0" w:afterAutospacing="0" w:line="580" w:lineRule="exact"/>
        <w:ind w:firstLine="645"/>
        <w:rPr>
          <w:rFonts w:ascii="仿宋_GB2312" w:hAnsi="Arial" w:eastAsia="仿宋_GB2312" w:cs="Arial"/>
          <w:color w:val="000000"/>
          <w:sz w:val="32"/>
          <w:szCs w:val="32"/>
        </w:rPr>
      </w:pPr>
      <w:r>
        <w:rPr>
          <w:rStyle w:val="7"/>
          <w:rFonts w:hint="eastAsia" w:ascii="仿宋_GB2312" w:hAnsi="Arial" w:eastAsia="仿宋_GB2312" w:cs="Arial"/>
          <w:color w:val="000000"/>
          <w:sz w:val="32"/>
          <w:szCs w:val="32"/>
        </w:rPr>
        <w:t>第三部分  名词解释</w:t>
      </w:r>
    </w:p>
    <w:p>
      <w:pPr>
        <w:pStyle w:val="4"/>
        <w:spacing w:before="0" w:beforeAutospacing="0" w:after="0" w:afterAutospacing="0" w:line="580" w:lineRule="exact"/>
        <w:ind w:firstLine="645"/>
        <w:rPr>
          <w:rFonts w:ascii="仿宋_GB2312" w:hAnsi="Arial" w:eastAsia="仿宋_GB2312" w:cs="Arial"/>
          <w:color w:val="000000"/>
          <w:sz w:val="32"/>
          <w:szCs w:val="32"/>
        </w:rPr>
      </w:pPr>
      <w:r>
        <w:rPr>
          <w:rStyle w:val="7"/>
          <w:rFonts w:hint="eastAsia" w:ascii="仿宋_GB2312" w:hAnsi="Arial" w:eastAsia="仿宋_GB2312" w:cs="Arial"/>
          <w:color w:val="000000"/>
          <w:sz w:val="32"/>
          <w:szCs w:val="32"/>
        </w:rPr>
        <w:t>第四部分  2018年部门预算表</w:t>
      </w:r>
    </w:p>
    <w:p>
      <w:pPr>
        <w:pStyle w:val="4"/>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一、财政拨款收支总表</w:t>
      </w:r>
    </w:p>
    <w:p>
      <w:pPr>
        <w:pStyle w:val="4"/>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二、财政拨款支出总表</w:t>
      </w:r>
    </w:p>
    <w:p>
      <w:pPr>
        <w:pStyle w:val="4"/>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三、一般公共预算支出表</w:t>
      </w:r>
    </w:p>
    <w:p>
      <w:pPr>
        <w:pStyle w:val="4"/>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四、一般公共预算基本支出表</w:t>
      </w:r>
    </w:p>
    <w:p>
      <w:pPr>
        <w:pStyle w:val="4"/>
        <w:spacing w:before="0" w:beforeAutospacing="0" w:after="0" w:afterAutospacing="0" w:line="580" w:lineRule="exact"/>
        <w:ind w:left="1278" w:leftChars="304" w:hanging="640" w:hangingChars="200"/>
        <w:rPr>
          <w:rFonts w:ascii="仿宋_GB2312" w:hAnsi="Arial" w:eastAsia="仿宋_GB2312" w:cs="Arial"/>
          <w:color w:val="000000"/>
          <w:sz w:val="32"/>
          <w:szCs w:val="32"/>
        </w:rPr>
      </w:pPr>
      <w:r>
        <w:rPr>
          <w:rFonts w:hint="eastAsia" w:ascii="仿宋_GB2312" w:hAnsi="Arial" w:eastAsia="仿宋_GB2312" w:cs="Arial"/>
          <w:color w:val="000000"/>
          <w:sz w:val="32"/>
          <w:szCs w:val="32"/>
        </w:rPr>
        <w:t>五、一般公共预算“三公”经费、会议费、培训费支出预算表</w:t>
      </w:r>
    </w:p>
    <w:p>
      <w:pPr>
        <w:pStyle w:val="4"/>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六、政府性基金预算支出表</w:t>
      </w:r>
    </w:p>
    <w:p>
      <w:pPr>
        <w:pStyle w:val="4"/>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七、部门收支总表</w:t>
      </w:r>
    </w:p>
    <w:p>
      <w:pPr>
        <w:pStyle w:val="4"/>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八、部门收入总表</w:t>
      </w:r>
    </w:p>
    <w:p>
      <w:pPr>
        <w:pStyle w:val="4"/>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九、部门支出总表</w:t>
      </w:r>
    </w:p>
    <w:p>
      <w:pPr>
        <w:pStyle w:val="4"/>
        <w:spacing w:before="0" w:beforeAutospacing="0" w:after="0" w:afterAutospacing="0" w:line="580" w:lineRule="exact"/>
        <w:rPr>
          <w:rFonts w:ascii="仿宋_GB2312" w:hAnsi="Arial" w:eastAsia="仿宋_GB2312" w:cs="Arial"/>
          <w:color w:val="000000"/>
          <w:sz w:val="32"/>
          <w:szCs w:val="32"/>
        </w:rPr>
      </w:pPr>
      <w:r>
        <w:rPr>
          <w:rStyle w:val="7"/>
          <w:rFonts w:hint="eastAsia" w:ascii="仿宋_GB2312" w:hAnsi="Arial" w:eastAsia="仿宋_GB2312" w:cs="Arial"/>
          <w:color w:val="000000"/>
          <w:sz w:val="32"/>
          <w:szCs w:val="32"/>
        </w:rPr>
        <w:t>   </w:t>
      </w:r>
      <w:r>
        <w:rPr>
          <w:rFonts w:hint="eastAsia" w:ascii="仿宋_GB2312" w:hAnsi="Arial" w:eastAsia="仿宋_GB2312" w:cs="Arial"/>
          <w:color w:val="000000"/>
          <w:sz w:val="32"/>
          <w:szCs w:val="32"/>
        </w:rPr>
        <w:t>   十、政府采购预算表</w:t>
      </w:r>
    </w:p>
    <w:p>
      <w:pPr>
        <w:pStyle w:val="4"/>
        <w:spacing w:before="0" w:beforeAutospacing="0" w:after="0" w:afterAutospacing="0" w:line="580" w:lineRule="exact"/>
        <w:rPr>
          <w:rFonts w:ascii="仿宋_GB2312" w:hAnsi="Arial" w:eastAsia="仿宋_GB2312" w:cs="Arial"/>
          <w:color w:val="000000"/>
          <w:sz w:val="32"/>
          <w:szCs w:val="32"/>
        </w:rPr>
      </w:pPr>
      <w:r>
        <w:rPr>
          <w:rStyle w:val="7"/>
          <w:rFonts w:hint="eastAsia" w:ascii="仿宋_GB2312" w:hAnsi="Arial" w:eastAsia="仿宋_GB2312" w:cs="Arial"/>
          <w:color w:val="000000"/>
          <w:sz w:val="32"/>
          <w:szCs w:val="32"/>
        </w:rPr>
        <w:t> </w:t>
      </w:r>
    </w:p>
    <w:p>
      <w:pPr>
        <w:pStyle w:val="4"/>
        <w:spacing w:before="0" w:beforeAutospacing="0" w:after="0" w:afterAutospacing="0" w:line="580" w:lineRule="exact"/>
        <w:rPr>
          <w:rFonts w:ascii="仿宋_GB2312" w:hAnsi="Arial" w:eastAsia="仿宋_GB2312" w:cs="Arial"/>
          <w:color w:val="000000"/>
          <w:sz w:val="32"/>
          <w:szCs w:val="32"/>
        </w:rPr>
      </w:pPr>
      <w:r>
        <w:rPr>
          <w:rStyle w:val="7"/>
          <w:rFonts w:hint="eastAsia" w:ascii="仿宋_GB2312" w:hAnsi="Arial" w:eastAsia="仿宋_GB2312" w:cs="Arial"/>
          <w:color w:val="000000"/>
          <w:sz w:val="32"/>
          <w:szCs w:val="32"/>
        </w:rPr>
        <w:t> </w:t>
      </w:r>
    </w:p>
    <w:p>
      <w:pPr>
        <w:pStyle w:val="4"/>
        <w:spacing w:before="0" w:beforeAutospacing="0" w:after="0" w:afterAutospacing="0" w:line="580" w:lineRule="exact"/>
        <w:rPr>
          <w:rStyle w:val="7"/>
          <w:rFonts w:ascii="仿宋_GB2312" w:hAnsi="Arial" w:eastAsia="仿宋_GB2312" w:cs="Arial"/>
          <w:color w:val="000000"/>
          <w:sz w:val="32"/>
          <w:szCs w:val="32"/>
        </w:rPr>
      </w:pPr>
    </w:p>
    <w:p>
      <w:pPr>
        <w:pStyle w:val="4"/>
        <w:spacing w:before="0" w:beforeAutospacing="0" w:after="0" w:afterAutospacing="0" w:line="580" w:lineRule="exact"/>
        <w:rPr>
          <w:rStyle w:val="7"/>
          <w:rFonts w:ascii="仿宋_GB2312" w:hAnsi="Arial" w:eastAsia="仿宋_GB2312" w:cs="Arial"/>
          <w:color w:val="000000"/>
          <w:sz w:val="32"/>
          <w:szCs w:val="32"/>
        </w:rPr>
      </w:pPr>
    </w:p>
    <w:p>
      <w:pPr>
        <w:pStyle w:val="4"/>
        <w:spacing w:before="0" w:beforeAutospacing="0" w:after="0" w:afterAutospacing="0" w:line="580" w:lineRule="exact"/>
        <w:rPr>
          <w:rFonts w:ascii="仿宋_GB2312" w:hAnsi="黑体" w:eastAsia="仿宋_GB2312" w:cs="Arial"/>
          <w:color w:val="000000"/>
          <w:sz w:val="32"/>
          <w:szCs w:val="32"/>
        </w:rPr>
      </w:pPr>
      <w:r>
        <w:rPr>
          <w:rStyle w:val="7"/>
          <w:rFonts w:hint="eastAsia" w:ascii="仿宋_GB2312" w:hAnsi="黑体" w:eastAsia="仿宋_GB2312" w:cs="Arial"/>
          <w:color w:val="000000"/>
          <w:sz w:val="32"/>
          <w:szCs w:val="32"/>
        </w:rPr>
        <w:t>盐池县科学技术局2018年部门预算——单位概况</w:t>
      </w:r>
    </w:p>
    <w:p>
      <w:pPr>
        <w:pStyle w:val="4"/>
        <w:spacing w:before="0" w:beforeAutospacing="0" w:after="0" w:afterAutospacing="0" w:line="580" w:lineRule="exact"/>
        <w:ind w:firstLine="645"/>
        <w:rPr>
          <w:rFonts w:ascii="黑体" w:hAnsi="黑体" w:eastAsia="黑体" w:cs="Arial"/>
          <w:color w:val="000000"/>
          <w:sz w:val="32"/>
          <w:szCs w:val="32"/>
        </w:rPr>
      </w:pPr>
      <w:r>
        <w:rPr>
          <w:rStyle w:val="7"/>
          <w:rFonts w:hint="eastAsia"/>
          <w:color w:val="000000"/>
          <w:sz w:val="32"/>
          <w:szCs w:val="32"/>
        </w:rPr>
        <w:t> </w:t>
      </w:r>
    </w:p>
    <w:p>
      <w:pPr>
        <w:pStyle w:val="4"/>
        <w:spacing w:before="0" w:beforeAutospacing="0" w:after="0" w:afterAutospacing="0" w:line="580" w:lineRule="exact"/>
        <w:ind w:firstLine="645"/>
        <w:rPr>
          <w:rFonts w:ascii="黑体" w:hAnsi="黑体" w:eastAsia="黑体" w:cs="Arial"/>
          <w:color w:val="000000"/>
          <w:sz w:val="32"/>
          <w:szCs w:val="32"/>
        </w:rPr>
      </w:pPr>
      <w:r>
        <w:rPr>
          <w:rStyle w:val="7"/>
          <w:rFonts w:hint="eastAsia" w:ascii="黑体" w:hAnsi="黑体" w:eastAsia="黑体" w:cs="Arial"/>
          <w:color w:val="000000"/>
          <w:sz w:val="32"/>
          <w:szCs w:val="32"/>
        </w:rPr>
        <w:t>一、主要职能</w:t>
      </w:r>
    </w:p>
    <w:p>
      <w:pPr>
        <w:pStyle w:val="4"/>
        <w:shd w:val="clear" w:color="auto" w:fill="F8F8F8"/>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一）贯彻执行国家和自治区有关科技发展、科技促进经济社会发展的战略、方针、政策和法规，推进科技体制改革；拟定全县科技工作政策及实施意见；会同有关部门组织编制科技发展中长期规划、年度计划并组织实施。</w:t>
      </w:r>
    </w:p>
    <w:p>
      <w:pPr>
        <w:pStyle w:val="4"/>
        <w:shd w:val="clear" w:color="auto" w:fill="F8F8F8"/>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（二）负责全县地震宏观信息网建设及管理工作；进行防震减灾知识的宣传、教育培训、普及等工作。</w:t>
      </w:r>
    </w:p>
    <w:p>
      <w:pPr>
        <w:pStyle w:val="4"/>
        <w:shd w:val="clear" w:color="auto" w:fill="F8F8F8"/>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（三）负责全县知识产权工作。</w:t>
      </w:r>
    </w:p>
    <w:p>
      <w:pPr>
        <w:pStyle w:val="4"/>
        <w:shd w:val="clear" w:color="auto" w:fill="F8F8F8"/>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（四）承担全县中药材产业的中长期规划、实施、协调服务及“盐池甘草”商标管理和质量检验监督等工作。</w:t>
      </w:r>
    </w:p>
    <w:p>
      <w:pPr>
        <w:pStyle w:val="4"/>
        <w:shd w:val="clear" w:color="auto" w:fill="F8F8F8"/>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（五）负责全县农业、工业等科技项目的筛选、立项、申报、实施、管理工作。</w:t>
      </w:r>
    </w:p>
    <w:p>
      <w:pPr>
        <w:pStyle w:val="4"/>
        <w:shd w:val="clear" w:color="auto" w:fill="F8F8F8"/>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（六）负责全县科技创新、科技示范基地建设，负责与科研院所、高等院校联合开展技术研究。</w:t>
      </w:r>
    </w:p>
    <w:p>
      <w:pPr>
        <w:pStyle w:val="4"/>
        <w:shd w:val="clear" w:color="auto" w:fill="F8F8F8"/>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（七）负责全县科技特派员创业行动管理、组织、指导、服务工作。</w:t>
      </w:r>
    </w:p>
    <w:p>
      <w:pPr>
        <w:pStyle w:val="4"/>
        <w:spacing w:before="0" w:beforeAutospacing="0" w:after="0" w:afterAutospacing="0" w:line="580" w:lineRule="exact"/>
        <w:ind w:firstLine="645"/>
        <w:rPr>
          <w:rFonts w:ascii="黑体" w:hAnsi="黑体" w:eastAsia="黑体" w:cs="Arial"/>
          <w:color w:val="000000"/>
          <w:sz w:val="32"/>
          <w:szCs w:val="32"/>
        </w:rPr>
      </w:pPr>
      <w:r>
        <w:rPr>
          <w:rFonts w:hint="eastAsia"/>
          <w:color w:val="000000"/>
          <w:sz w:val="32"/>
          <w:szCs w:val="32"/>
        </w:rPr>
        <w:t> </w:t>
      </w:r>
      <w:r>
        <w:rPr>
          <w:rStyle w:val="7"/>
          <w:rFonts w:hint="eastAsia" w:ascii="黑体" w:hAnsi="黑体" w:eastAsia="黑体" w:cs="Arial"/>
          <w:color w:val="000000"/>
          <w:sz w:val="32"/>
          <w:szCs w:val="32"/>
        </w:rPr>
        <w:t>二、部门预算单位构成</w:t>
      </w:r>
    </w:p>
    <w:p>
      <w:pPr>
        <w:pStyle w:val="4"/>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从预算单位构成看，科技局部门预算包括：科技局本级预算、盐池县科协预算。</w:t>
      </w:r>
    </w:p>
    <w:p>
      <w:pPr>
        <w:pStyle w:val="4"/>
        <w:spacing w:before="0" w:beforeAutospacing="0" w:after="0" w:afterAutospacing="0" w:line="580" w:lineRule="exact"/>
        <w:ind w:firstLine="720"/>
        <w:rPr>
          <w:rFonts w:ascii="仿宋_GB2312" w:hAnsi="Arial" w:eastAsia="仿宋_GB2312" w:cs="Arial"/>
          <w:color w:val="000000"/>
          <w:sz w:val="32"/>
          <w:szCs w:val="32"/>
        </w:rPr>
      </w:pPr>
      <w:r>
        <w:rPr>
          <w:rStyle w:val="7"/>
          <w:rFonts w:hint="eastAsia" w:ascii="仿宋_GB2312" w:hAnsi="Arial" w:eastAsia="仿宋_GB2312" w:cs="Arial"/>
          <w:color w:val="000000"/>
          <w:sz w:val="32"/>
          <w:szCs w:val="32"/>
        </w:rPr>
        <w:t> </w:t>
      </w:r>
    </w:p>
    <w:p>
      <w:pPr>
        <w:pStyle w:val="4"/>
        <w:spacing w:before="0" w:beforeAutospacing="0" w:after="0" w:afterAutospacing="0" w:line="580" w:lineRule="exact"/>
        <w:ind w:firstLine="720"/>
        <w:rPr>
          <w:rStyle w:val="7"/>
          <w:rFonts w:ascii="仿宋_GB2312" w:hAnsi="Arial" w:eastAsia="仿宋_GB2312" w:cs="Arial"/>
          <w:color w:val="000000"/>
          <w:sz w:val="32"/>
          <w:szCs w:val="32"/>
        </w:rPr>
      </w:pPr>
    </w:p>
    <w:p>
      <w:pPr>
        <w:pStyle w:val="4"/>
        <w:spacing w:before="0" w:beforeAutospacing="0" w:after="0" w:afterAutospacing="0" w:line="580" w:lineRule="exact"/>
        <w:ind w:firstLine="720"/>
        <w:rPr>
          <w:rStyle w:val="7"/>
          <w:rFonts w:ascii="仿宋_GB2312" w:hAnsi="Arial" w:eastAsia="仿宋_GB2312" w:cs="Arial"/>
          <w:color w:val="000000"/>
          <w:sz w:val="32"/>
          <w:szCs w:val="32"/>
        </w:rPr>
      </w:pPr>
    </w:p>
    <w:p>
      <w:pPr>
        <w:pStyle w:val="4"/>
        <w:spacing w:before="0" w:beforeAutospacing="0" w:after="0" w:afterAutospacing="0" w:line="580" w:lineRule="exact"/>
        <w:rPr>
          <w:rFonts w:ascii="仿宋_GB2312" w:hAnsi="黑体" w:eastAsia="仿宋_GB2312" w:cs="Arial"/>
          <w:color w:val="000000"/>
          <w:sz w:val="32"/>
          <w:szCs w:val="32"/>
        </w:rPr>
      </w:pPr>
      <w:r>
        <w:rPr>
          <w:rStyle w:val="7"/>
          <w:rFonts w:hint="eastAsia" w:ascii="仿宋_GB2312" w:hAnsi="黑体" w:eastAsia="仿宋_GB2312" w:cs="Arial"/>
          <w:color w:val="000000"/>
          <w:sz w:val="32"/>
          <w:szCs w:val="32"/>
        </w:rPr>
        <w:t>盐池县科学技术局2018年部门预算——部门预算情况说明</w:t>
      </w:r>
    </w:p>
    <w:p>
      <w:pPr>
        <w:pStyle w:val="4"/>
        <w:spacing w:before="0" w:beforeAutospacing="0" w:after="0" w:afterAutospacing="0" w:line="580" w:lineRule="exact"/>
        <w:ind w:firstLine="720"/>
        <w:rPr>
          <w:rFonts w:ascii="仿宋_GB2312" w:hAnsi="Arial" w:eastAsia="仿宋_GB2312" w:cs="Arial"/>
          <w:color w:val="000000"/>
          <w:sz w:val="32"/>
          <w:szCs w:val="32"/>
        </w:rPr>
      </w:pPr>
      <w:r>
        <w:rPr>
          <w:rStyle w:val="7"/>
          <w:rFonts w:hint="eastAsia" w:ascii="仿宋_GB2312" w:hAnsi="Arial" w:eastAsia="仿宋_GB2312" w:cs="Arial"/>
          <w:color w:val="000000"/>
          <w:sz w:val="32"/>
          <w:szCs w:val="32"/>
        </w:rPr>
        <w:t> </w:t>
      </w:r>
    </w:p>
    <w:p>
      <w:pPr>
        <w:pStyle w:val="4"/>
        <w:spacing w:before="0" w:beforeAutospacing="0" w:after="0" w:afterAutospacing="0" w:line="580" w:lineRule="exact"/>
        <w:ind w:firstLine="645"/>
        <w:rPr>
          <w:rFonts w:ascii="黑体" w:hAnsi="黑体" w:eastAsia="黑体" w:cs="Arial"/>
          <w:color w:val="000000"/>
          <w:sz w:val="32"/>
          <w:szCs w:val="32"/>
        </w:rPr>
      </w:pPr>
      <w:r>
        <w:rPr>
          <w:rStyle w:val="7"/>
          <w:rFonts w:hint="eastAsia" w:ascii="黑体" w:hAnsi="黑体" w:eastAsia="黑体" w:cs="Arial"/>
          <w:color w:val="000000"/>
          <w:sz w:val="32"/>
          <w:szCs w:val="32"/>
        </w:rPr>
        <w:t>一、关于科技局2018年财政拨款收支预算情况的总体说明</w:t>
      </w:r>
    </w:p>
    <w:p>
      <w:pPr>
        <w:pStyle w:val="4"/>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科技局（含科协)2018年财政拨款收支总预算 694.94万元。收入预算包括：一般公共预算拨款694.94万元，无政府性基金预算拨款。支出预算包括：科学技术支出515.35万元、社会保障和就业支出82.22万元、医疗卫生和计划生育支出37.99万元，住房保障支出59.38万元。</w:t>
      </w:r>
    </w:p>
    <w:p>
      <w:pPr>
        <w:pStyle w:val="4"/>
        <w:spacing w:before="0" w:beforeAutospacing="0" w:after="0" w:afterAutospacing="0" w:line="580" w:lineRule="exact"/>
        <w:ind w:firstLine="645"/>
        <w:rPr>
          <w:rFonts w:ascii="黑体" w:hAnsi="黑体" w:eastAsia="黑体" w:cs="Arial"/>
          <w:color w:val="000000"/>
          <w:sz w:val="32"/>
          <w:szCs w:val="32"/>
        </w:rPr>
      </w:pPr>
      <w:r>
        <w:rPr>
          <w:rStyle w:val="7"/>
          <w:rFonts w:hint="eastAsia" w:ascii="黑体" w:hAnsi="黑体" w:eastAsia="黑体" w:cs="Arial"/>
          <w:color w:val="000000"/>
          <w:sz w:val="32"/>
          <w:szCs w:val="32"/>
        </w:rPr>
        <w:t>二、关于科技局2018年一般公共预算本年拨款情况说明</w:t>
      </w:r>
    </w:p>
    <w:p>
      <w:pPr>
        <w:pStyle w:val="4"/>
        <w:spacing w:before="0" w:beforeAutospacing="0" w:after="0" w:afterAutospacing="0" w:line="580" w:lineRule="exact"/>
        <w:ind w:firstLine="645"/>
        <w:rPr>
          <w:rFonts w:ascii="楷体" w:hAnsi="楷体" w:eastAsia="楷体" w:cs="Arial"/>
          <w:color w:val="000000"/>
          <w:sz w:val="32"/>
          <w:szCs w:val="32"/>
        </w:rPr>
      </w:pPr>
      <w:r>
        <w:rPr>
          <w:rStyle w:val="7"/>
          <w:rFonts w:hint="eastAsia" w:ascii="楷体" w:hAnsi="楷体" w:eastAsia="楷体" w:cs="Arial"/>
          <w:color w:val="000000"/>
          <w:sz w:val="32"/>
          <w:szCs w:val="32"/>
        </w:rPr>
        <w:t>（一）基本支出情况说明。</w:t>
      </w:r>
    </w:p>
    <w:p>
      <w:pPr>
        <w:pStyle w:val="4"/>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科技局（含科协2018年一般公共预算拨款基本支出550.94万元，比2017年执行数据减少1.84万元，下降0.33 %。其中：</w:t>
      </w:r>
    </w:p>
    <w:p>
      <w:pPr>
        <w:pStyle w:val="4"/>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人员经费528.31万元，主要包括：基本工资135.75万元、津贴补贴170.56万元、奖金11.31万元、社会保障缴费102.30万元、住房公积金34.31万元、其他工资福利支出45.94万元、退休费21.11万元、生活补助1.08万元、医疗费5.95万元；</w:t>
      </w:r>
    </w:p>
    <w:p>
      <w:pPr>
        <w:pStyle w:val="4"/>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公用经费22.63 万元，主要包括：办公费4.75万元、印刷费1.00万元、水费0.50万元、电费2.50万元、邮电费1.80万元、取暖费3.38万元、物业管理费2.00万元、维修（护）费0.60万元、会议费1.00万元、培训费2.00万元、公务接待费1.70万元、其他支出1.40万元。</w:t>
      </w:r>
    </w:p>
    <w:p>
      <w:pPr>
        <w:pStyle w:val="4"/>
        <w:spacing w:before="0" w:beforeAutospacing="0" w:after="0" w:afterAutospacing="0" w:line="580" w:lineRule="exact"/>
        <w:ind w:firstLine="645"/>
        <w:rPr>
          <w:rFonts w:ascii="楷体" w:hAnsi="楷体" w:eastAsia="楷体" w:cs="Arial"/>
          <w:b/>
          <w:color w:val="000000"/>
          <w:sz w:val="32"/>
          <w:szCs w:val="32"/>
        </w:rPr>
      </w:pPr>
      <w:r>
        <w:rPr>
          <w:rFonts w:hint="eastAsia" w:ascii="楷体" w:hAnsi="楷体" w:eastAsia="楷体"/>
          <w:b/>
          <w:bCs/>
          <w:sz w:val="32"/>
          <w:szCs w:val="32"/>
        </w:rPr>
        <w:t>（二）项目支出情况说明。</w:t>
      </w:r>
    </w:p>
    <w:p>
      <w:pPr>
        <w:pStyle w:val="4"/>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科技局（含科协）2018年一般公共预算拨款项目支出144.00万元，其中：</w:t>
      </w:r>
    </w:p>
    <w:p>
      <w:pPr>
        <w:pStyle w:val="4"/>
        <w:spacing w:before="0" w:beforeAutospacing="0" w:after="0" w:afterAutospacing="0" w:line="580" w:lineRule="exact"/>
        <w:ind w:firstLine="645"/>
        <w:rPr>
          <w:rFonts w:ascii="仿宋_GB2312" w:hAnsi="Arial" w:eastAsia="仿宋_GB2312" w:cs="Arial"/>
          <w:color w:val="000000"/>
          <w:sz w:val="32"/>
          <w:szCs w:val="32"/>
        </w:rPr>
      </w:pPr>
      <w:r>
        <w:rPr>
          <w:rStyle w:val="7"/>
          <w:rFonts w:hint="eastAsia" w:ascii="仿宋_GB2312" w:hAnsi="Arial" w:eastAsia="仿宋_GB2312" w:cs="Arial"/>
          <w:color w:val="000000"/>
          <w:sz w:val="32"/>
          <w:szCs w:val="32"/>
        </w:rPr>
        <w:t>科学技术支出</w:t>
      </w:r>
    </w:p>
    <w:p>
      <w:pPr>
        <w:pStyle w:val="4"/>
        <w:spacing w:before="0" w:beforeAutospacing="0" w:after="0" w:afterAutospacing="0" w:line="580" w:lineRule="exact"/>
        <w:ind w:firstLine="645"/>
        <w:rPr>
          <w:rFonts w:ascii="仿宋_GB2312" w:hAnsi="Arial" w:eastAsia="仿宋_GB2312" w:cs="Arial"/>
          <w:color w:val="000000"/>
          <w:sz w:val="32"/>
          <w:szCs w:val="32"/>
        </w:rPr>
      </w:pPr>
      <w:r>
        <w:rPr>
          <w:rStyle w:val="7"/>
          <w:rFonts w:hint="eastAsia" w:ascii="仿宋_GB2312" w:hAnsi="Arial" w:eastAsia="仿宋_GB2312" w:cs="Arial"/>
          <w:color w:val="000000"/>
          <w:sz w:val="32"/>
          <w:szCs w:val="32"/>
        </w:rPr>
        <w:t>科学技术管理事务支出：</w:t>
      </w:r>
    </w:p>
    <w:p>
      <w:pPr>
        <w:pStyle w:val="4"/>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一般行政管理事务（2060102） 2018年预算16.00万元，比2017年执行数据25.80万元减少9.80万元，下降37.98 %。主要由于专项业务费用预算支出压减。</w:t>
      </w:r>
    </w:p>
    <w:p>
      <w:pPr>
        <w:pStyle w:val="4"/>
        <w:spacing w:before="0" w:beforeAutospacing="0" w:after="0" w:afterAutospacing="0" w:line="580" w:lineRule="exact"/>
        <w:ind w:firstLine="645"/>
        <w:rPr>
          <w:rFonts w:ascii="仿宋_GB2312" w:hAnsi="Arial" w:eastAsia="仿宋_GB2312" w:cs="Arial"/>
          <w:color w:val="000000"/>
          <w:sz w:val="32"/>
          <w:szCs w:val="32"/>
        </w:rPr>
      </w:pPr>
      <w:r>
        <w:rPr>
          <w:rStyle w:val="7"/>
          <w:rFonts w:hint="eastAsia" w:ascii="仿宋_GB2312" w:hAnsi="Arial" w:eastAsia="仿宋_GB2312" w:cs="Arial"/>
          <w:color w:val="000000"/>
          <w:sz w:val="32"/>
          <w:szCs w:val="32"/>
        </w:rPr>
        <w:t>应用研究：</w:t>
      </w:r>
    </w:p>
    <w:p>
      <w:pPr>
        <w:pStyle w:val="4"/>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其他应用研究支出（2060399） 2018年预算10.00万元，比2017年执行数据7.16万元增加2.84万元，增加39.66 %。主要由于科技科研及3个基地经费预算增加。</w:t>
      </w:r>
    </w:p>
    <w:p>
      <w:pPr>
        <w:pStyle w:val="4"/>
        <w:spacing w:before="0" w:beforeAutospacing="0" w:after="0" w:afterAutospacing="0" w:line="580" w:lineRule="exact"/>
        <w:ind w:firstLine="645"/>
        <w:rPr>
          <w:rFonts w:ascii="仿宋_GB2312" w:hAnsi="Arial" w:eastAsia="仿宋_GB2312" w:cs="Arial"/>
          <w:color w:val="000000"/>
          <w:sz w:val="32"/>
          <w:szCs w:val="32"/>
        </w:rPr>
      </w:pPr>
      <w:r>
        <w:rPr>
          <w:rStyle w:val="7"/>
          <w:rFonts w:hint="eastAsia" w:ascii="仿宋_GB2312" w:hAnsi="Arial" w:eastAsia="仿宋_GB2312" w:cs="Arial"/>
          <w:color w:val="000000"/>
          <w:sz w:val="32"/>
          <w:szCs w:val="32"/>
        </w:rPr>
        <w:t>科技条件与服务：</w:t>
      </w:r>
    </w:p>
    <w:p>
      <w:pPr>
        <w:pStyle w:val="4"/>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机构运行（2060501） 中2018年项目预算10.00万元，比2017年执行数据8.00万元增加2.00万元，增加25%。主要用是基地租赁费增加2.00万元。</w:t>
      </w:r>
    </w:p>
    <w:p>
      <w:pPr>
        <w:pStyle w:val="4"/>
        <w:spacing w:before="0" w:beforeAutospacing="0" w:after="0" w:afterAutospacing="0" w:line="580" w:lineRule="exact"/>
        <w:ind w:firstLine="645"/>
        <w:rPr>
          <w:rFonts w:ascii="仿宋_GB2312" w:hAnsi="Arial" w:eastAsia="仿宋_GB2312" w:cs="Arial"/>
          <w:color w:val="000000"/>
          <w:sz w:val="32"/>
          <w:szCs w:val="32"/>
        </w:rPr>
      </w:pPr>
      <w:r>
        <w:rPr>
          <w:rStyle w:val="7"/>
          <w:rFonts w:hint="eastAsia" w:ascii="仿宋_GB2312" w:hAnsi="Arial" w:eastAsia="仿宋_GB2312" w:cs="Arial"/>
          <w:color w:val="000000"/>
          <w:sz w:val="32"/>
          <w:szCs w:val="32"/>
        </w:rPr>
        <w:t>科学技术普及：</w:t>
      </w:r>
    </w:p>
    <w:p>
      <w:pPr>
        <w:pStyle w:val="4"/>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科普活动（2060702） 2018年预算36.00万元，与2017年执行数据36.00万元持平。</w:t>
      </w:r>
    </w:p>
    <w:p>
      <w:pPr>
        <w:pStyle w:val="4"/>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其他科学技术普及支出（2060799） 2018年预算2.00万元，比2017年执行数据45.87万元减少43.87万元，减少95.64%。主要是科协上年科普基层行动计划项目款，2018年该项目未纳入预算。</w:t>
      </w:r>
    </w:p>
    <w:p>
      <w:pPr>
        <w:pStyle w:val="4"/>
        <w:spacing w:before="0" w:beforeAutospacing="0" w:after="0" w:afterAutospacing="0" w:line="580" w:lineRule="exact"/>
        <w:ind w:firstLine="645"/>
        <w:rPr>
          <w:rFonts w:ascii="仿宋_GB2312" w:hAnsi="Arial" w:eastAsia="仿宋_GB2312" w:cs="Arial"/>
          <w:color w:val="000000"/>
          <w:sz w:val="32"/>
          <w:szCs w:val="32"/>
        </w:rPr>
      </w:pPr>
      <w:r>
        <w:rPr>
          <w:rStyle w:val="7"/>
          <w:rFonts w:hint="eastAsia" w:ascii="仿宋_GB2312" w:hAnsi="Arial" w:eastAsia="仿宋_GB2312" w:cs="Arial"/>
          <w:color w:val="000000"/>
          <w:sz w:val="32"/>
          <w:szCs w:val="32"/>
        </w:rPr>
        <w:t>其他科学技术支出：</w:t>
      </w:r>
    </w:p>
    <w:p>
      <w:pPr>
        <w:pStyle w:val="4"/>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科技奖励（2069901）2018年预算70.00万元，比2017年执行数据69.96万元增加0.04万元，主要用于奖励专利发明企业。</w:t>
      </w:r>
    </w:p>
    <w:p>
      <w:pPr>
        <w:pStyle w:val="4"/>
        <w:spacing w:before="0" w:beforeAutospacing="0" w:after="0" w:afterAutospacing="0" w:line="580" w:lineRule="exact"/>
        <w:ind w:firstLine="645"/>
        <w:rPr>
          <w:rFonts w:ascii="黑体" w:hAnsi="黑体" w:eastAsia="黑体" w:cs="Arial"/>
          <w:color w:val="000000"/>
          <w:sz w:val="32"/>
          <w:szCs w:val="32"/>
        </w:rPr>
      </w:pPr>
      <w:r>
        <w:rPr>
          <w:rStyle w:val="7"/>
          <w:rFonts w:hint="eastAsia" w:ascii="黑体" w:hAnsi="黑体" w:eastAsia="黑体" w:cs="Arial"/>
          <w:color w:val="000000"/>
          <w:sz w:val="32"/>
          <w:szCs w:val="32"/>
        </w:rPr>
        <w:t>三、关于科技局2018年一般公共预算“三公”经费预算情况说明</w:t>
      </w:r>
    </w:p>
    <w:p>
      <w:pPr>
        <w:pStyle w:val="4"/>
        <w:spacing w:before="0" w:beforeAutospacing="0" w:after="0" w:afterAutospacing="0" w:line="580" w:lineRule="exact"/>
        <w:ind w:firstLine="480"/>
        <w:rPr>
          <w:rFonts w:ascii="仿宋_GB2312" w:hAnsi="Arial" w:eastAsia="仿宋_GB2312" w:cs="Arial"/>
          <w:color w:val="000000"/>
          <w:sz w:val="32"/>
          <w:szCs w:val="32"/>
        </w:rPr>
      </w:pPr>
      <w:r>
        <w:rPr>
          <w:rFonts w:hint="eastAsia" w:ascii="仿宋_GB2312" w:hAnsi="Arial" w:eastAsia="仿宋_GB2312" w:cs="Arial"/>
          <w:color w:val="000000"/>
          <w:sz w:val="32"/>
          <w:szCs w:val="32"/>
        </w:rPr>
        <w:t>科技局（含科协）2018年“三公”经费财政拨款预算数为1.70万元，其中：因公出国（境）费0.00万元，公务用车购置0.00万元，公务用车运行费0.00万元，公务接待费1.70万元。</w:t>
      </w:r>
    </w:p>
    <w:p>
      <w:pPr>
        <w:pStyle w:val="4"/>
        <w:spacing w:before="0" w:beforeAutospacing="0" w:after="0" w:afterAutospacing="0" w:line="580" w:lineRule="exact"/>
        <w:ind w:firstLine="480"/>
        <w:rPr>
          <w:rFonts w:ascii="仿宋_GB2312" w:hAnsi="Arial" w:eastAsia="仿宋_GB2312" w:cs="Arial"/>
          <w:color w:val="000000"/>
          <w:sz w:val="32"/>
          <w:szCs w:val="32"/>
        </w:rPr>
      </w:pPr>
      <w:r>
        <w:rPr>
          <w:rFonts w:hint="eastAsia" w:ascii="仿宋_GB2312" w:hAnsi="Arial" w:eastAsia="仿宋_GB2312" w:cs="Arial"/>
          <w:color w:val="000000"/>
          <w:sz w:val="32"/>
          <w:szCs w:val="32"/>
        </w:rPr>
        <w:t>2018年“三公”经费财政拨款预算与2017年持平，无增减。其中：因公出国（境）费减少0.00万元，主要原因是我单位无因公出国（境）人员，未安排预算。公务用车购置费减少0.00万元，主要原因是参加车改，不再重新购置车辆，未安排相关预算；公务用车运行费减少0.00万元，主要原因是我局无公务车，无车辆运行费。公务接待费预算与2017年预算一致为1.70万元，主要原因是我局厉行节约，严格执行八项规定，经费预算和上年持平。</w:t>
      </w:r>
    </w:p>
    <w:p>
      <w:pPr>
        <w:pStyle w:val="4"/>
        <w:spacing w:before="0" w:beforeAutospacing="0" w:after="0" w:afterAutospacing="0" w:line="580" w:lineRule="exact"/>
        <w:ind w:firstLine="480"/>
        <w:rPr>
          <w:rFonts w:ascii="黑体" w:hAnsi="黑体" w:eastAsia="黑体" w:cs="Arial"/>
          <w:color w:val="000000"/>
          <w:sz w:val="32"/>
          <w:szCs w:val="32"/>
        </w:rPr>
      </w:pPr>
      <w:r>
        <w:rPr>
          <w:rFonts w:hint="eastAsia" w:ascii="黑体" w:hAnsi="黑体" w:eastAsia="黑体" w:cs="Arial"/>
          <w:color w:val="000000"/>
          <w:sz w:val="32"/>
          <w:szCs w:val="32"/>
        </w:rPr>
        <w:t xml:space="preserve"> </w:t>
      </w:r>
      <w:r>
        <w:rPr>
          <w:rStyle w:val="7"/>
          <w:rFonts w:hint="eastAsia" w:ascii="黑体" w:hAnsi="黑体" w:eastAsia="黑体" w:cs="Arial"/>
          <w:color w:val="000000"/>
          <w:sz w:val="32"/>
          <w:szCs w:val="32"/>
        </w:rPr>
        <w:t>四、关于科技局2018年政府性基金预算拨款情况说明</w:t>
      </w:r>
    </w:p>
    <w:p>
      <w:pPr>
        <w:pStyle w:val="4"/>
        <w:spacing w:before="0" w:beforeAutospacing="0" w:after="0" w:afterAutospacing="0" w:line="580" w:lineRule="exact"/>
        <w:ind w:firstLine="480"/>
        <w:rPr>
          <w:rFonts w:ascii="楷体" w:hAnsi="楷体" w:eastAsia="楷体" w:cs="Arial"/>
          <w:b/>
          <w:color w:val="000000"/>
          <w:sz w:val="32"/>
          <w:szCs w:val="32"/>
        </w:rPr>
      </w:pPr>
      <w:r>
        <w:rPr>
          <w:rStyle w:val="7"/>
          <w:rFonts w:hint="eastAsia" w:ascii="仿宋_GB2312" w:hAnsi="Arial" w:eastAsia="仿宋_GB2312" w:cs="Arial"/>
          <w:color w:val="000000"/>
          <w:sz w:val="32"/>
          <w:szCs w:val="32"/>
        </w:rPr>
        <w:t>（</w:t>
      </w:r>
      <w:r>
        <w:rPr>
          <w:rFonts w:hint="eastAsia" w:ascii="楷体" w:hAnsi="楷体" w:eastAsia="楷体" w:cs="Arial"/>
          <w:b/>
          <w:color w:val="000000"/>
          <w:sz w:val="32"/>
          <w:szCs w:val="32"/>
        </w:rPr>
        <w:t>一）基本支出情况说明</w:t>
      </w:r>
    </w:p>
    <w:p>
      <w:pPr>
        <w:pStyle w:val="4"/>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科技局（含科协）2018年政府性基金预算拨款基本支出 0.00万元，比2017年执行数据增加0.00万元，增长0.00%。其中：</w:t>
      </w:r>
    </w:p>
    <w:p>
      <w:pPr>
        <w:pStyle w:val="4"/>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人员经费 0.00万元，主要包括：基本工资 0.00万元、津贴补贴 0.00万元、奖金 0.00万元、社会保障缴费 0.00万元、伙食补助费 0.00万元、绩效工资 0.00万元、其他工资福利支出 0.00万元、离休费 0.00万元、退休费 0.00万元、抚恤金 0.00万元、生活补助 0.00万元、医疗费 0.00万元、助学金 0.00万元、奖励金 0.00万元、住房公积金 0.00万元、提租补贴 0.00万元、购房补贴 0.00万元、其他对个人和家庭的补助支出 0.00万元；</w:t>
      </w:r>
    </w:p>
    <w:p>
      <w:pPr>
        <w:pStyle w:val="4"/>
        <w:spacing w:before="0" w:beforeAutospacing="0" w:after="0" w:afterAutospacing="0" w:line="580" w:lineRule="exact"/>
        <w:ind w:firstLine="480"/>
        <w:rPr>
          <w:rFonts w:ascii="仿宋_GB2312" w:hAnsi="Arial" w:eastAsia="仿宋_GB2312" w:cs="Arial"/>
          <w:color w:val="000000"/>
          <w:sz w:val="32"/>
          <w:szCs w:val="32"/>
        </w:rPr>
      </w:pPr>
      <w:r>
        <w:rPr>
          <w:rFonts w:hint="eastAsia" w:ascii="仿宋_GB2312" w:hAnsi="Arial" w:eastAsia="仿宋_GB2312" w:cs="Arial"/>
          <w:color w:val="000000"/>
          <w:sz w:val="32"/>
          <w:szCs w:val="32"/>
        </w:rPr>
        <w:t>公用经费 0.00万元，主要包括：办公费 0.00万元、印刷费 0.00万元、咨询费 0.00万元、手续费 0.00万元、水费 0.00万元、电费 0.00万元、邮电费 0.00万元、取暖费 0.00万元、物业管理费 0.00万元、差旅费 0.00万元、因公出国（境）费 0.00万元、维修（护）费 0.00万元、租赁费 0.00万元、会议费 0.00万元、培训费 0.00万元、公务接待费 0.00万元、专用材料费 0.00万元、劳务费 0.00万元、委托业务费 0.00万元、工会经费 0.00万元、福利费 0.00万元、公务用车运行维护费 0.00万元、其他交通费 0.00万元、其他商品和服务支出 0.00万元、办公设备购置 0.00万元、专用设备购置 0.00万元。</w:t>
      </w:r>
    </w:p>
    <w:p>
      <w:pPr>
        <w:pStyle w:val="4"/>
        <w:spacing w:before="0" w:beforeAutospacing="0" w:after="0" w:afterAutospacing="0" w:line="580" w:lineRule="exact"/>
        <w:ind w:firstLine="480"/>
        <w:rPr>
          <w:rFonts w:ascii="楷体" w:hAnsi="楷体" w:eastAsia="楷体" w:cs="Arial"/>
          <w:b/>
          <w:color w:val="000000"/>
          <w:sz w:val="32"/>
          <w:szCs w:val="32"/>
        </w:rPr>
      </w:pPr>
      <w:r>
        <w:rPr>
          <w:rFonts w:hint="eastAsia" w:ascii="楷体" w:hAnsi="楷体" w:eastAsia="楷体"/>
          <w:bCs/>
        </w:rPr>
        <w:t>（</w:t>
      </w:r>
      <w:r>
        <w:rPr>
          <w:rFonts w:hint="eastAsia" w:ascii="楷体" w:hAnsi="楷体" w:eastAsia="楷体" w:cs="Arial"/>
          <w:b/>
          <w:color w:val="000000"/>
          <w:sz w:val="32"/>
          <w:szCs w:val="32"/>
        </w:rPr>
        <w:t>二）项目支出情况说明</w:t>
      </w:r>
    </w:p>
    <w:p>
      <w:pPr>
        <w:pStyle w:val="4"/>
        <w:spacing w:before="0" w:beforeAutospacing="0" w:after="0" w:afterAutospacing="0" w:line="580" w:lineRule="exact"/>
        <w:ind w:firstLine="480"/>
        <w:rPr>
          <w:rFonts w:ascii="仿宋_GB2312" w:hAnsi="Arial" w:eastAsia="仿宋_GB2312" w:cs="Arial"/>
          <w:color w:val="000000"/>
          <w:sz w:val="32"/>
          <w:szCs w:val="32"/>
        </w:rPr>
      </w:pPr>
      <w:r>
        <w:rPr>
          <w:rFonts w:hint="eastAsia" w:ascii="仿宋_GB2312" w:hAnsi="Arial" w:eastAsia="仿宋_GB2312" w:cs="Arial"/>
          <w:color w:val="000000"/>
          <w:sz w:val="32"/>
          <w:szCs w:val="32"/>
        </w:rPr>
        <w:t>科技局（含科协）2018年政府性基金预算拨款项目支出 0.00万元，比2017年执行数据增加 0.00万元，增长0.00%。主要是本单位无相关预算。</w:t>
      </w:r>
    </w:p>
    <w:p>
      <w:pPr>
        <w:pStyle w:val="4"/>
        <w:spacing w:before="0" w:beforeAutospacing="0" w:after="0" w:afterAutospacing="0" w:line="580" w:lineRule="exact"/>
        <w:ind w:firstLine="645"/>
        <w:rPr>
          <w:rFonts w:ascii="黑体" w:hAnsi="黑体" w:eastAsia="黑体" w:cs="Arial"/>
          <w:color w:val="000000"/>
          <w:sz w:val="32"/>
          <w:szCs w:val="32"/>
        </w:rPr>
      </w:pPr>
      <w:r>
        <w:rPr>
          <w:rStyle w:val="7"/>
          <w:rFonts w:hint="eastAsia" w:ascii="黑体" w:hAnsi="黑体" w:eastAsia="黑体" w:cs="Arial"/>
          <w:color w:val="000000"/>
          <w:sz w:val="32"/>
          <w:szCs w:val="32"/>
        </w:rPr>
        <w:t>五、关于科技局2018年收支预算情况的总体说明</w:t>
      </w:r>
    </w:p>
    <w:p>
      <w:pPr>
        <w:pStyle w:val="4"/>
        <w:spacing w:before="0" w:beforeAutospacing="0" w:after="0" w:afterAutospacing="0" w:line="580" w:lineRule="exact"/>
        <w:ind w:firstLine="480"/>
        <w:rPr>
          <w:rFonts w:ascii="仿宋_GB2312" w:hAnsi="Arial" w:eastAsia="仿宋_GB2312" w:cs="Arial"/>
          <w:color w:val="000000"/>
          <w:sz w:val="32"/>
          <w:szCs w:val="32"/>
        </w:rPr>
      </w:pPr>
      <w:r>
        <w:rPr>
          <w:rFonts w:hint="eastAsia" w:ascii="仿宋_GB2312" w:hAnsi="Arial" w:eastAsia="仿宋_GB2312" w:cs="Arial"/>
          <w:color w:val="000000"/>
          <w:sz w:val="32"/>
          <w:szCs w:val="32"/>
        </w:rPr>
        <w:t>按照全口径预算的原则，科技局2018（含科协）年所有收入和支出均纳入部门预算管理。收入总预算 694.94万元，支出总预算694.94万元。</w:t>
      </w:r>
    </w:p>
    <w:p>
      <w:pPr>
        <w:pStyle w:val="4"/>
        <w:spacing w:before="0" w:beforeAutospacing="0" w:after="0" w:afterAutospacing="0" w:line="580" w:lineRule="exact"/>
        <w:ind w:firstLine="480"/>
        <w:rPr>
          <w:rFonts w:ascii="仿宋_GB2312" w:hAnsi="Arial" w:eastAsia="仿宋_GB2312" w:cs="Arial"/>
          <w:color w:val="000000"/>
          <w:sz w:val="32"/>
          <w:szCs w:val="32"/>
        </w:rPr>
      </w:pPr>
      <w:r>
        <w:rPr>
          <w:rFonts w:hint="eastAsia" w:ascii="仿宋_GB2312" w:hAnsi="Arial" w:eastAsia="仿宋_GB2312" w:cs="Arial"/>
          <w:color w:val="000000"/>
          <w:sz w:val="32"/>
          <w:szCs w:val="32"/>
        </w:rPr>
        <w:t>收入预算包括：上年结转 0.00万元，占 0.00%；财政拨款收入   694.94万元，占100.00%；事业收入 0.00万元，占 0.00%；事业单位经营收入 0.00万元，占 0.00%；其他收入 0.00万元，占0.00%。</w:t>
      </w:r>
    </w:p>
    <w:p>
      <w:pPr>
        <w:pStyle w:val="4"/>
        <w:spacing w:before="0" w:beforeAutospacing="0" w:after="0" w:afterAutospacing="0" w:line="580" w:lineRule="exact"/>
        <w:ind w:left="180" w:firstLine="360"/>
        <w:rPr>
          <w:rFonts w:ascii="仿宋_GB2312" w:hAnsi="Arial" w:eastAsia="仿宋_GB2312" w:cs="Arial"/>
          <w:color w:val="000000"/>
          <w:sz w:val="32"/>
          <w:szCs w:val="32"/>
        </w:rPr>
      </w:pPr>
      <w:r>
        <w:rPr>
          <w:rFonts w:hint="eastAsia" w:ascii="仿宋_GB2312" w:hAnsi="Arial" w:eastAsia="仿宋_GB2312" w:cs="Arial"/>
          <w:color w:val="000000"/>
          <w:sz w:val="32"/>
          <w:szCs w:val="32"/>
        </w:rPr>
        <w:t>支出预算包括：基本支出 550.94万元，占79.30 %；项</w:t>
      </w:r>
    </w:p>
    <w:p>
      <w:pPr>
        <w:pStyle w:val="4"/>
        <w:spacing w:before="0" w:beforeAutospacing="0" w:after="0" w:afterAutospacing="0" w:line="580" w:lineRule="exact"/>
        <w:rPr>
          <w:rFonts w:ascii="仿宋_GB2312" w:hAnsi="Arial" w:eastAsia="仿宋_GB2312" w:cs="Arial"/>
          <w:color w:val="000000"/>
          <w:sz w:val="32"/>
          <w:szCs w:val="32"/>
        </w:rPr>
      </w:pPr>
      <w:r>
        <w:rPr>
          <w:rFonts w:hint="eastAsia" w:ascii="仿宋_GB2312" w:hAnsi="Arial" w:eastAsia="仿宋_GB2312" w:cs="Arial"/>
          <w:color w:val="000000"/>
          <w:sz w:val="32"/>
          <w:szCs w:val="32"/>
        </w:rPr>
        <w:t>目支出 144.00万元，事业单位经营支出 0.00万元占 0.00%；上缴上级支出 0.00万元，占 0.00%；对附属单位补助支出</w:t>
      </w:r>
    </w:p>
    <w:p>
      <w:pPr>
        <w:pStyle w:val="4"/>
        <w:spacing w:before="0" w:beforeAutospacing="0" w:after="0" w:afterAutospacing="0" w:line="580" w:lineRule="exact"/>
        <w:rPr>
          <w:rFonts w:ascii="仿宋_GB2312" w:hAnsi="Arial" w:eastAsia="仿宋_GB2312" w:cs="Arial"/>
          <w:color w:val="000000"/>
          <w:sz w:val="32"/>
          <w:szCs w:val="32"/>
        </w:rPr>
      </w:pPr>
      <w:r>
        <w:rPr>
          <w:rFonts w:hint="eastAsia" w:ascii="仿宋_GB2312" w:hAnsi="Arial" w:eastAsia="仿宋_GB2312" w:cs="Arial"/>
          <w:color w:val="000000"/>
          <w:sz w:val="32"/>
          <w:szCs w:val="32"/>
        </w:rPr>
        <w:t> 0.00万元，占 0.00%。</w:t>
      </w:r>
    </w:p>
    <w:p>
      <w:pPr>
        <w:pStyle w:val="4"/>
        <w:spacing w:before="0" w:beforeAutospacing="0" w:after="0" w:afterAutospacing="0" w:line="580" w:lineRule="exact"/>
        <w:ind w:firstLine="645"/>
        <w:rPr>
          <w:rFonts w:ascii="黑体" w:hAnsi="黑体" w:eastAsia="黑体" w:cs="Arial"/>
          <w:color w:val="000000"/>
          <w:sz w:val="32"/>
          <w:szCs w:val="32"/>
        </w:rPr>
      </w:pPr>
      <w:r>
        <w:rPr>
          <w:rStyle w:val="7"/>
          <w:rFonts w:hint="eastAsia" w:ascii="黑体" w:hAnsi="黑体" w:eastAsia="黑体" w:cs="Arial"/>
          <w:color w:val="000000"/>
          <w:sz w:val="32"/>
          <w:szCs w:val="32"/>
        </w:rPr>
        <w:t>六、其他重要事项的情况说明</w:t>
      </w:r>
    </w:p>
    <w:p>
      <w:pPr>
        <w:pStyle w:val="4"/>
        <w:spacing w:before="0" w:beforeAutospacing="0" w:after="0" w:afterAutospacing="0" w:line="580" w:lineRule="exact"/>
        <w:ind w:firstLine="645"/>
        <w:rPr>
          <w:rFonts w:ascii="楷体" w:hAnsi="楷体" w:eastAsia="楷体" w:cs="Arial"/>
          <w:b/>
          <w:color w:val="000000"/>
          <w:sz w:val="32"/>
          <w:szCs w:val="32"/>
        </w:rPr>
      </w:pPr>
      <w:r>
        <w:rPr>
          <w:rFonts w:hint="eastAsia" w:ascii="楷体" w:hAnsi="楷体" w:eastAsia="楷体" w:cs="Arial"/>
          <w:b/>
          <w:color w:val="000000"/>
          <w:sz w:val="32"/>
          <w:szCs w:val="32"/>
        </w:rPr>
        <w:t>（一）机关运行经费</w:t>
      </w:r>
    </w:p>
    <w:p>
      <w:pPr>
        <w:pStyle w:val="4"/>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2018年，科技局（含科协）本级机关运行经费财政拨款预算 22.63万元，比2017年预算26.48万元减少3.85万元，下降14.5%。主要原因是人员经费减少。</w:t>
      </w:r>
    </w:p>
    <w:p>
      <w:pPr>
        <w:pStyle w:val="4"/>
        <w:spacing w:before="0" w:beforeAutospacing="0" w:after="0" w:afterAutospacing="0" w:line="580" w:lineRule="exact"/>
        <w:ind w:firstLine="645"/>
        <w:rPr>
          <w:rFonts w:ascii="楷体" w:hAnsi="楷体" w:eastAsia="楷体" w:cs="Arial"/>
          <w:b/>
          <w:color w:val="000000"/>
          <w:sz w:val="32"/>
          <w:szCs w:val="32"/>
        </w:rPr>
      </w:pPr>
      <w:r>
        <w:rPr>
          <w:rFonts w:hint="eastAsia" w:ascii="楷体" w:hAnsi="楷体" w:eastAsia="楷体" w:cs="Arial"/>
          <w:b/>
          <w:color w:val="000000"/>
          <w:sz w:val="32"/>
          <w:szCs w:val="32"/>
        </w:rPr>
        <w:t>（二）政府采购情况</w:t>
      </w:r>
    </w:p>
    <w:p>
      <w:pPr>
        <w:pStyle w:val="4"/>
        <w:spacing w:before="0" w:beforeAutospacing="0" w:after="0" w:afterAutospacing="0" w:line="580" w:lineRule="exact"/>
        <w:ind w:firstLine="480"/>
        <w:rPr>
          <w:rFonts w:ascii="仿宋_GB2312" w:hAnsi="Arial" w:eastAsia="仿宋_GB2312" w:cs="Arial"/>
          <w:color w:val="000000"/>
          <w:sz w:val="32"/>
          <w:szCs w:val="32"/>
        </w:rPr>
      </w:pPr>
      <w:r>
        <w:rPr>
          <w:rFonts w:hint="eastAsia" w:ascii="仿宋_GB2312" w:hAnsi="Arial" w:eastAsia="仿宋_GB2312" w:cs="Arial"/>
          <w:color w:val="000000"/>
          <w:sz w:val="32"/>
          <w:szCs w:val="32"/>
        </w:rPr>
        <w:t>2018年，科技局政府采购预算 0.00万元，其中：政府采购货物预算 0.00万元，政府采购工程预算 0.00万元，政府采购服务预算 0.00万元。</w:t>
      </w:r>
    </w:p>
    <w:p>
      <w:pPr>
        <w:pStyle w:val="4"/>
        <w:spacing w:before="0" w:beforeAutospacing="0" w:after="0" w:afterAutospacing="0" w:line="580" w:lineRule="exact"/>
        <w:ind w:firstLine="645"/>
        <w:rPr>
          <w:rFonts w:ascii="楷体" w:hAnsi="楷体" w:eastAsia="楷体" w:cs="Arial"/>
          <w:b/>
          <w:color w:val="000000"/>
          <w:sz w:val="32"/>
          <w:szCs w:val="32"/>
        </w:rPr>
      </w:pPr>
      <w:r>
        <w:rPr>
          <w:rFonts w:hint="eastAsia" w:ascii="楷体" w:hAnsi="楷体" w:eastAsia="楷体" w:cs="Arial"/>
          <w:b/>
          <w:color w:val="000000"/>
          <w:sz w:val="32"/>
          <w:szCs w:val="32"/>
        </w:rPr>
        <w:t>（三）国有资产占用使用情况</w:t>
      </w:r>
    </w:p>
    <w:p>
      <w:pPr>
        <w:pStyle w:val="4"/>
        <w:spacing w:before="0" w:beforeAutospacing="0" w:after="0" w:afterAutospacing="0" w:line="580" w:lineRule="exact"/>
        <w:ind w:firstLine="480"/>
        <w:rPr>
          <w:rFonts w:ascii="仿宋_GB2312" w:hAnsi="Arial" w:eastAsia="仿宋_GB2312" w:cs="Arial"/>
          <w:color w:val="000000"/>
          <w:sz w:val="32"/>
          <w:szCs w:val="32"/>
        </w:rPr>
      </w:pPr>
      <w:r>
        <w:rPr>
          <w:rFonts w:hint="eastAsia" w:ascii="仿宋_GB2312" w:hAnsi="Arial" w:eastAsia="仿宋_GB2312" w:cs="Arial"/>
          <w:color w:val="000000"/>
          <w:sz w:val="32"/>
          <w:szCs w:val="32"/>
        </w:rPr>
        <w:t>截至2017年12月31日，科技局（含科协）占用使用国有资产总体情况为房屋4303.00平方米，价值74.58万元；土地 0.00平方米，价值 0.00万元；车辆2辆（已上交未下账），价值29.35万元；办公家具价值11.54万元；其他资产价值   244.33万元。国有资产分布情况为：</w:t>
      </w:r>
    </w:p>
    <w:p>
      <w:pPr>
        <w:pStyle w:val="4"/>
        <w:spacing w:before="0" w:beforeAutospacing="0" w:after="0" w:afterAutospacing="0" w:line="580" w:lineRule="exact"/>
        <w:ind w:firstLine="480"/>
        <w:rPr>
          <w:rFonts w:ascii="仿宋_GB2312" w:hAnsi="Arial" w:eastAsia="仿宋_GB2312" w:cs="Arial"/>
          <w:color w:val="000000"/>
          <w:sz w:val="32"/>
          <w:szCs w:val="32"/>
        </w:rPr>
      </w:pPr>
      <w:r>
        <w:rPr>
          <w:rFonts w:hint="eastAsia" w:ascii="仿宋_GB2312" w:hAnsi="Arial" w:eastAsia="仿宋_GB2312" w:cs="Arial"/>
          <w:color w:val="000000"/>
          <w:sz w:val="32"/>
          <w:szCs w:val="32"/>
        </w:rPr>
        <w:t>本级部门房屋4303.00平方米，价值74.58万元；土地 0.00平方米，价值 0.00万元；车辆2辆，价值 29.35万元；办公家具价值11.54万元；其他资产价值244.33万元。</w:t>
      </w:r>
    </w:p>
    <w:p>
      <w:pPr>
        <w:pStyle w:val="4"/>
        <w:spacing w:before="0" w:beforeAutospacing="0" w:after="0" w:afterAutospacing="0" w:line="580" w:lineRule="exact"/>
        <w:ind w:firstLine="480"/>
        <w:rPr>
          <w:rFonts w:ascii="仿宋_GB2312" w:hAnsi="Arial" w:eastAsia="仿宋_GB2312" w:cs="Arial"/>
          <w:color w:val="000000"/>
          <w:sz w:val="32"/>
          <w:szCs w:val="32"/>
        </w:rPr>
      </w:pPr>
      <w:r>
        <w:rPr>
          <w:rFonts w:hint="eastAsia" w:ascii="仿宋_GB2312" w:hAnsi="Arial" w:eastAsia="仿宋_GB2312" w:cs="Arial"/>
          <w:color w:val="000000"/>
          <w:sz w:val="32"/>
          <w:szCs w:val="32"/>
        </w:rPr>
        <w:t>所属单位房屋 0.00平方米，价值 0.00万元；土地 0.00平方米，价值 0.00万元；车辆 0.00辆，价值 0.00万元；办公家具价值 0.00万元；其他资产价值 0.00万元。</w:t>
      </w:r>
    </w:p>
    <w:p>
      <w:pPr>
        <w:pStyle w:val="4"/>
        <w:spacing w:before="0" w:beforeAutospacing="0" w:after="0" w:afterAutospacing="0" w:line="580" w:lineRule="exact"/>
        <w:ind w:firstLine="645"/>
        <w:rPr>
          <w:rFonts w:ascii="楷体" w:hAnsi="楷体" w:eastAsia="楷体" w:cs="Arial"/>
          <w:b/>
          <w:color w:val="000000"/>
          <w:sz w:val="32"/>
          <w:szCs w:val="32"/>
        </w:rPr>
      </w:pPr>
      <w:r>
        <w:rPr>
          <w:rFonts w:hint="eastAsia" w:ascii="楷体" w:hAnsi="楷体" w:eastAsia="楷体" w:cs="Arial"/>
          <w:b/>
          <w:color w:val="000000"/>
          <w:sz w:val="32"/>
          <w:szCs w:val="32"/>
        </w:rPr>
        <w:t>（四）预算绩效情况</w:t>
      </w:r>
    </w:p>
    <w:p>
      <w:pPr>
        <w:pStyle w:val="4"/>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2018年科技局预算专利补助资金70.00万元，用于奖励企业发明专利的资金。</w:t>
      </w:r>
    </w:p>
    <w:p>
      <w:pPr>
        <w:pStyle w:val="4"/>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年度总体目标：凡年度获得发明专利的，一次性给予2.00万元奖励，凡年度获得实用新型专利的一次给予0.20万元奖励。</w:t>
      </w:r>
    </w:p>
    <w:p>
      <w:pPr>
        <w:pStyle w:val="4"/>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1、产出指标：</w:t>
      </w:r>
    </w:p>
    <w:p>
      <w:pPr>
        <w:pStyle w:val="4"/>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（1）数量指标：</w:t>
      </w:r>
    </w:p>
    <w:p>
      <w:pPr>
        <w:pStyle w:val="4"/>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指标</w:t>
      </w:r>
      <w:r>
        <w:rPr>
          <w:rFonts w:hint="eastAsia" w:cs="Arial"/>
          <w:color w:val="000000"/>
          <w:sz w:val="32"/>
          <w:szCs w:val="32"/>
        </w:rPr>
        <w:t>①</w:t>
      </w:r>
      <w:r>
        <w:rPr>
          <w:rFonts w:hint="eastAsia" w:ascii="仿宋_GB2312" w:hAnsi="Arial" w:eastAsia="仿宋_GB2312" w:cs="Arial"/>
          <w:color w:val="000000"/>
          <w:sz w:val="32"/>
          <w:szCs w:val="32"/>
        </w:rPr>
        <w:t>：奖励发明专利12件，指标值:100.00%。</w:t>
      </w:r>
    </w:p>
    <w:p>
      <w:pPr>
        <w:pStyle w:val="4"/>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指标</w:t>
      </w:r>
      <w:r>
        <w:rPr>
          <w:rFonts w:hint="eastAsia" w:cs="Arial"/>
          <w:color w:val="000000"/>
          <w:sz w:val="32"/>
          <w:szCs w:val="32"/>
        </w:rPr>
        <w:t>②</w:t>
      </w:r>
      <w:r>
        <w:rPr>
          <w:rFonts w:hint="eastAsia" w:ascii="仿宋_GB2312" w:hAnsi="Arial" w:eastAsia="仿宋_GB2312" w:cs="Arial"/>
          <w:color w:val="000000"/>
          <w:sz w:val="32"/>
          <w:szCs w:val="32"/>
        </w:rPr>
        <w:t>：奖励实用新型185件,指标值:100.00%。</w:t>
      </w:r>
    </w:p>
    <w:p>
      <w:pPr>
        <w:pStyle w:val="4"/>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时效指标：按时兑现。</w:t>
      </w:r>
    </w:p>
    <w:p>
      <w:pPr>
        <w:pStyle w:val="4"/>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经济指标：增强创新意识，加大科技投入。</w:t>
      </w:r>
    </w:p>
    <w:p>
      <w:pPr>
        <w:pStyle w:val="4"/>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效益指标：增强知识产权保护意识，提升知识产权创造水平，强化企业知识产权管理标准化建设，提升企业专利信息利用能力，提升专利创造运用能力，提升知识产权保护能力。指标值：有所提升。</w:t>
      </w:r>
    </w:p>
    <w:p>
      <w:pPr>
        <w:pStyle w:val="4"/>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满意度指标：满意，指标值:100%</w:t>
      </w:r>
    </w:p>
    <w:p>
      <w:pPr>
        <w:pStyle w:val="4"/>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 （五）其他需说明的事项</w:t>
      </w:r>
    </w:p>
    <w:p>
      <w:pPr>
        <w:pStyle w:val="4"/>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无其他需要说明情况</w:t>
      </w:r>
    </w:p>
    <w:p>
      <w:pPr>
        <w:pStyle w:val="4"/>
        <w:spacing w:before="0" w:beforeAutospacing="0" w:after="0" w:afterAutospacing="0" w:line="580" w:lineRule="exact"/>
        <w:ind w:firstLine="720"/>
        <w:rPr>
          <w:rStyle w:val="7"/>
          <w:rFonts w:ascii="仿宋_GB2312" w:hAnsi="黑体" w:eastAsia="仿宋_GB2312"/>
          <w:sz w:val="32"/>
          <w:szCs w:val="32"/>
        </w:rPr>
      </w:pPr>
      <w:r>
        <w:rPr>
          <w:rStyle w:val="7"/>
          <w:rFonts w:hint="eastAsia" w:ascii="仿宋_GB2312" w:hAnsi="黑体" w:eastAsia="仿宋_GB2312" w:cs="Arial"/>
          <w:color w:val="000000"/>
          <w:sz w:val="32"/>
          <w:szCs w:val="32"/>
        </w:rPr>
        <w:t>盐池县科学技术局------名词解释</w:t>
      </w:r>
    </w:p>
    <w:p>
      <w:pPr>
        <w:pStyle w:val="4"/>
        <w:spacing w:before="0" w:beforeAutospacing="0" w:after="0" w:afterAutospacing="0" w:line="580" w:lineRule="exact"/>
        <w:ind w:firstLine="630"/>
        <w:rPr>
          <w:rFonts w:ascii="仿宋_GB2312" w:hAnsi="Arial" w:eastAsia="仿宋_GB2312" w:cs="Arial"/>
          <w:color w:val="000000"/>
          <w:sz w:val="32"/>
          <w:szCs w:val="32"/>
        </w:rPr>
      </w:pPr>
      <w:r>
        <w:rPr>
          <w:rFonts w:hint="eastAsia" w:ascii="仿宋_GB2312" w:hAnsi="Arial" w:eastAsia="仿宋_GB2312" w:cs="Arial"/>
          <w:color w:val="000000"/>
          <w:sz w:val="32"/>
          <w:szCs w:val="32"/>
        </w:rPr>
        <w:t>本年收入：是指单位本年度取得的全部收入。</w:t>
      </w:r>
    </w:p>
    <w:p>
      <w:pPr>
        <w:pStyle w:val="4"/>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本年支出：是指单位本年度全部支出。</w:t>
      </w:r>
    </w:p>
    <w:p>
      <w:pPr>
        <w:pStyle w:val="4"/>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基本支出：是指预算单位为保障机构正常运转和完成日常工作任务而发生的各项支出，包括人员经费和公用经费。</w:t>
      </w:r>
    </w:p>
    <w:p>
      <w:pPr>
        <w:pStyle w:val="4"/>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项目支出：是指行政单位为完成特定的工作任务和事业发展目标，在基本的预算支出以外，财政预算专项安排的支出。</w:t>
      </w:r>
      <w:r>
        <w:rPr>
          <w:rFonts w:hint="eastAsia" w:ascii="仿宋_GB2312" w:hAnsi="微软雅黑" w:eastAsia="仿宋_GB2312" w:cs="Arial"/>
          <w:color w:val="000000"/>
          <w:sz w:val="32"/>
          <w:szCs w:val="32"/>
        </w:rPr>
        <w:t>   </w:t>
      </w:r>
    </w:p>
    <w:p>
      <w:pPr>
        <w:pStyle w:val="4"/>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“三公”经费：是指用财政性资金安排的因公出国（境）费、公务用车购置及运行维护费、公务接待费。</w:t>
      </w:r>
    </w:p>
    <w:p>
      <w:pPr>
        <w:pStyle w:val="4"/>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住房公积金：指按照国家统一规定，按规定比例</w:t>
      </w:r>
      <w:bookmarkStart w:id="0" w:name="_GoBack"/>
      <w:bookmarkEnd w:id="0"/>
      <w:r>
        <w:rPr>
          <w:rFonts w:hint="eastAsia" w:ascii="仿宋_GB2312" w:hAnsi="Arial" w:eastAsia="仿宋_GB2312" w:cs="Arial"/>
          <w:color w:val="000000"/>
          <w:sz w:val="32"/>
          <w:szCs w:val="32"/>
        </w:rPr>
        <w:t>为职工缴纳的住房公积金。</w:t>
      </w:r>
    </w:p>
    <w:p>
      <w:pPr>
        <w:pStyle w:val="4"/>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购房补贴：指按照房改政策规定，向无房职工、住房面积未达到规定标准的职工发放的住房补贴。</w:t>
      </w:r>
    </w:p>
    <w:p>
      <w:pPr>
        <w:pStyle w:val="4"/>
        <w:spacing w:before="0" w:beforeAutospacing="0" w:after="0" w:afterAutospacing="0" w:line="580" w:lineRule="exact"/>
        <w:ind w:firstLine="645"/>
        <w:rPr>
          <w:rFonts w:ascii="仿宋_GB2312" w:hAnsi="Arial" w:eastAsia="仿宋_GB2312" w:cs="Arial"/>
          <w:color w:val="000000"/>
          <w:sz w:val="32"/>
          <w:szCs w:val="32"/>
        </w:rPr>
      </w:pPr>
      <w:r>
        <w:rPr>
          <w:rFonts w:hint="eastAsia" w:ascii="仿宋_GB2312" w:hAnsi="Arial" w:eastAsia="仿宋_GB2312" w:cs="Arial"/>
          <w:color w:val="000000"/>
          <w:sz w:val="32"/>
          <w:szCs w:val="32"/>
        </w:rPr>
        <w:t>机关运行经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交通费用。</w:t>
      </w:r>
    </w:p>
    <w:p>
      <w:pPr>
        <w:pStyle w:val="4"/>
        <w:spacing w:before="0" w:beforeAutospacing="0" w:after="0" w:afterAutospacing="0" w:line="580" w:lineRule="exact"/>
        <w:rPr>
          <w:rFonts w:ascii="仿宋_GB2312" w:hAnsi="Arial" w:eastAsia="仿宋_GB2312" w:cs="Arial"/>
          <w:color w:val="000000"/>
          <w:sz w:val="32"/>
          <w:szCs w:val="32"/>
        </w:rPr>
      </w:pPr>
      <w:r>
        <w:rPr>
          <w:rFonts w:hint="eastAsia" w:ascii="仿宋_GB2312" w:hAnsi="Arial" w:eastAsia="仿宋_GB2312" w:cs="Arial"/>
          <w:color w:val="000000"/>
          <w:sz w:val="32"/>
          <w:szCs w:val="32"/>
        </w:rPr>
        <w:t> </w:t>
      </w:r>
    </w:p>
    <w:p>
      <w:pPr>
        <w:pStyle w:val="4"/>
        <w:spacing w:before="0" w:beforeAutospacing="0" w:after="0" w:afterAutospacing="0" w:line="580" w:lineRule="exact"/>
        <w:ind w:firstLine="540"/>
        <w:rPr>
          <w:rFonts w:ascii="仿宋_GB2312" w:hAnsi="Arial" w:eastAsia="仿宋_GB2312" w:cs="Arial"/>
          <w:color w:val="000000"/>
          <w:sz w:val="32"/>
          <w:szCs w:val="32"/>
        </w:rPr>
      </w:pPr>
      <w:r>
        <w:rPr>
          <w:rFonts w:hint="eastAsia" w:ascii="仿宋_GB2312" w:eastAsia="仿宋_GB2312" w:cs="Arial"/>
          <w:color w:val="000000"/>
          <w:sz w:val="32"/>
          <w:szCs w:val="32"/>
        </w:rPr>
        <w:t> </w:t>
      </w:r>
    </w:p>
    <w:p>
      <w:pPr>
        <w:spacing w:line="580" w:lineRule="exact"/>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方正小标宋简体">
    <w:altName w:val="仿宋_GB2312"/>
    <w:panose1 w:val="02010601030101010101"/>
    <w:charset w:val="86"/>
    <w:family w:val="auto"/>
    <w:pitch w:val="default"/>
    <w:sig w:usb0="00000000" w:usb1="00000000" w:usb2="0000001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微软雅黑">
    <w:panose1 w:val="020B0503020204020204"/>
    <w:charset w:val="86"/>
    <w:family w:val="swiss"/>
    <w:pitch w:val="default"/>
    <w:sig w:usb0="80000287" w:usb1="1A0F3C52" w:usb2="00000010"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D90"/>
    <w:rsid w:val="000067DC"/>
    <w:rsid w:val="000565CE"/>
    <w:rsid w:val="001903F8"/>
    <w:rsid w:val="002C7D7B"/>
    <w:rsid w:val="00356835"/>
    <w:rsid w:val="003E0DDD"/>
    <w:rsid w:val="00526622"/>
    <w:rsid w:val="00672642"/>
    <w:rsid w:val="00695149"/>
    <w:rsid w:val="006B3542"/>
    <w:rsid w:val="007C4F86"/>
    <w:rsid w:val="007D542D"/>
    <w:rsid w:val="0086065D"/>
    <w:rsid w:val="008E61AF"/>
    <w:rsid w:val="00943D29"/>
    <w:rsid w:val="00A1165F"/>
    <w:rsid w:val="00A34BB5"/>
    <w:rsid w:val="00A8082D"/>
    <w:rsid w:val="00AB7D90"/>
    <w:rsid w:val="00AE2CA5"/>
    <w:rsid w:val="00BC05F1"/>
    <w:rsid w:val="00C47101"/>
    <w:rsid w:val="00C657D9"/>
    <w:rsid w:val="00CA6479"/>
    <w:rsid w:val="00CD3F56"/>
    <w:rsid w:val="00DB571B"/>
    <w:rsid w:val="00E67F42"/>
    <w:rsid w:val="00E71818"/>
    <w:rsid w:val="00FD3DC8"/>
    <w:rsid w:val="526F02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11</Pages>
  <Words>684</Words>
  <Characters>3905</Characters>
  <Lines>32</Lines>
  <Paragraphs>9</Paragraphs>
  <TotalTime>13</TotalTime>
  <ScaleCrop>false</ScaleCrop>
  <LinksUpToDate>false</LinksUpToDate>
  <CharactersWithSpaces>4580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2019-04-01T09:42:00Z</dcterms:created>
  <dc:creator>Windows User</dc:creator>
  <cp:lastModifiedBy>Lee</cp:lastModifiedBy>
  <dcterms:modified xsi:type="dcterms:W3CDTF">2023-04-20T08:57:48Z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