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cs="Times New Roman"/>
          <w:b/>
          <w:bCs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cs="Times New Roman"/>
          <w:b/>
          <w:bCs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cs="Times New Roman"/>
          <w:b/>
          <w:bCs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cs="Times New Roman"/>
          <w:b/>
          <w:bCs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cs="Times New Roman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盐池县人力资源和社会保障局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cs="Times New Roman"/>
          <w:b/>
          <w:bCs/>
          <w:kern w:val="0"/>
          <w:sz w:val="52"/>
          <w:szCs w:val="52"/>
        </w:rPr>
      </w:pPr>
      <w:r>
        <w:rPr>
          <w:rFonts w:ascii="宋体" w:hAnsi="宋体" w:cs="宋体"/>
          <w:b/>
          <w:bCs/>
          <w:kern w:val="0"/>
          <w:sz w:val="52"/>
          <w:szCs w:val="52"/>
        </w:rPr>
        <w:t>2018</w:t>
      </w:r>
      <w:r>
        <w:rPr>
          <w:rFonts w:hint="eastAsia" w:ascii="宋体" w:hAnsi="宋体" w:cs="宋体"/>
          <w:b/>
          <w:bCs/>
          <w:kern w:val="0"/>
          <w:sz w:val="52"/>
          <w:szCs w:val="52"/>
        </w:rPr>
        <w:t>年部门预算公开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both"/>
        <w:rPr>
          <w:rStyle w:val="7"/>
          <w:rFonts w:ascii="宋体" w:cs="Times New Roman"/>
          <w:sz w:val="43"/>
          <w:szCs w:val="43"/>
          <w:shd w:val="clear" w:color="auto" w:fill="FFFFFF"/>
        </w:rPr>
      </w:pPr>
    </w:p>
    <w:p>
      <w:pPr>
        <w:widowControl/>
        <w:jc w:val="center"/>
        <w:outlineLvl w:val="1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目录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Fonts w:ascii="微软雅黑" w:hAnsi="微软雅黑" w:eastAsia="微软雅黑" w:cs="Times New Roman"/>
          <w:sz w:val="27"/>
          <w:szCs w:val="27"/>
        </w:rPr>
      </w:pPr>
      <w:r>
        <w:rPr>
          <w:rStyle w:val="7"/>
          <w:rFonts w:ascii="宋体" w:cs="Times New Roman"/>
          <w:sz w:val="43"/>
          <w:szCs w:val="43"/>
          <w:shd w:val="clear" w:color="auto" w:fill="FFFFFF"/>
        </w:rPr>
        <w:t> </w:t>
      </w:r>
    </w:p>
    <w:p>
      <w:pPr>
        <w:widowControl/>
        <w:ind w:firstLine="642" w:firstLineChars="200"/>
        <w:outlineLvl w:val="1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第一部分</w:t>
      </w:r>
      <w:r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单位概况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一、主要职能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二、部门预算单位构成</w:t>
      </w:r>
    </w:p>
    <w:p>
      <w:pPr>
        <w:widowControl/>
        <w:ind w:firstLine="642" w:firstLineChars="200"/>
        <w:outlineLvl w:val="1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第二部分</w:t>
      </w:r>
      <w:r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  <w:t> </w:t>
      </w:r>
      <w:r>
        <w:rPr>
          <w:rFonts w:ascii="仿宋_GB2312" w:hAnsi="宋体" w:eastAsia="仿宋_GB2312" w:cs="仿宋_GB2312"/>
          <w:b/>
          <w:bCs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年部门预算情况说明</w:t>
      </w:r>
    </w:p>
    <w:p>
      <w:pPr>
        <w:widowControl/>
        <w:ind w:firstLine="642" w:firstLineChars="200"/>
        <w:outlineLvl w:val="1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第三部分</w:t>
      </w:r>
      <w:r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名词解释</w:t>
      </w:r>
    </w:p>
    <w:p>
      <w:pPr>
        <w:widowControl/>
        <w:ind w:firstLine="642" w:firstLineChars="200"/>
        <w:outlineLvl w:val="1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第四部分</w:t>
      </w:r>
      <w:r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  <w:t> </w:t>
      </w:r>
      <w:r>
        <w:rPr>
          <w:rFonts w:ascii="仿宋_GB2312" w:hAnsi="宋体" w:eastAsia="仿宋_GB2312" w:cs="仿宋_GB2312"/>
          <w:b/>
          <w:bCs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年部门预算表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一、财政拨款收支总表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二、财政拨款支出总表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三、一般公共预算支出表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四、一般公共预算基本支出表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五、一般公共预算“三公”经费、会议费、培训费支出预算表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六、政府性基金预算支出表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七、部门收支总表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八、部门收入总表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九、部门支出总表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十、政府采购预算表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rPr>
          <w:rFonts w:ascii="微软雅黑" w:hAnsi="微软雅黑" w:eastAsia="微软雅黑" w:cs="Times New Roman"/>
          <w:sz w:val="27"/>
          <w:szCs w:val="27"/>
        </w:rPr>
      </w:pPr>
      <w:r>
        <w:rPr>
          <w:rStyle w:val="7"/>
          <w:rFonts w:ascii="仿宋_GB2312" w:hAnsi="微软雅黑" w:eastAsia="仿宋_GB2312" w:cs="Times New Roman"/>
          <w:sz w:val="31"/>
          <w:szCs w:val="31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rPr>
          <w:rFonts w:ascii="微软雅黑" w:hAnsi="微软雅黑" w:eastAsia="微软雅黑" w:cs="Times New Roman"/>
          <w:sz w:val="27"/>
          <w:szCs w:val="27"/>
        </w:rPr>
      </w:pPr>
      <w:r>
        <w:rPr>
          <w:rStyle w:val="7"/>
          <w:rFonts w:ascii="仿宋_GB2312" w:hAnsi="微软雅黑" w:eastAsia="仿宋_GB2312" w:cs="Times New Roman"/>
          <w:sz w:val="31"/>
          <w:szCs w:val="31"/>
          <w:shd w:val="clear" w:color="auto" w:fill="FFFFFF"/>
        </w:rPr>
        <w:t> 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6"/>
          <w:szCs w:val="36"/>
        </w:rPr>
        <w:t>盐池县人力资源和社会保障局</w:t>
      </w:r>
      <w:r>
        <w:rPr>
          <w:rFonts w:ascii="仿宋_GB2312" w:hAnsi="宋体" w:eastAsia="仿宋_GB2312" w:cs="仿宋_GB2312"/>
          <w:b/>
          <w:bCs/>
          <w:kern w:val="0"/>
          <w:sz w:val="36"/>
          <w:szCs w:val="36"/>
        </w:rPr>
        <w:t>2018</w:t>
      </w:r>
      <w:r>
        <w:rPr>
          <w:rFonts w:hint="eastAsia" w:ascii="仿宋_GB2312" w:hAnsi="宋体" w:eastAsia="仿宋_GB2312" w:cs="仿宋_GB2312"/>
          <w:b/>
          <w:bCs/>
          <w:kern w:val="0"/>
          <w:sz w:val="36"/>
          <w:szCs w:val="36"/>
        </w:rPr>
        <w:t>年部门预算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bCs/>
          <w:kern w:val="0"/>
          <w:sz w:val="36"/>
          <w:szCs w:val="36"/>
        </w:rPr>
      </w:pPr>
      <w:r>
        <w:rPr>
          <w:rFonts w:ascii="仿宋_GB2312" w:hAnsi="宋体" w:eastAsia="仿宋_GB2312" w:cs="仿宋_GB2312"/>
          <w:b/>
          <w:bCs/>
          <w:kern w:val="0"/>
          <w:sz w:val="36"/>
          <w:szCs w:val="36"/>
        </w:rPr>
        <w:t>——</w:t>
      </w:r>
      <w:r>
        <w:rPr>
          <w:rFonts w:hint="eastAsia" w:ascii="仿宋_GB2312" w:hAnsi="宋体" w:eastAsia="仿宋_GB2312" w:cs="仿宋_GB2312"/>
          <w:b/>
          <w:bCs/>
          <w:kern w:val="0"/>
          <w:sz w:val="36"/>
          <w:szCs w:val="36"/>
        </w:rPr>
        <w:t>单位概况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rPr>
          <w:rFonts w:ascii="微软雅黑" w:hAnsi="微软雅黑" w:eastAsia="微软雅黑" w:cs="Times New Roman"/>
          <w:sz w:val="27"/>
          <w:szCs w:val="27"/>
        </w:rPr>
      </w:pPr>
      <w:r>
        <w:rPr>
          <w:rStyle w:val="7"/>
          <w:rFonts w:ascii="仿宋_GB2312" w:hAnsi="微软雅黑" w:eastAsia="仿宋_GB2312" w:cs="Times New Roman"/>
          <w:sz w:val="36"/>
          <w:szCs w:val="36"/>
          <w:shd w:val="clear" w:color="auto" w:fill="FFFFFF"/>
        </w:rPr>
        <w:t> </w:t>
      </w:r>
    </w:p>
    <w:p>
      <w:pPr>
        <w:widowControl/>
        <w:spacing w:line="560" w:lineRule="exact"/>
        <w:ind w:firstLine="642" w:firstLineChars="200"/>
        <w:jc w:val="left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一、主要职能</w:t>
      </w:r>
    </w:p>
    <w:p>
      <w:pPr>
        <w:widowControl/>
        <w:shd w:val="clear" w:color="auto" w:fill="FFFFFF"/>
        <w:spacing w:line="555" w:lineRule="atLeas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、人力资源和社会保障局工作职责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一）贯彻实施有关法律、法规、规章，执行党和国家关于人力资源和社会保障工作的方针、政策；起草人才开发、人事行政管理、劳动和社会保障工作规范性文件，拟定盐池县人力资源和社会保障事业发展规划，并组织实施和监督检查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（二）负责并组织实施全县行政机关公务员培训考核管理；会同有关部门拟定政府奖励制度；管理全县机关事业单位工作人员年度考核工作。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（三）拟定引进高层次人才和紧缺人才规划和管理办法，负责人才管理和服务工作。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（四）拟定人力资源市场发展规划，建立统一规范的人力资源市场，促进人力资源合理流动、有效配置。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五）负责促进就业的责任。拟定统筹城乡的就业发展规划，完善公共就业服务体系和就业援助制度；统筹建立面向城乡劳动者的职业技能培训制度；负责大中专毕业生离校后的就业指导和服务工作；落实技能人才，农村实用人才培养和激励政策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（六）承担社会保险基金监督管理的责任。统筹建立覆盖城乡的社会保障体系，监督管理社会保险基金。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七）负责全县机关、事业单位职工及离退休人员工资调整管理工作。拟定事业单位工作人员绩效工资分配办法；负责遗属生活费审批工作；监督检查全县机关、事业单位带薪年休假、婚丧假的实施情况；办理探亲假手续；建立全县机关事业单位人员工资正常增长和支付保障机制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八）拟定事业单位人员管理办法，会同有关部门指导、实施全县事业单位人事制度改革；参与人才管理工作，制定专业技术人员管理和继续教育办法，负责推进深化职称制度改革工作，健全高层次人才管理制度，负责专业技术人才选拔和培养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（九）会同有关部门拟定军队转业干部安置计划并组织实施。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（十）会同有关部门拟定农民工工作规划，推动农民工相关政策的落实，协调解决重点难点问题，维护农民工合法权益。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（十一）负责劳动人事争议调解仲裁工作，完善劳动关系协调机制；负责查处非法使用童工和女工、未成年工的违法行为；组织实施劳动监察，依法查处劳动保障案件，维护劳动者合法权益。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（十二）负责全县机关事业单位退休、退职人员审批工作；负责在职人员及企业下岗人员工龄认定工作；负责工伤认定工作。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（十三）负责本系统的信息、宣传、教育及文书档案归档和管理工作，完善局机关党建、纪律、廉政建设的管理办法，提高职工素质，加强自身建设，指导管理局属事业单位。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（十四）承办县人民政府交办的其他事项。</w:t>
      </w:r>
    </w:p>
    <w:p>
      <w:pPr>
        <w:widowControl/>
        <w:shd w:val="clear" w:color="auto" w:fill="FFFFFF"/>
        <w:spacing w:line="555" w:lineRule="atLeas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、编制委员会办公室工作职责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（一）贯彻执行中央、自治区关于行政管理体制、事业单位体制及机构改革和机构编制管理的方针、政策。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（二）研究、制定全县行政管理体制、机构改革和机构编制管理的有关规定和办法。统一管理全县党政机关、人大、政协、法院、检察院、各民主党派、人民团体机关及乡镇的机构编制工作。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（三）调查、研究提出全县事业单位管理体制、机构改革方案并在县机构改革领导小组的指导下组织实施。按照机构编制管理权限，审核报批县直属事业单位、各部门所属事业单位的机构改革方案。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（四）协调县委、政府各部门的职能配置，协调县直各部门之间的职责分工。按照机构编制管理权限，会同有关部门对行政审批事项和行政执法机构的资格认可，进行审查。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五）负责审核全县党政机关，人大、政协、法院、检察院、各民主党派、人民团体、乡镇、事业单位的工资基金和人员编制，负责对人员结构、空编员额管理以及机构设置、人员编制、领导职数提出意见和报批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（六）负责提出全县党政机关，人大、政协、法院、检察院、各民主党派、人民团体、乡镇、事业单位的机构编制方案。配合有关部门按照编制，做好人员的余缺调剂工作。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七）会同有关部门对全县党政机构改革、事业单位机构改革进行检查验收，监督检查全县党政群机关、事业单位的机构编制执行情况；会同有关部门建立机构编制管理预算约束机制和监督惩处制度，并组织实施；负责审核办理全县党政群机关、政府直属事业单位和各部门所属事业单位《机构编制管理证》及新增人员的控编、列编手续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（八）负责全县事业单位的登记管理工作，组织实施县委、政府直属事业单位及各部门所属事业单位的登记和年度检验工作。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（九）负责全县行政机关、事业单位全国统一代码标识的分配颁码和机构编制的统计、信息、总结工作。</w:t>
      </w:r>
    </w:p>
    <w:p>
      <w:pPr>
        <w:widowControl/>
        <w:shd w:val="clear" w:color="auto" w:fill="FFFFFF"/>
        <w:spacing w:line="555" w:lineRule="atLeast"/>
        <w:ind w:firstLine="480"/>
        <w:jc w:val="left"/>
        <w:rPr>
          <w:rFonts w:ascii="微软雅黑" w:hAnsi="微软雅黑" w:eastAsia="微软雅黑" w:cs="Times New Roman"/>
          <w:sz w:val="27"/>
          <w:szCs w:val="27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（十）承办县委、县编委及上级业务主管部门交办的其他工作。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rPr>
          <w:rFonts w:ascii="仿宋_GB2312" w:hAnsi="微软雅黑" w:eastAsia="仿宋_GB2312" w:cs="Times New Roman"/>
          <w:sz w:val="31"/>
          <w:szCs w:val="3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55" w:lineRule="atLeast"/>
        <w:rPr>
          <w:rFonts w:ascii="仿宋_GB2312" w:hAnsi="微软雅黑" w:eastAsia="仿宋_GB2312" w:cs="Times New Roman"/>
          <w:sz w:val="31"/>
          <w:szCs w:val="3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42" w:firstLineChars="200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二、部门预算单位构成</w:t>
      </w:r>
    </w:p>
    <w:p>
      <w:pPr>
        <w:widowControl/>
        <w:shd w:val="clear" w:color="auto" w:fill="FFFFFF"/>
        <w:spacing w:line="555" w:lineRule="atLeas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从预算单位构成看，人力资源和社会保障局部门预算包括：本级预算、纳入人力资源和社会保障局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年部门预算编制的二级预算单位包括：</w:t>
      </w:r>
    </w:p>
    <w:p>
      <w:pPr>
        <w:widowControl/>
        <w:shd w:val="clear" w:color="auto" w:fill="FFFFFF"/>
        <w:spacing w:line="555" w:lineRule="atLeas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、盐池县机构编制委员会办公室。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20" w:firstLineChars="200"/>
        <w:rPr>
          <w:rFonts w:ascii="微软雅黑" w:hAnsi="微软雅黑" w:eastAsia="微软雅黑" w:cs="Times New Roman"/>
          <w:sz w:val="27"/>
          <w:szCs w:val="27"/>
        </w:rPr>
      </w:pPr>
      <w:r>
        <w:rPr>
          <w:rFonts w:ascii="仿宋_GB2312" w:hAnsi="微软雅黑" w:eastAsia="仿宋_GB2312" w:cs="Times New Roman"/>
          <w:sz w:val="31"/>
          <w:szCs w:val="31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人力资源和社会保障局</w:t>
      </w:r>
      <w:r>
        <w:rPr>
          <w:rFonts w:ascii="仿宋_GB2312" w:hAnsi="宋体" w:eastAsia="仿宋_GB2312" w:cs="仿宋_GB2312"/>
          <w:b/>
          <w:bCs/>
          <w:sz w:val="36"/>
          <w:szCs w:val="36"/>
        </w:rPr>
        <w:t>2018</w:t>
      </w: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年部门预算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ascii="仿宋_GB2312" w:hAnsi="宋体" w:eastAsia="仿宋_GB2312" w:cs="仿宋_GB2312"/>
          <w:b/>
          <w:bCs/>
          <w:sz w:val="36"/>
          <w:szCs w:val="36"/>
        </w:rPr>
        <w:t>——</w:t>
      </w: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部门预算情况说明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722" w:firstLineChars="200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ascii="仿宋_GB2312" w:hAnsi="宋体" w:eastAsia="仿宋_GB2312" w:cs="Times New Roman"/>
          <w:b/>
          <w:bCs/>
          <w:sz w:val="36"/>
          <w:szCs w:val="36"/>
        </w:rPr>
        <w:t> </w:t>
      </w:r>
    </w:p>
    <w:p>
      <w:pPr>
        <w:widowControl/>
        <w:spacing w:line="560" w:lineRule="exact"/>
        <w:ind w:firstLine="642" w:firstLineChars="200"/>
        <w:jc w:val="left"/>
        <w:rPr>
          <w:rFonts w:ascii="黑体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b/>
          <w:bCs/>
          <w:kern w:val="0"/>
          <w:sz w:val="32"/>
          <w:szCs w:val="32"/>
        </w:rPr>
        <w:t>一、人力资源和社会保障局</w:t>
      </w:r>
      <w:r>
        <w:rPr>
          <w:rFonts w:ascii="黑体" w:hAnsi="Times New Roman" w:eastAsia="黑体" w:cs="黑体"/>
          <w:b/>
          <w:bCs/>
          <w:kern w:val="0"/>
          <w:sz w:val="32"/>
          <w:szCs w:val="32"/>
        </w:rPr>
        <w:t>2018</w:t>
      </w:r>
      <w:r>
        <w:rPr>
          <w:rFonts w:hint="eastAsia" w:ascii="黑体" w:hAnsi="Times New Roman" w:eastAsia="黑体" w:cs="黑体"/>
          <w:b/>
          <w:bCs/>
          <w:kern w:val="0"/>
          <w:sz w:val="32"/>
          <w:szCs w:val="32"/>
        </w:rPr>
        <w:t>年财政拨款收支预算情况说明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人力资源和社会保障局</w:t>
      </w:r>
      <w:r>
        <w:rPr>
          <w:rFonts w:ascii="仿宋_GB2312" w:hAnsi="宋体" w:eastAsia="仿宋_GB2312" w:cs="仿宋_GB2312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sz w:val="32"/>
          <w:szCs w:val="32"/>
        </w:rPr>
        <w:t>年财政拨款收支总预算</w:t>
      </w:r>
      <w:r>
        <w:rPr>
          <w:rFonts w:ascii="仿宋_GB2312" w:hAnsi="宋体" w:eastAsia="仿宋_GB2312" w:cs="仿宋_GB2312"/>
          <w:sz w:val="32"/>
          <w:szCs w:val="32"/>
        </w:rPr>
        <w:t>528.92</w:t>
      </w:r>
      <w:r>
        <w:rPr>
          <w:rFonts w:hint="eastAsia" w:ascii="仿宋_GB2312" w:hAnsi="宋体" w:eastAsia="仿宋_GB2312" w:cs="仿宋_GB2312"/>
          <w:sz w:val="32"/>
          <w:szCs w:val="32"/>
        </w:rPr>
        <w:t>万元。收入预算包括：一般公共预算拨款</w:t>
      </w:r>
      <w:r>
        <w:rPr>
          <w:rFonts w:ascii="仿宋_GB2312" w:hAnsi="宋体" w:eastAsia="仿宋_GB2312" w:cs="仿宋_GB2312"/>
          <w:sz w:val="32"/>
          <w:szCs w:val="32"/>
        </w:rPr>
        <w:t>528.92</w:t>
      </w:r>
      <w:r>
        <w:rPr>
          <w:rFonts w:hint="eastAsia" w:ascii="仿宋_GB2312" w:hAnsi="宋体" w:eastAsia="仿宋_GB2312" w:cs="仿宋_GB2312"/>
          <w:sz w:val="32"/>
          <w:szCs w:val="32"/>
        </w:rPr>
        <w:t>万元、政府性基金预算财政拨款</w:t>
      </w:r>
      <w:r>
        <w:rPr>
          <w:rFonts w:ascii="仿宋_GB2312" w:hAnsi="宋体" w:eastAsia="仿宋_GB2312" w:cs="仿宋_GB2312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sz w:val="32"/>
          <w:szCs w:val="32"/>
        </w:rPr>
        <w:t>万元。支出预算包括：一般公共服务支出</w:t>
      </w:r>
      <w:r>
        <w:rPr>
          <w:rFonts w:ascii="仿宋_GB2312" w:hAnsi="宋体" w:eastAsia="仿宋_GB2312" w:cs="仿宋_GB2312"/>
          <w:sz w:val="32"/>
          <w:szCs w:val="32"/>
        </w:rPr>
        <w:t>399.97</w:t>
      </w:r>
      <w:r>
        <w:rPr>
          <w:rFonts w:hint="eastAsia" w:ascii="仿宋_GB2312" w:hAnsi="宋体" w:eastAsia="仿宋_GB2312" w:cs="仿宋_GB2312"/>
          <w:sz w:val="32"/>
          <w:szCs w:val="32"/>
        </w:rPr>
        <w:t>万元、社会保障和就业支出</w:t>
      </w:r>
      <w:r>
        <w:rPr>
          <w:rFonts w:ascii="仿宋_GB2312" w:hAnsi="宋体" w:eastAsia="仿宋_GB2312" w:cs="仿宋_GB2312"/>
          <w:sz w:val="32"/>
          <w:szCs w:val="32"/>
        </w:rPr>
        <w:t>69.72</w:t>
      </w:r>
      <w:r>
        <w:rPr>
          <w:rFonts w:hint="eastAsia" w:ascii="仿宋_GB2312" w:hAnsi="宋体" w:eastAsia="仿宋_GB2312" w:cs="仿宋_GB2312"/>
          <w:sz w:val="32"/>
          <w:szCs w:val="32"/>
        </w:rPr>
        <w:t>万元、住房保障支出</w:t>
      </w:r>
      <w:r>
        <w:rPr>
          <w:rFonts w:ascii="仿宋_GB2312" w:hAnsi="宋体" w:eastAsia="仿宋_GB2312" w:cs="仿宋_GB2312"/>
          <w:sz w:val="32"/>
          <w:szCs w:val="32"/>
        </w:rPr>
        <w:t>35.99</w:t>
      </w:r>
      <w:r>
        <w:rPr>
          <w:rFonts w:hint="eastAsia" w:ascii="仿宋_GB2312" w:hAnsi="宋体" w:eastAsia="仿宋_GB2312" w:cs="仿宋_GB2312"/>
          <w:sz w:val="32"/>
          <w:szCs w:val="32"/>
        </w:rPr>
        <w:t>万元、医疗卫生与计划生育支出</w:t>
      </w:r>
      <w:r>
        <w:rPr>
          <w:rFonts w:ascii="仿宋_GB2312" w:hAnsi="宋体" w:eastAsia="仿宋_GB2312" w:cs="仿宋_GB2312"/>
          <w:sz w:val="32"/>
          <w:szCs w:val="32"/>
        </w:rPr>
        <w:t>23.24</w:t>
      </w:r>
      <w:r>
        <w:rPr>
          <w:rFonts w:hint="eastAsia" w:ascii="仿宋_GB2312" w:hAnsi="宋体" w:eastAsia="仿宋_GB2312" w:cs="仿宋_GB2312"/>
          <w:sz w:val="32"/>
          <w:szCs w:val="32"/>
        </w:rPr>
        <w:t>万元。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42" w:firstLineChars="200"/>
        <w:rPr>
          <w:rFonts w:ascii="微软雅黑" w:hAnsi="微软雅黑" w:eastAsia="微软雅黑" w:cs="Times New Roman"/>
          <w:sz w:val="27"/>
          <w:szCs w:val="27"/>
        </w:rPr>
      </w:pPr>
      <w:r>
        <w:rPr>
          <w:rFonts w:hint="eastAsia" w:ascii="黑体" w:hAnsi="Times New Roman" w:eastAsia="黑体" w:cs="黑体"/>
          <w:b/>
          <w:bCs/>
          <w:sz w:val="32"/>
          <w:szCs w:val="32"/>
        </w:rPr>
        <w:t>二、人力资源和社会保障局</w:t>
      </w:r>
      <w:r>
        <w:rPr>
          <w:rFonts w:ascii="黑体" w:hAnsi="Times New Roman" w:eastAsia="黑体" w:cs="黑体"/>
          <w:b/>
          <w:bCs/>
          <w:sz w:val="32"/>
          <w:szCs w:val="32"/>
        </w:rPr>
        <w:t>2018</w:t>
      </w:r>
      <w:r>
        <w:rPr>
          <w:rFonts w:hint="eastAsia" w:ascii="黑体" w:hAnsi="Times New Roman" w:eastAsia="黑体" w:cs="黑体"/>
          <w:b/>
          <w:bCs/>
          <w:sz w:val="32"/>
          <w:szCs w:val="32"/>
        </w:rPr>
        <w:t>年一般公共预算本年拨款情况说明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42" w:firstLineChars="200"/>
        <w:rPr>
          <w:rFonts w:ascii="微软雅黑" w:hAnsi="微软雅黑" w:eastAsia="微软雅黑" w:cs="Times New Roman"/>
          <w:sz w:val="27"/>
          <w:szCs w:val="27"/>
        </w:rPr>
      </w:pP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（一）基本支出情况说明。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人力资源和社会保障局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年一般公共预算拨款基本支出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412.92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年执行数据减少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51.74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万元，下降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11.13 %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。其中：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人员经费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379.38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万元，主要包括：基本工资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187.34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万元、津贴补贴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33.20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万元、奖金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6.74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万元、社会保障缴费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70.30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万元、伙食补助费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万元、绩效工资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万元、其他工资福利支出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28.88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万元、离休费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万元、退休费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6.08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万元、抚恤金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万元、生活补助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0.90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万元、医疗费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万元、助学金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万元、奖励金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万元、住房公积金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22.74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万元、提租补贴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万元、购房补贴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10.76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万元、采暖补贴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12.44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公用经费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33.54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万元，主要包括：办公费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14.84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万元、印刷费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万元、咨询费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万元、手续费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万元、水费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万元、电费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万元、邮电费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万元、取暖费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万元、物业管理费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万元、差旅费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万元、因公出国（境）费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万元、维修（护）费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万元、租赁费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万元、会议费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万元、培训费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万元、公务接待费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6.50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万元、专用材料费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万元、劳务费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万元、委托业务费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万元、工会经费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万元、福利费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万元、公务用车运行维护费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万元、其他交通费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万元、其他商品和服务支出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3.20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万元、办公设备购置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万元、专用设备购置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万元。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42" w:firstLineChars="200"/>
        <w:rPr>
          <w:rFonts w:ascii="楷体_GB2312" w:hAnsi="宋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（二）项目支出情况说明。</w:t>
      </w:r>
    </w:p>
    <w:p>
      <w:pPr>
        <w:pStyle w:val="4"/>
        <w:widowControl/>
        <w:shd w:val="clear" w:color="auto" w:fill="FFFFFF"/>
        <w:spacing w:before="150" w:beforeAutospacing="0" w:after="75" w:afterAutospacing="0" w:line="360" w:lineRule="atLeast"/>
        <w:ind w:left="30"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人力资源和社会保障局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年一般公共预算拨款项目支出</w:t>
      </w:r>
      <w:r>
        <w:rPr>
          <w:rFonts w:ascii="仿宋_GB2312" w:hAnsi="宋体" w:eastAsia="仿宋_GB2312" w:cs="仿宋_GB2312"/>
          <w:sz w:val="32"/>
          <w:szCs w:val="32"/>
        </w:rPr>
        <w:t xml:space="preserve"> 116.00</w:t>
      </w:r>
      <w:r>
        <w:rPr>
          <w:rFonts w:hint="eastAsia" w:ascii="仿宋_GB2312" w:hAnsi="宋体" w:eastAsia="仿宋_GB2312" w:cs="仿宋_GB2312"/>
          <w:sz w:val="32"/>
          <w:szCs w:val="32"/>
        </w:rPr>
        <w:t>万元。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150" w:beforeAutospacing="0" w:after="75" w:afterAutospacing="0" w:line="360" w:lineRule="atLeast"/>
        <w:ind w:left="30" w:firstLine="64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一般公共服务支出（类）人力资源事务（款）一般行政管理事务（项）</w:t>
      </w:r>
      <w:r>
        <w:rPr>
          <w:rFonts w:ascii="仿宋_GB2312" w:hAnsi="宋体" w:eastAsia="仿宋_GB2312" w:cs="仿宋_GB2312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sz w:val="32"/>
          <w:szCs w:val="32"/>
        </w:rPr>
        <w:t>年预算88</w:t>
      </w:r>
      <w:r>
        <w:rPr>
          <w:rFonts w:ascii="仿宋_GB2312" w:hAnsi="宋体" w:eastAsia="仿宋_GB2312" w:cs="仿宋_GB2312"/>
          <w:sz w:val="32"/>
          <w:szCs w:val="32"/>
        </w:rPr>
        <w:t>.00</w:t>
      </w:r>
      <w:r>
        <w:rPr>
          <w:rFonts w:hint="eastAsia" w:ascii="仿宋_GB2312" w:hAnsi="宋体" w:eastAsia="仿宋_GB2312" w:cs="仿宋_GB2312"/>
          <w:sz w:val="32"/>
          <w:szCs w:val="32"/>
        </w:rPr>
        <w:t>万元</w:t>
      </w:r>
      <w:r>
        <w:rPr>
          <w:rFonts w:ascii="仿宋_GB2312" w:hAnsi="宋体" w:eastAsia="仿宋_GB2312" w:cs="仿宋_GB2312"/>
          <w:sz w:val="32"/>
          <w:szCs w:val="32"/>
        </w:rPr>
        <w:t>,</w:t>
      </w:r>
      <w:r>
        <w:rPr>
          <w:rFonts w:ascii="仿宋_GB2312" w:hAnsi="宋体" w:eastAsia="仿宋_GB2312" w:cs="Times New Roman"/>
          <w:sz w:val="32"/>
          <w:szCs w:val="32"/>
        </w:rPr>
        <w:t> </w:t>
      </w:r>
      <w:r>
        <w:rPr>
          <w:rFonts w:hint="eastAsia" w:ascii="仿宋_GB2312" w:hAnsi="宋体" w:eastAsia="仿宋_GB2312" w:cs="仿宋_GB2312"/>
          <w:sz w:val="32"/>
          <w:szCs w:val="32"/>
        </w:rPr>
        <w:t>比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年执行数据增加22.66万元，上升34.68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。主要用于劳动监察工作、基金监管及业务人员培训及县基金监督委员会日常工作、全县年度责任制考核、机构编制核查及实名制管理及其网络维护、落实权力清单制度、全县事业单位法人培训及登记年检工作、全县中文域名网络培训及维护工作、政府部门履职及事业单位分类改革。</w:t>
      </w:r>
    </w:p>
    <w:p>
      <w:pPr>
        <w:pStyle w:val="4"/>
        <w:widowControl/>
        <w:shd w:val="clear" w:color="auto" w:fill="FFFFFF"/>
        <w:spacing w:before="150" w:beforeAutospacing="0" w:after="75" w:afterAutospacing="0" w:line="360" w:lineRule="atLeast"/>
        <w:ind w:left="29" w:leftChars="14" w:firstLine="480" w:firstLineChars="15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（二）一般公共服务支出（类）人力资源事务（款）公务员招考（项）</w:t>
      </w:r>
      <w:r>
        <w:rPr>
          <w:rFonts w:ascii="仿宋_GB2312" w:hAnsi="宋体" w:eastAsia="仿宋_GB2312" w:cs="仿宋_GB2312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sz w:val="32"/>
          <w:szCs w:val="32"/>
        </w:rPr>
        <w:t>年预算0.00万元，比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年执行数据减少2.00万元，下降100%。主要用于公务员招考工作的前期准备、资格审查、面试、考察及岗前培训等工作。</w:t>
      </w:r>
    </w:p>
    <w:p>
      <w:pPr>
        <w:pStyle w:val="4"/>
        <w:widowControl/>
        <w:shd w:val="clear" w:color="auto" w:fill="FFFFFF"/>
        <w:spacing w:before="150" w:beforeAutospacing="0" w:after="75" w:afterAutospacing="0" w:line="360" w:lineRule="atLeast"/>
        <w:ind w:left="29" w:leftChars="14" w:firstLine="480" w:firstLineChars="15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（三）一般公共服务支出（类）人力资源事务（款）公务员考核（项）</w:t>
      </w:r>
      <w:r>
        <w:rPr>
          <w:rFonts w:ascii="仿宋_GB2312" w:hAnsi="宋体" w:eastAsia="仿宋_GB2312" w:cs="仿宋_GB2312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sz w:val="32"/>
          <w:szCs w:val="32"/>
        </w:rPr>
        <w:t>年预算</w:t>
      </w:r>
      <w:r>
        <w:rPr>
          <w:rFonts w:ascii="仿宋_GB2312" w:hAnsi="宋体" w:eastAsia="仿宋_GB2312" w:cs="仿宋_GB2312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sz w:val="32"/>
          <w:szCs w:val="32"/>
        </w:rPr>
        <w:t>.00万元，比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年执行数据增加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.35万元，上升</w:t>
      </w:r>
      <w:r>
        <w:rPr>
          <w:rFonts w:ascii="仿宋_GB2312" w:hAnsi="宋体" w:eastAsia="仿宋_GB2312" w:cs="仿宋_GB2312"/>
          <w:sz w:val="32"/>
          <w:szCs w:val="32"/>
        </w:rPr>
        <w:t>20.3</w:t>
      </w:r>
      <w:r>
        <w:rPr>
          <w:rFonts w:hint="eastAsia" w:ascii="仿宋_GB2312" w:hAnsi="宋体" w:eastAsia="仿宋_GB2312" w:cs="仿宋_GB2312"/>
          <w:sz w:val="32"/>
          <w:szCs w:val="32"/>
        </w:rPr>
        <w:t>0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。主要用于全县优秀公务员奖金的发放。</w:t>
      </w:r>
    </w:p>
    <w:p>
      <w:pPr>
        <w:pStyle w:val="4"/>
        <w:widowControl/>
        <w:shd w:val="clear" w:color="auto" w:fill="FFFFFF"/>
        <w:spacing w:before="150" w:beforeAutospacing="0" w:after="75" w:afterAutospacing="0" w:line="360" w:lineRule="atLeast"/>
        <w:ind w:firstLine="480" w:firstLineChars="15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（四）一般公共服务支出（类）人力资源和社会保障管理事务（款）综合业务管理（项）</w:t>
      </w:r>
      <w:r>
        <w:rPr>
          <w:rFonts w:ascii="仿宋_GB2312" w:hAnsi="宋体" w:eastAsia="仿宋_GB2312" w:cs="仿宋_GB2312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sz w:val="32"/>
          <w:szCs w:val="32"/>
        </w:rPr>
        <w:t>年预算</w:t>
      </w:r>
      <w:r>
        <w:rPr>
          <w:rFonts w:ascii="仿宋_GB2312" w:hAnsi="宋体" w:eastAsia="仿宋_GB2312" w:cs="仿宋_GB2312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</w:rPr>
        <w:t>.00万元，比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年执行数据增加</w:t>
      </w:r>
      <w:r>
        <w:rPr>
          <w:rFonts w:ascii="仿宋_GB2312" w:hAnsi="宋体" w:eastAsia="仿宋_GB2312" w:cs="仿宋_GB2312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.00万元，上升</w:t>
      </w:r>
      <w:r>
        <w:rPr>
          <w:rFonts w:ascii="仿宋_GB2312" w:hAnsi="宋体" w:eastAsia="仿宋_GB2312" w:cs="仿宋_GB2312"/>
          <w:sz w:val="32"/>
          <w:szCs w:val="32"/>
        </w:rPr>
        <w:t>25.00%</w:t>
      </w:r>
      <w:r>
        <w:rPr>
          <w:rFonts w:hint="eastAsia" w:ascii="仿宋_GB2312" w:hAnsi="宋体" w:eastAsia="仿宋_GB2312" w:cs="仿宋_GB2312"/>
          <w:sz w:val="32"/>
          <w:szCs w:val="32"/>
        </w:rPr>
        <w:t>。主要用于服务中心安保、保洁及日常水电费等。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宋体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三、人力资源和社会保障局</w:t>
      </w:r>
      <w:r>
        <w:rPr>
          <w:rFonts w:ascii="黑体" w:hAnsi="宋体" w:eastAsia="黑体" w:cs="黑体"/>
          <w:kern w:val="0"/>
          <w:sz w:val="32"/>
          <w:szCs w:val="32"/>
        </w:rPr>
        <w:t>2018</w:t>
      </w:r>
      <w:r>
        <w:rPr>
          <w:rFonts w:hint="eastAsia" w:ascii="黑体" w:hAnsi="宋体" w:eastAsia="黑体" w:cs="黑体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人力资源和社会保障局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年“三公”经费财政拨款预算数为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6.50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其中：因公出国（境）费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万元，公务用车购置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万元，公务用车运行费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万元，公务接待费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6.50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年“三公”经费财政拨款预算比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年增加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5.69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万元，其中：因公出国（境）费增加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万元，主要原因无因公出境人员；公务用车购置费增加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万元，主要原因没有购置公务用车；公务用车运行费增加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万元，主要原因本单位无公务用车；公务接待费增加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5.69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万元，主要原因是上级单位检查及调研增加一定的招待费，但按照相关规定执行。</w:t>
      </w:r>
    </w:p>
    <w:p>
      <w:pPr>
        <w:widowControl/>
        <w:spacing w:line="560" w:lineRule="exact"/>
        <w:ind w:firstLine="642" w:firstLineChars="200"/>
        <w:jc w:val="left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0"/>
          <w:sz w:val="32"/>
          <w:szCs w:val="32"/>
        </w:rPr>
        <w:t>四、关于</w:t>
      </w:r>
      <w:r>
        <w:rPr>
          <w:rFonts w:hint="eastAsia" w:ascii="黑体" w:hAnsi="宋体" w:eastAsia="黑体" w:cs="黑体"/>
          <w:kern w:val="0"/>
          <w:sz w:val="32"/>
          <w:szCs w:val="32"/>
        </w:rPr>
        <w:t>人力资源和社会保障局</w:t>
      </w:r>
      <w:r>
        <w:rPr>
          <w:rFonts w:ascii="黑体" w:hAnsi="宋体" w:eastAsia="黑体" w:cs="黑体"/>
          <w:b/>
          <w:bCs/>
          <w:kern w:val="0"/>
          <w:sz w:val="32"/>
          <w:szCs w:val="32"/>
        </w:rPr>
        <w:t>2018</w:t>
      </w:r>
      <w:r>
        <w:rPr>
          <w:rFonts w:hint="eastAsia" w:ascii="黑体" w:hAnsi="宋体" w:eastAsia="黑体" w:cs="黑体"/>
          <w:b/>
          <w:bCs/>
          <w:kern w:val="0"/>
          <w:sz w:val="32"/>
          <w:szCs w:val="32"/>
        </w:rPr>
        <w:t>年政府性基金预算拨款情况说明</w:t>
      </w:r>
    </w:p>
    <w:p>
      <w:pPr>
        <w:widowControl/>
        <w:spacing w:line="560" w:lineRule="exact"/>
        <w:ind w:firstLine="642" w:firstLineChars="200"/>
        <w:jc w:val="left"/>
        <w:rPr>
          <w:rFonts w:ascii="楷体_GB2312" w:hAnsi="宋体" w:eastAsia="楷体_GB2312" w:cs="Times New Roman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kern w:val="0"/>
          <w:sz w:val="32"/>
          <w:szCs w:val="32"/>
        </w:rPr>
        <w:t>（一）基本支出情况说明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人力资源和社会保障局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年政府性基金预算拨款基本支出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年执行数据增加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万元，增长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。其中：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人员经费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万元，主要包括：基本工资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万元、津贴补贴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万元、奖金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万元、社会保障缴费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万元、伙食补助费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万元、绩效工资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万元、其他工资福利支出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万元、离休费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万元、退休费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万元、抚恤金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万元、生活补助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万元、医疗费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万元、助学金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万元、奖励金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万元、住房公积金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万元、提租补贴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万元、购房补贴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万元、其他对个人和家庭的补助支出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公用经费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万元，主要包括：办公费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万元、印刷费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万元、咨询费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万元、手续费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万元、水费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万元、电费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万元、邮电费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万元、取暖费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万元、物业管理费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万元、差旅费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万元、因公出国（境）费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万元、维修（护）费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万元、租赁费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万元、会议费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万元、培训费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万元、公务接待费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万元、专用材料费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万元、劳务费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万元、委托业务费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万元、工会经费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万元、福利费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万元、公务用车运行维护费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万元、其他交通费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万元、其他商品和服务支出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万元、办公设备购置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万元、专用设备购置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firstLine="642" w:firstLineChars="200"/>
        <w:jc w:val="left"/>
        <w:rPr>
          <w:rFonts w:ascii="楷体_GB2312" w:hAnsi="宋体" w:eastAsia="楷体_GB2312" w:cs="Times New Roman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kern w:val="0"/>
          <w:sz w:val="32"/>
          <w:szCs w:val="32"/>
        </w:rPr>
        <w:t>（二）项目支出情况说明</w:t>
      </w:r>
    </w:p>
    <w:p>
      <w:pPr>
        <w:widowControl/>
        <w:spacing w:line="560" w:lineRule="exact"/>
        <w:ind w:firstLine="626" w:firstLineChars="200"/>
        <w:jc w:val="left"/>
        <w:rPr>
          <w:rFonts w:ascii="仿宋_GB2312" w:hAnsi="宋体" w:eastAsia="仿宋_GB2312" w:cs="Times New Roman"/>
          <w:w w:val="98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w w:val="98"/>
          <w:kern w:val="0"/>
          <w:sz w:val="32"/>
          <w:szCs w:val="32"/>
        </w:rPr>
        <w:t>人力资源和社会保障局</w:t>
      </w:r>
      <w:r>
        <w:rPr>
          <w:rFonts w:ascii="仿宋_GB2312" w:hAnsi="宋体" w:eastAsia="仿宋_GB2312" w:cs="仿宋_GB2312"/>
          <w:w w:val="98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w w:val="98"/>
          <w:kern w:val="0"/>
          <w:sz w:val="32"/>
          <w:szCs w:val="32"/>
        </w:rPr>
        <w:t>年政府性基金预算拨款项目支出</w:t>
      </w:r>
      <w:r>
        <w:rPr>
          <w:rFonts w:ascii="仿宋_GB2312" w:hAnsi="宋体" w:eastAsia="仿宋_GB2312" w:cs="仿宋_GB2312"/>
          <w:w w:val="98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w w:val="98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，比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年执行数据增加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万元，增长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2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0"/>
          <w:sz w:val="32"/>
          <w:szCs w:val="32"/>
        </w:rPr>
        <w:t>五、关于人力资源和社会保障局</w:t>
      </w:r>
      <w:r>
        <w:rPr>
          <w:rFonts w:ascii="黑体" w:hAnsi="宋体" w:eastAsia="黑体" w:cs="黑体"/>
          <w:b/>
          <w:bCs/>
          <w:kern w:val="0"/>
          <w:sz w:val="32"/>
          <w:szCs w:val="32"/>
        </w:rPr>
        <w:t>2018</w:t>
      </w:r>
      <w:r>
        <w:rPr>
          <w:rFonts w:hint="eastAsia" w:ascii="黑体" w:hAnsi="宋体" w:eastAsia="黑体" w:cs="黑体"/>
          <w:b/>
          <w:bCs/>
          <w:kern w:val="0"/>
          <w:sz w:val="32"/>
          <w:szCs w:val="32"/>
        </w:rPr>
        <w:t>年收支预算情况的总体说明</w:t>
      </w:r>
    </w:p>
    <w:p>
      <w:pPr>
        <w:widowControl/>
        <w:shd w:val="clear" w:color="auto" w:fill="FFFFFF"/>
        <w:spacing w:line="555" w:lineRule="atLeas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按照全口径预算的原则，人力资源和社会保障局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年所有收入和支出均纳入部门预算管理。收入总预算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528.92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万元，支出总预算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528.92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收入预算包括：上年结转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；财政拨款收入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528.92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；事业收入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；事业单位经营收入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；其他收入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支出预算包括：基本支出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412.92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78.06 %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；项目支出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116.00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21.94 %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；事业单位经营支出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；上缴上级支出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；对附属单位补助支出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2" w:firstLineChars="200"/>
        <w:jc w:val="left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0"/>
          <w:sz w:val="32"/>
          <w:szCs w:val="32"/>
        </w:rPr>
        <w:t>六、其他重要事项的情况说明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00" w:firstLineChars="200"/>
        <w:rPr>
          <w:rFonts w:ascii="仿宋_GB2312" w:hAnsi="微软雅黑" w:eastAsia="仿宋_GB2312" w:cs="仿宋_GB2312"/>
          <w:sz w:val="30"/>
          <w:szCs w:val="30"/>
        </w:rPr>
      </w:pPr>
      <w:r>
        <w:rPr>
          <w:rFonts w:hint="eastAsia" w:ascii="仿宋_GB2312" w:hAnsi="微软雅黑" w:eastAsia="仿宋_GB2312" w:cs="仿宋_GB2312"/>
          <w:sz w:val="30"/>
          <w:szCs w:val="30"/>
        </w:rPr>
        <w:t>（一）机关运行经费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00" w:firstLineChars="200"/>
        <w:rPr>
          <w:rFonts w:ascii="仿宋_GB2312" w:hAnsi="微软雅黑" w:eastAsia="仿宋_GB2312" w:cs="仿宋_GB2312"/>
          <w:sz w:val="30"/>
          <w:szCs w:val="30"/>
        </w:rPr>
      </w:pPr>
      <w:r>
        <w:rPr>
          <w:rFonts w:ascii="仿宋_GB2312" w:hAnsi="微软雅黑" w:eastAsia="仿宋_GB2312" w:cs="仿宋_GB2312"/>
          <w:sz w:val="30"/>
          <w:szCs w:val="30"/>
        </w:rPr>
        <w:t>2018</w:t>
      </w:r>
      <w:r>
        <w:rPr>
          <w:rFonts w:hint="eastAsia" w:ascii="仿宋_GB2312" w:hAnsi="微软雅黑" w:eastAsia="仿宋_GB2312" w:cs="仿宋_GB2312"/>
          <w:sz w:val="30"/>
          <w:szCs w:val="30"/>
        </w:rPr>
        <w:t>年，人力资源和社会保障局本级及所属盐池县机构编制委员会</w:t>
      </w:r>
      <w:r>
        <w:rPr>
          <w:rFonts w:ascii="仿宋_GB2312" w:hAnsi="微软雅黑" w:eastAsia="仿宋_GB2312" w:cs="仿宋_GB2312"/>
          <w:sz w:val="30"/>
          <w:szCs w:val="30"/>
        </w:rPr>
        <w:t>1</w:t>
      </w:r>
      <w:r>
        <w:rPr>
          <w:rFonts w:hint="eastAsia" w:ascii="仿宋_GB2312" w:hAnsi="微软雅黑" w:eastAsia="仿宋_GB2312" w:cs="仿宋_GB2312"/>
          <w:sz w:val="30"/>
          <w:szCs w:val="30"/>
        </w:rPr>
        <w:t>个参公管理事业单位的机关运行经费财政拨款预算</w:t>
      </w:r>
      <w:r>
        <w:rPr>
          <w:rFonts w:ascii="仿宋_GB2312" w:hAnsi="微软雅黑" w:eastAsia="仿宋_GB2312" w:cs="仿宋_GB2312"/>
          <w:sz w:val="30"/>
          <w:szCs w:val="30"/>
        </w:rPr>
        <w:t>33.54</w:t>
      </w:r>
      <w:r>
        <w:rPr>
          <w:rFonts w:ascii="仿宋_GB2312" w:hAnsi="微软雅黑" w:eastAsia="仿宋_GB2312" w:cs="Times New Roman"/>
          <w:sz w:val="30"/>
          <w:szCs w:val="30"/>
        </w:rPr>
        <w:t> </w:t>
      </w:r>
      <w:r>
        <w:rPr>
          <w:rFonts w:hint="eastAsia" w:ascii="仿宋_GB2312" w:hAnsi="微软雅黑" w:eastAsia="仿宋_GB2312" w:cs="仿宋_GB2312"/>
          <w:sz w:val="30"/>
          <w:szCs w:val="30"/>
        </w:rPr>
        <w:t>万元，比</w:t>
      </w:r>
      <w:r>
        <w:rPr>
          <w:rFonts w:ascii="仿宋_GB2312" w:hAnsi="微软雅黑" w:eastAsia="仿宋_GB2312" w:cs="仿宋_GB2312"/>
          <w:sz w:val="30"/>
          <w:szCs w:val="30"/>
        </w:rPr>
        <w:t>2017</w:t>
      </w:r>
      <w:r>
        <w:rPr>
          <w:rFonts w:hint="eastAsia" w:ascii="仿宋_GB2312" w:hAnsi="微软雅黑" w:eastAsia="仿宋_GB2312" w:cs="仿宋_GB2312"/>
          <w:sz w:val="30"/>
          <w:szCs w:val="30"/>
        </w:rPr>
        <w:t>年预算增加</w:t>
      </w:r>
      <w:r>
        <w:rPr>
          <w:rFonts w:ascii="仿宋_GB2312" w:hAnsi="微软雅黑" w:eastAsia="仿宋_GB2312" w:cs="仿宋_GB2312"/>
          <w:sz w:val="30"/>
          <w:szCs w:val="30"/>
        </w:rPr>
        <w:t>14.85</w:t>
      </w:r>
      <w:r>
        <w:rPr>
          <w:rFonts w:hint="eastAsia" w:ascii="仿宋_GB2312" w:hAnsi="微软雅黑" w:eastAsia="仿宋_GB2312" w:cs="仿宋_GB2312"/>
          <w:sz w:val="30"/>
          <w:szCs w:val="30"/>
        </w:rPr>
        <w:t>万元，增长</w:t>
      </w:r>
      <w:r>
        <w:rPr>
          <w:rFonts w:ascii="仿宋_GB2312" w:hAnsi="微软雅黑" w:eastAsia="仿宋_GB2312" w:cs="仿宋_GB2312"/>
          <w:sz w:val="30"/>
          <w:szCs w:val="30"/>
        </w:rPr>
        <w:t>79.41%</w:t>
      </w:r>
      <w:r>
        <w:rPr>
          <w:rFonts w:hint="eastAsia" w:ascii="仿宋_GB2312" w:hAnsi="微软雅黑" w:eastAsia="仿宋_GB2312" w:cs="仿宋_GB2312"/>
          <w:sz w:val="30"/>
          <w:szCs w:val="30"/>
        </w:rPr>
        <w:t>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555" w:lineRule="atLeast"/>
        <w:ind w:firstLine="64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政府采购情况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ascii="仿宋_GB2312" w:hAnsi="微软雅黑" w:eastAsia="仿宋_GB2312" w:cs="Times New Roman"/>
          <w:sz w:val="30"/>
          <w:szCs w:val="30"/>
        </w:rPr>
      </w:pPr>
      <w:r>
        <w:rPr>
          <w:rFonts w:ascii="仿宋_GB2312" w:hAnsi="宋体" w:eastAsia="仿宋_GB2312" w:cs="仿宋_GB2312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sz w:val="30"/>
          <w:szCs w:val="30"/>
        </w:rPr>
        <w:t>人力资源和社会保障局</w:t>
      </w:r>
      <w:r>
        <w:rPr>
          <w:rFonts w:hint="eastAsia" w:ascii="仿宋_GB2312" w:hAnsi="宋体" w:eastAsia="仿宋_GB2312" w:cs="仿宋_GB2312"/>
          <w:sz w:val="32"/>
          <w:szCs w:val="32"/>
        </w:rPr>
        <w:t>政府采购预算</w:t>
      </w:r>
      <w:r>
        <w:rPr>
          <w:rFonts w:ascii="仿宋_GB2312" w:hAnsi="宋体" w:eastAsia="仿宋_GB2312" w:cs="仿宋_GB2312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sz w:val="32"/>
          <w:szCs w:val="32"/>
        </w:rPr>
        <w:t>万元，其中：政府采购货物预算</w:t>
      </w:r>
      <w:r>
        <w:rPr>
          <w:rFonts w:ascii="仿宋_GB2312" w:hAnsi="宋体" w:eastAsia="仿宋_GB2312" w:cs="仿宋_GB2312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sz w:val="32"/>
          <w:szCs w:val="32"/>
        </w:rPr>
        <w:t>万元，政府采购工程预算</w:t>
      </w:r>
      <w:r>
        <w:rPr>
          <w:rFonts w:ascii="仿宋_GB2312" w:hAnsi="宋体" w:eastAsia="仿宋_GB2312" w:cs="仿宋_GB2312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sz w:val="32"/>
          <w:szCs w:val="32"/>
        </w:rPr>
        <w:t>万元，政府采购服务预算</w:t>
      </w:r>
      <w:r>
        <w:rPr>
          <w:rFonts w:ascii="仿宋_GB2312" w:hAnsi="宋体" w:eastAsia="仿宋_GB2312" w:cs="仿宋_GB2312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sz w:val="32"/>
          <w:szCs w:val="32"/>
        </w:rPr>
        <w:t>万元。本单位不涉及政府采购。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00" w:firstLineChars="200"/>
        <w:rPr>
          <w:rFonts w:ascii="仿宋_GB2312" w:hAnsi="微软雅黑" w:eastAsia="仿宋_GB2312" w:cs="Times New Roman"/>
          <w:sz w:val="30"/>
          <w:szCs w:val="30"/>
        </w:rPr>
      </w:pPr>
      <w:r>
        <w:rPr>
          <w:rFonts w:hint="eastAsia" w:ascii="仿宋_GB2312" w:hAnsi="微软雅黑" w:eastAsia="仿宋_GB2312" w:cs="仿宋_GB2312"/>
          <w:sz w:val="30"/>
          <w:szCs w:val="30"/>
        </w:rPr>
        <w:t>（三）国有资产占用使用情况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截至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hint="eastAsia" w:ascii="仿宋_GB2312" w:eastAsia="仿宋_GB2312" w:cs="仿宋_GB2312"/>
          <w:sz w:val="32"/>
          <w:szCs w:val="32"/>
        </w:rPr>
        <w:t>日，人力资源和社会保障局占用使用国有资产总体情况为房屋</w:t>
      </w:r>
      <w:r>
        <w:rPr>
          <w:rFonts w:ascii="仿宋_GB2312" w:hAnsi="微软雅黑" w:eastAsia="仿宋_GB2312" w:cs="Times New Roman"/>
          <w:sz w:val="32"/>
          <w:szCs w:val="32"/>
        </w:rPr>
        <w:t> </w:t>
      </w:r>
      <w:r>
        <w:rPr>
          <w:rFonts w:ascii="仿宋_GB2312" w:eastAsia="仿宋_GB2312" w:cs="仿宋_GB2312"/>
          <w:sz w:val="32"/>
          <w:szCs w:val="32"/>
        </w:rPr>
        <w:t>5178.00</w:t>
      </w:r>
      <w:r>
        <w:rPr>
          <w:rFonts w:hint="eastAsia" w:ascii="仿宋_GB2312" w:eastAsia="仿宋_GB2312" w:cs="仿宋_GB2312"/>
          <w:sz w:val="32"/>
          <w:szCs w:val="32"/>
        </w:rPr>
        <w:t>平方米，价值</w:t>
      </w:r>
      <w:r>
        <w:rPr>
          <w:rFonts w:ascii="仿宋_GB2312" w:eastAsia="仿宋_GB2312" w:cs="仿宋_GB2312"/>
          <w:sz w:val="32"/>
          <w:szCs w:val="32"/>
        </w:rPr>
        <w:t xml:space="preserve"> 2210.59</w:t>
      </w:r>
      <w:r>
        <w:rPr>
          <w:rFonts w:hint="eastAsia" w:ascii="仿宋_GB2312" w:eastAsia="仿宋_GB2312" w:cs="仿宋_GB2312"/>
          <w:sz w:val="32"/>
          <w:szCs w:val="32"/>
        </w:rPr>
        <w:t>万元；土地</w:t>
      </w:r>
      <w:r>
        <w:rPr>
          <w:rFonts w:asci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eastAsia="仿宋_GB2312" w:cs="仿宋_GB2312"/>
          <w:sz w:val="32"/>
          <w:szCs w:val="32"/>
        </w:rPr>
        <w:t>平方米，</w:t>
      </w:r>
      <w:r>
        <w:rPr>
          <w:rFonts w:hint="eastAsia" w:ascii="仿宋_GB2312" w:hAnsi="宋体" w:eastAsia="仿宋_GB2312" w:cs="仿宋_GB2312"/>
          <w:sz w:val="32"/>
          <w:szCs w:val="32"/>
        </w:rPr>
        <w:t>价值</w:t>
      </w:r>
      <w:r>
        <w:rPr>
          <w:rFonts w:ascii="仿宋_GB2312" w:hAnsi="宋体" w:eastAsia="仿宋_GB2312" w:cs="仿宋_GB2312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</w:rPr>
        <w:t>；车辆</w:t>
      </w:r>
      <w:r>
        <w:rPr>
          <w:rFonts w:ascii="仿宋_GB2312" w:eastAsia="仿宋_GB2312" w:cs="仿宋_GB2312"/>
          <w:sz w:val="32"/>
          <w:szCs w:val="32"/>
        </w:rPr>
        <w:t xml:space="preserve"> 3 </w:t>
      </w:r>
      <w:r>
        <w:rPr>
          <w:rFonts w:hint="eastAsia" w:ascii="仿宋_GB2312" w:eastAsia="仿宋_GB2312" w:cs="仿宋_GB2312"/>
          <w:sz w:val="32"/>
          <w:szCs w:val="32"/>
        </w:rPr>
        <w:t>辆，价值</w:t>
      </w:r>
      <w:r>
        <w:rPr>
          <w:rFonts w:ascii="仿宋_GB2312" w:eastAsia="仿宋_GB2312" w:cs="仿宋_GB2312"/>
          <w:sz w:val="32"/>
          <w:szCs w:val="32"/>
        </w:rPr>
        <w:t xml:space="preserve"> 42.24 </w:t>
      </w:r>
      <w:r>
        <w:rPr>
          <w:rFonts w:hint="eastAsia" w:ascii="仿宋_GB2312" w:eastAsia="仿宋_GB2312" w:cs="仿宋_GB2312"/>
          <w:sz w:val="32"/>
          <w:szCs w:val="32"/>
        </w:rPr>
        <w:t>万元；办公家具价值</w:t>
      </w:r>
      <w:r>
        <w:rPr>
          <w:rFonts w:ascii="仿宋_GB2312" w:hAnsi="微软雅黑" w:eastAsia="仿宋_GB2312" w:cs="Times New Roman"/>
          <w:sz w:val="32"/>
          <w:szCs w:val="32"/>
        </w:rPr>
        <w:t> </w:t>
      </w:r>
      <w:r>
        <w:rPr>
          <w:rFonts w:ascii="仿宋_GB2312" w:eastAsia="仿宋_GB2312" w:cs="仿宋_GB2312"/>
          <w:sz w:val="32"/>
          <w:szCs w:val="32"/>
        </w:rPr>
        <w:t xml:space="preserve">74.58 </w:t>
      </w:r>
      <w:r>
        <w:rPr>
          <w:rFonts w:hint="eastAsia" w:ascii="仿宋_GB2312" w:eastAsia="仿宋_GB2312" w:cs="仿宋_GB2312"/>
          <w:sz w:val="32"/>
          <w:szCs w:val="32"/>
        </w:rPr>
        <w:t>万元；其他资产价值</w:t>
      </w:r>
      <w:r>
        <w:rPr>
          <w:rFonts w:ascii="仿宋_GB2312" w:hAnsi="微软雅黑" w:eastAsia="仿宋_GB2312" w:cs="Times New Roman"/>
          <w:sz w:val="32"/>
          <w:szCs w:val="32"/>
        </w:rPr>
        <w:t> </w:t>
      </w:r>
      <w:r>
        <w:rPr>
          <w:rFonts w:ascii="仿宋_GB2312" w:eastAsia="仿宋_GB2312" w:cs="仿宋_GB2312"/>
          <w:sz w:val="32"/>
          <w:szCs w:val="32"/>
        </w:rPr>
        <w:t xml:space="preserve">256.50 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宋体" w:eastAsia="仿宋_GB2312" w:cs="仿宋_GB2312"/>
          <w:sz w:val="32"/>
          <w:szCs w:val="32"/>
        </w:rPr>
        <w:t>国有资产分布情况为：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本级部门房屋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5178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平方米，价值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2210.59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万元；土地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平方米，价值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万元；车辆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辆，价值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42.24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万元；办公家具价值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74.58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万元；其他资产价值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256.50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所属单位房屋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5178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平方米，价值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2210.59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万元；土地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平方米，价值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0.00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万元；车辆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辆，价值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42.24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万元；办公家具价值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74.58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万元；其他资产价值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256.50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万元。</w:t>
      </w:r>
    </w:p>
    <w:p>
      <w:pPr>
        <w:pStyle w:val="4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ascii="仿宋_GB2312" w:hAnsi="微软雅黑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（四）预算绩效情况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年人力资源和社会保障局重点项目绩效评价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1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公务员及事业单位人员招考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目标：按照文件规定做好招考前期准备、资格审查、面试、察及岗前培训等工作。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、做好公务员招考情况汇总工作，同时将公开招聘的单位数、岗位人数按管理范围上报区人力资源和社会保障厅公务员管理处。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、加强监督检查。各级组织、人社部门要把维护公平正义的原则落实到公开招聘的各个环节，切实履行公务员招考工作综合管理职责。</w:t>
      </w:r>
      <w:r>
        <w:rPr>
          <w:rFonts w:ascii="仿宋_GB2312" w:hAnsi="宋体" w:eastAsia="仿宋_GB2312" w:cs="Times New Roman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产出指标：拟报名人数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人，资格初审人员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人，资格复审人员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人，资格考察人员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人。公务员招考工作效率有所提升。差旅费、考务费、后勤服务费各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效益指标：满足全县各级党政机关补充工作人员的需要，提高就业率，为各单位选拔人才，更好的去服务社会。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满意度指标：服务对象满意度指标均大于</w:t>
      </w:r>
      <w:r>
        <w:rPr>
          <w:rFonts w:ascii="仿宋_GB2312" w:hAnsi="宋体" w:eastAsia="仿宋_GB2312" w:cs="仿宋_GB2312"/>
          <w:kern w:val="0"/>
          <w:sz w:val="32"/>
          <w:szCs w:val="32"/>
        </w:rPr>
        <w:t>90%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2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劳动监察执法及仲裁</w:t>
      </w:r>
    </w:p>
    <w:p>
      <w:pPr>
        <w:spacing w:after="240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实现劳动保障监察全面覆盖，确保日常检查不留遗漏。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加强劳动保障监察网格化职能，充分运用数据信息强化监察工作。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加强监察人员业务能力培训，提升办案水平。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加大对乡镇、企业调解中心人员的业务培训，多角度开展劳动保障监察工作。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、加大宣传力度，提升劳动者维权意识。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数量指标：对全县企业、个体工商户开展督查≥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11000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户（每年）；对全县所有劳动者适当进行政策法规宣传≥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次（每年）；对劳动者投诉案件开展调查、查办及相关文书送达≥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件（每年）</w:t>
      </w:r>
      <w:r>
        <w:rPr>
          <w:rFonts w:ascii="仿宋_GB2312" w:hAnsi="宋体" w:eastAsia="仿宋_GB2312" w:cs="仿宋_GB2312"/>
          <w:kern w:val="0"/>
          <w:sz w:val="32"/>
          <w:szCs w:val="32"/>
        </w:rPr>
        <w:t>;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劳动保障网格化数据信息运行维护及日常运行档案、制度建设工作≥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次（每年）。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成本指标：对全县所有劳动者适当进行政策法规宣传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元；对劳动者投诉案件开展调查、查办及相关文书送达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元；劳动保障网格化数据信息运行维护及日常运行档案、制度建设工作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社会效益指标：维护职工合法权益有所提升</w:t>
      </w:r>
    </w:p>
    <w:p>
      <w:pPr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服务对象满意度指标：劳动者指标≥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99%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3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社保基金监管、工伤认定</w:t>
      </w:r>
    </w:p>
    <w:p>
      <w:pPr>
        <w:spacing w:after="240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目标：进一步完善社会保险基金监管体系，拓宽监督渠道，探索建立社会保险基金社会监督机制，加强监督力度，增强监督实效，确保基金运行安全。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数量指标：举办培训的次数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次（每年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);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公开基金收支情况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次</w:t>
      </w:r>
      <w:r>
        <w:rPr>
          <w:rFonts w:ascii="仿宋_GB2312" w:hAnsi="宋体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每年）。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质量指标：社保基金结余率≥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25%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（每年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时效指标：受理投诉举报时限≤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天（每年）；公布处理结果时限≤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天（每年）。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成本指标：基金管理内外部费用≤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社会效益指标：创建服务型政府，提升工作效率。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可持续影响指标：加大基金监管力度。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满意度指标：检查工作人员行为规范投诉≤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4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服务中心及监察大队日常运行费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档案、台账、劳动合同备案台账管理；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聘用专业人员；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对设施设备维修保养。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数量指标：档案、台账、劳动合同备案台账管理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份（每年）；聘用专业人员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人（每年）；对设施设备维修保养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次（每年）。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成本指标：档案、台账、劳动合同备案台账管理≥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60000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；聘用专业人员≥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；对设施设备维修保养≥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5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年度责任制考核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目标：承办全县半年效能目标责任制考核工作，对接区市对我县的效能考核获奖加分、创新加分材料申报，制作全县效能目标责任制考核奖牌、绶带及荣誉证书。</w:t>
      </w:r>
    </w:p>
    <w:p>
      <w:pPr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成本指标：向自治区、吴忠市申报全县各乡镇、部门获奖和创新材料≥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；编制考核办法，汇总全县考核细则</w:t>
      </w:r>
      <w:r>
        <w:rPr>
          <w:rFonts w:ascii="仿宋_GB2312" w:hAnsi="宋体" w:eastAsia="仿宋_GB2312" w:cs="仿宋_GB2312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及各部门任务完成情况≥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；对获得荣誉称号的乡镇、部门单位（个人）制作奖牌（荣誉证书）≥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15000.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社会效益指标：维护效能考核的公正性，提升全县各单位工作效率。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6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事业单位人员继续教育培训工作</w:t>
      </w:r>
    </w:p>
    <w:p>
      <w:pPr>
        <w:spacing w:after="240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目标：通过组织开展形式多样的培训，进一步加强培训工作，培养造就高素质人才队伍，推动社会发展，加强能力建设。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数量指标：班次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次（每年）；天数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天（每年）；人数≥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人（每年）。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成本指标：书本费≥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元；考务费≥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12000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元；后勤服务费≥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社会效益指标：工作效率提高，专业技术知识提升。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满意度指标：职工满意度大于</w:t>
      </w:r>
      <w:r>
        <w:rPr>
          <w:rFonts w:ascii="仿宋_GB2312" w:hAnsi="宋体" w:eastAsia="仿宋_GB2312" w:cs="仿宋_GB2312"/>
          <w:kern w:val="0"/>
          <w:sz w:val="32"/>
          <w:szCs w:val="32"/>
        </w:rPr>
        <w:t>90%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7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三年优秀公务员奖金</w:t>
      </w:r>
    </w:p>
    <w:p>
      <w:pPr>
        <w:spacing w:after="240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目标：表彰工作先进的同志，鼓励其在今后的工作中继续发挥模范带头作用。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、为全县广大干部职工树立榜样，促进全县干部职工积极主动适应经济发展新常态，攻坚克难，廉洁自律，砥砺奋进，为全县经济发展、民生改善、社会和谐做出新贡献。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产出指标：预计全县三年优秀公务员人数≥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人，根据转发</w:t>
      </w:r>
      <w:r>
        <w:rPr>
          <w:rFonts w:ascii="仿宋_GB2312" w:hAnsi="宋体" w:eastAsia="仿宋_GB2312" w:cs="仿宋_GB2312"/>
          <w:kern w:val="0"/>
          <w:sz w:val="32"/>
          <w:szCs w:val="32"/>
        </w:rPr>
        <w:t>&lt;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中共中央组织部办公厅人力资源社会保障部办公厅、财政部办公厅、国家公务员局综合司关于调整公务员奖励奖金标准的通知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&gt;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的通知》（宁人社发〔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〕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号）精神，三年优秀公务员奖金每人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1500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元。指标值≥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效益指标：鼓励优秀公务员在今后的工作中继续发挥模范带头作用有所提升。为全县广大干部职工树立榜样作用有所提升。促进全县干部职工积极主动适应经济发展新常态，为全县经济发展、民生改善、社会和谐做出新贡献作用有所提升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满意度指标：服务对象满意度指标均大于</w:t>
      </w:r>
      <w:r>
        <w:rPr>
          <w:rFonts w:ascii="仿宋_GB2312" w:hAnsi="宋体" w:eastAsia="仿宋_GB2312" w:cs="仿宋_GB2312"/>
          <w:kern w:val="0"/>
          <w:sz w:val="32"/>
          <w:szCs w:val="32"/>
        </w:rPr>
        <w:t>90%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8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构编制核查及实名制管理及其网络维护</w:t>
      </w:r>
    </w:p>
    <w:p>
      <w:pPr>
        <w:spacing w:after="240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年，共计投入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元，完成对全县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4249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人在编人员信息核查维护、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824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名行政编制和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3875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名事业编制信息核查工作，及时掌握机构编制及实有人员信息，减少混编现象、超编进人、超领导配备等问题，实行实名制库动态化管理。定期对实名制库系统的网络进行维护和软件更新，为机构改革和公务员、事业单位人员招录打好基础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数量指标：在编实有人员信息核查维护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4249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人；全县编制信息核查维护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824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名行政编制和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3875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名事业编制；实名制库系统更新维护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台。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质量指标：机构编制及实有人员信息及时掌握；公务员和事业单位招录打好基础。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时效指标：完成人员信息和机构信息核查维护工作；公务员和事业单位招录计划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月初；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成本指标：人员信息和机构信息核查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元；实名制库系统更新维护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9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落实权力清单制度</w:t>
      </w:r>
    </w:p>
    <w:p>
      <w:pPr>
        <w:spacing w:after="240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年，共计投入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元，做好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个政府工作部门、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个部门管理机构、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个部门下属行政机构、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个乡镇的权力清单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2586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项事项清单统一规范工作，协助各部门做好权力清单标准化制度化建设。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数量指标：政府部门权力清单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2586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项；行政审批事项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165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质量指标：政府部门权力清单统一规范；行政审批事项标准化建设。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时效指标：政府部门权力清单事项调整，行政审批事项调整。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成本指标：政府部门权力清单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元；行政审批事项规范化建设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全县事业单位法人培训及登记年检工作</w:t>
      </w:r>
    </w:p>
    <w:p>
      <w:pPr>
        <w:spacing w:after="240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年，共计投入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元，开展全县事业单位法人业务培训，加强对事业单位监督管理，全力做好法人事业单位年度报告信息网上公示工作、按照“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随机、一公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开”完成事业单位公示信息抽查工作。完成党政群机关和事业单位法人证书统一社会信用代码赋码工作，提高事业单位公共服务管理水平。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数量指标：法人事业单位年度报告信息公示工作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个；党政群机关赋码工作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个；法人事业单位公示信息实地核查工作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质量指标：机构赋码工作全县所有机构全部赋码；年度报告信息公示工作真实有效并及时向社会公示。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成本指标：法人事业单位年度报告信息公示及培训工作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元；机构赋码工作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元；法人事业单位公示信息实地核查工作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社会效益指标：事业单位公共服务管理水平得到提高。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全县中文域名网络培训及维护工作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年，共计投入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元，完成全县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个行政机关和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个法人事业单位中文域名网上续费，费用直接上交中央编办，加强全县党政群机关和事业单位网上名称管理，降低互联网使用的门槛、使用中文上网的用户覆盖面广。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数量指标：行政机构域名续费指标值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个，法人事业单位域名续费指标值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质量指标：全县党政群机关和事业单位中文域名正常运行。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成本指标：全县党政群机关和事业单位中文域名网上续费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元（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</w:t>
      </w:r>
      <w:r>
        <w:rPr>
          <w:rFonts w:ascii="仿宋_GB2312" w:hAnsi="宋体" w:eastAsia="仿宋_GB2312" w:cs="仿宋_GB2312"/>
          <w:kern w:val="0"/>
          <w:sz w:val="32"/>
          <w:szCs w:val="32"/>
        </w:rPr>
        <w:t>*200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元）。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社会效益指标：互联网使用的门槛降低，使用中文上网的用户覆盖面扩大。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政府部门履职及事业单位分类改革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目标：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2018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年，共计投入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30000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元，对全县政府工作部门、政府直属事业单位履职运行评估检查，继续做好全县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193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事业单位分类改革和评估检查工作，完成承担行政职能事业单位改革试点任务，前期进行调查摸底、学习培训、评估检查及调研。推动机构编制管理方式创新、提升机构编制管理水平，促进全县机关事业单位全面科学正确履行职责，推动政府职能转变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数量指标：对行政机关履职运行评估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个，完成事业单位分类改革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189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个，完成承担行政职能事业单位改革试点任务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个，事业单位评估检查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193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个。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成本指标：行政机关和事业单位履职运行评估检查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元，事业单位分类改革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元，完成承担行政职能事业单位改革试点任务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元，调查摸底、学习培训和调研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5000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社会效益指标：社会公共服务质量得到提高。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（五）其他需说明的事项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本单位无其他需要说明事项。</w:t>
      </w:r>
    </w:p>
    <w:p>
      <w:pPr>
        <w:widowControl/>
        <w:ind w:firstLine="722" w:firstLineChars="200"/>
        <w:jc w:val="left"/>
        <w:outlineLvl w:val="1"/>
        <w:rPr>
          <w:rFonts w:ascii="仿宋_GB2312" w:hAnsi="宋体" w:eastAsia="仿宋_GB2312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6"/>
          <w:szCs w:val="36"/>
        </w:rPr>
        <w:t>人力资源和社会保障局</w:t>
      </w:r>
      <w:r>
        <w:rPr>
          <w:rFonts w:ascii="仿宋_GB2312" w:hAnsi="宋体" w:eastAsia="仿宋_GB2312" w:cs="仿宋_GB2312"/>
          <w:b/>
          <w:bCs/>
          <w:kern w:val="0"/>
          <w:sz w:val="36"/>
          <w:szCs w:val="36"/>
        </w:rPr>
        <w:t>2018</w:t>
      </w:r>
      <w:r>
        <w:rPr>
          <w:rFonts w:hint="eastAsia" w:ascii="仿宋_GB2312" w:hAnsi="宋体" w:eastAsia="仿宋_GB2312" w:cs="仿宋_GB2312"/>
          <w:b/>
          <w:bCs/>
          <w:kern w:val="0"/>
          <w:sz w:val="36"/>
          <w:szCs w:val="36"/>
        </w:rPr>
        <w:t>年部门预算</w:t>
      </w:r>
    </w:p>
    <w:p>
      <w:pPr>
        <w:widowControl/>
        <w:jc w:val="center"/>
        <w:outlineLvl w:val="1"/>
        <w:rPr>
          <w:rFonts w:ascii="微软雅黑" w:hAnsi="微软雅黑" w:eastAsia="微软雅黑" w:cs="Times New Roman"/>
          <w:sz w:val="27"/>
          <w:szCs w:val="27"/>
        </w:rPr>
      </w:pPr>
      <w:r>
        <w:rPr>
          <w:rFonts w:ascii="仿宋_GB2312" w:hAnsi="宋体" w:eastAsia="仿宋_GB2312" w:cs="仿宋_GB2312"/>
          <w:b/>
          <w:bCs/>
          <w:kern w:val="0"/>
          <w:sz w:val="36"/>
          <w:szCs w:val="36"/>
        </w:rPr>
        <w:t>——</w:t>
      </w:r>
      <w:r>
        <w:rPr>
          <w:rFonts w:hint="eastAsia" w:ascii="仿宋_GB2312" w:hAnsi="宋体" w:eastAsia="仿宋_GB2312" w:cs="仿宋_GB2312"/>
          <w:b/>
          <w:bCs/>
          <w:kern w:val="0"/>
          <w:sz w:val="36"/>
          <w:szCs w:val="36"/>
        </w:rPr>
        <w:t>名词解释</w:t>
      </w:r>
    </w:p>
    <w:p>
      <w:pPr>
        <w:pStyle w:val="4"/>
        <w:widowControl/>
        <w:shd w:val="clear" w:color="auto" w:fill="FFFFFF"/>
        <w:spacing w:before="60" w:beforeAutospacing="0" w:afterAutospacing="0" w:line="435" w:lineRule="atLeas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（一）财政拨款收入；财政预算拨款收入是指财政部门核拨给单位的财政预算资金。包括市局核拨给单位的财政预算资金、区财政核拨给单位的财政预算资金。</w:t>
      </w:r>
    </w:p>
    <w:p>
      <w:pPr>
        <w:pStyle w:val="4"/>
        <w:widowControl/>
        <w:shd w:val="clear" w:color="auto" w:fill="FFFFFF"/>
        <w:spacing w:before="60" w:beforeAutospacing="0" w:afterAutospacing="0" w:line="435" w:lineRule="atLeas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（二）基本支出；基本支出是指行政事业单位为保障其机构正常运转、完成日常工作任务而编制的年度基本支出</w:t>
      </w:r>
    </w:p>
    <w:p>
      <w:pPr>
        <w:pStyle w:val="4"/>
        <w:widowControl/>
        <w:shd w:val="clear" w:color="auto" w:fill="FFFFFF"/>
        <w:spacing w:before="60" w:beforeAutospacing="0" w:afterAutospacing="0" w:line="435" w:lineRule="atLeas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（三）项目支出；目支出是指行政事业单位为完成特定的工作任务或事业发展目标。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（四）“三公”经费；三公经费是指财政拨款支出安排的出国（境）费、车辆购置及运行费、公务接待费这三项经费。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DB4DC"/>
    <w:multiLevelType w:val="singleLevel"/>
    <w:tmpl w:val="1F3DB4DC"/>
    <w:lvl w:ilvl="0" w:tentative="0">
      <w:start w:val="1"/>
      <w:numFmt w:val="japaneseCounting"/>
      <w:suff w:val="nothing"/>
      <w:lvlText w:val="（%1）"/>
      <w:lvlJc w:val="left"/>
      <w:rPr>
        <w:rFonts w:ascii="仿宋_GB2312" w:hAnsi="宋体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59B"/>
    <w:rsid w:val="00016ACD"/>
    <w:rsid w:val="000448B9"/>
    <w:rsid w:val="00077F35"/>
    <w:rsid w:val="00161E54"/>
    <w:rsid w:val="00185EF2"/>
    <w:rsid w:val="001E6913"/>
    <w:rsid w:val="00203338"/>
    <w:rsid w:val="002716F9"/>
    <w:rsid w:val="002F3265"/>
    <w:rsid w:val="00311109"/>
    <w:rsid w:val="00323C36"/>
    <w:rsid w:val="00345325"/>
    <w:rsid w:val="0035720C"/>
    <w:rsid w:val="00374A08"/>
    <w:rsid w:val="003A4044"/>
    <w:rsid w:val="003A6317"/>
    <w:rsid w:val="003F7F88"/>
    <w:rsid w:val="004315FC"/>
    <w:rsid w:val="004824F1"/>
    <w:rsid w:val="004B4669"/>
    <w:rsid w:val="00507EDB"/>
    <w:rsid w:val="005A3D35"/>
    <w:rsid w:val="005B42EE"/>
    <w:rsid w:val="005E3E81"/>
    <w:rsid w:val="00623C17"/>
    <w:rsid w:val="00641C0B"/>
    <w:rsid w:val="00644866"/>
    <w:rsid w:val="006655B0"/>
    <w:rsid w:val="006C3167"/>
    <w:rsid w:val="006D33D3"/>
    <w:rsid w:val="00787FCF"/>
    <w:rsid w:val="00857183"/>
    <w:rsid w:val="00902AF1"/>
    <w:rsid w:val="009905B2"/>
    <w:rsid w:val="009B047E"/>
    <w:rsid w:val="00A224AC"/>
    <w:rsid w:val="00B360C5"/>
    <w:rsid w:val="00BD66BF"/>
    <w:rsid w:val="00C20C8A"/>
    <w:rsid w:val="00C54922"/>
    <w:rsid w:val="00C85837"/>
    <w:rsid w:val="00D9461F"/>
    <w:rsid w:val="00E003B6"/>
    <w:rsid w:val="00EF3210"/>
    <w:rsid w:val="00F2159B"/>
    <w:rsid w:val="00F32E5A"/>
    <w:rsid w:val="00F34537"/>
    <w:rsid w:val="00F43CD1"/>
    <w:rsid w:val="00FA6F83"/>
    <w:rsid w:val="00FB30F5"/>
    <w:rsid w:val="00FD52F5"/>
    <w:rsid w:val="062E07EF"/>
    <w:rsid w:val="090A0060"/>
    <w:rsid w:val="0B2C6ED5"/>
    <w:rsid w:val="1169357C"/>
    <w:rsid w:val="15AE2F3D"/>
    <w:rsid w:val="1DD722B1"/>
    <w:rsid w:val="20BD4EEC"/>
    <w:rsid w:val="20E20809"/>
    <w:rsid w:val="22C65D82"/>
    <w:rsid w:val="23C12495"/>
    <w:rsid w:val="23EC014F"/>
    <w:rsid w:val="282A4A4F"/>
    <w:rsid w:val="289E366E"/>
    <w:rsid w:val="2D2E758A"/>
    <w:rsid w:val="2DE81335"/>
    <w:rsid w:val="2F3C12BB"/>
    <w:rsid w:val="308A17B6"/>
    <w:rsid w:val="32710BA6"/>
    <w:rsid w:val="34AD3B0C"/>
    <w:rsid w:val="34DD2FBC"/>
    <w:rsid w:val="3AE51C4B"/>
    <w:rsid w:val="3B1F04E7"/>
    <w:rsid w:val="4AC80B98"/>
    <w:rsid w:val="4CC072C6"/>
    <w:rsid w:val="4EB90B16"/>
    <w:rsid w:val="586A2CAF"/>
    <w:rsid w:val="5E094E00"/>
    <w:rsid w:val="6437793B"/>
    <w:rsid w:val="654B6E1F"/>
    <w:rsid w:val="68752EBC"/>
    <w:rsid w:val="79A74CFC"/>
    <w:rsid w:val="7D740905"/>
    <w:rsid w:val="ED74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qFormat/>
    <w:uiPriority w:val="99"/>
    <w:rPr>
      <w:b/>
      <w:bCs/>
    </w:rPr>
  </w:style>
  <w:style w:type="character" w:customStyle="1" w:styleId="8">
    <w:name w:val="页眉 Char"/>
    <w:link w:val="3"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link w:val="2"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1393</Words>
  <Characters>7944</Characters>
  <Lines>66</Lines>
  <Paragraphs>18</Paragraphs>
  <TotalTime>184</TotalTime>
  <ScaleCrop>false</ScaleCrop>
  <LinksUpToDate>false</LinksUpToDate>
  <CharactersWithSpaces>9319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ycak</cp:lastModifiedBy>
  <cp:lastPrinted>2019-04-02T19:42:00Z</cp:lastPrinted>
  <dcterms:modified xsi:type="dcterms:W3CDTF">2022-09-19T11:15:57Z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