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outlineLvl w:val="1"/>
        <w:rPr>
          <w:rFonts w:hint="eastAsia" w:ascii="宋体" w:hAnsi="宋体"/>
          <w:b/>
          <w:kern w:val="0"/>
          <w:sz w:val="44"/>
          <w:szCs w:val="44"/>
        </w:rPr>
      </w:pPr>
    </w:p>
    <w:p>
      <w:pPr>
        <w:widowControl/>
        <w:spacing w:before="100" w:beforeAutospacing="1" w:after="100" w:afterAutospacing="1"/>
        <w:outlineLvl w:val="1"/>
        <w:rPr>
          <w:rFonts w:ascii="宋体" w:hAnsi="宋体"/>
          <w:b/>
          <w:kern w:val="0"/>
          <w:sz w:val="44"/>
          <w:szCs w:val="44"/>
        </w:rPr>
      </w:pPr>
    </w:p>
    <w:p>
      <w:pPr>
        <w:widowControl/>
        <w:spacing w:before="100" w:beforeAutospacing="1" w:after="100" w:afterAutospacing="1"/>
        <w:outlineLvl w:val="1"/>
        <w:rPr>
          <w:rFonts w:ascii="宋体" w:hAnsi="宋体"/>
          <w:b/>
          <w:kern w:val="0"/>
          <w:sz w:val="44"/>
          <w:szCs w:val="44"/>
        </w:rPr>
      </w:pPr>
    </w:p>
    <w:p>
      <w:pPr>
        <w:widowControl/>
        <w:spacing w:before="100" w:beforeAutospacing="1" w:after="100" w:afterAutospacing="1"/>
        <w:outlineLvl w:val="1"/>
        <w:rPr>
          <w:rFonts w:ascii="宋体" w:hAnsi="宋体"/>
          <w:b/>
          <w:kern w:val="0"/>
          <w:sz w:val="44"/>
          <w:szCs w:val="44"/>
        </w:rPr>
      </w:pPr>
    </w:p>
    <w:p>
      <w:pPr>
        <w:widowControl/>
        <w:spacing w:before="100" w:beforeAutospacing="1" w:after="100" w:afterAutospacing="1"/>
        <w:jc w:val="center"/>
        <w:outlineLvl w:val="1"/>
        <w:rPr>
          <w:rFonts w:ascii="方正小标宋简体" w:hAnsi="宋体" w:eastAsia="方正小标宋简体"/>
          <w:kern w:val="0"/>
          <w:sz w:val="44"/>
          <w:szCs w:val="44"/>
        </w:rPr>
      </w:pPr>
      <w:r>
        <w:rPr>
          <w:rFonts w:hint="eastAsia" w:ascii="方正小标宋简体" w:hAnsi="宋体" w:eastAsia="方正小标宋简体"/>
          <w:kern w:val="0"/>
          <w:sz w:val="44"/>
          <w:szCs w:val="44"/>
        </w:rPr>
        <w:t>盐池县交通运输局2020年部门预算</w:t>
      </w:r>
    </w:p>
    <w:p>
      <w:pPr>
        <w:widowControl/>
        <w:spacing w:before="100" w:beforeAutospacing="1" w:after="100" w:afterAutospacing="1"/>
        <w:outlineLvl w:val="1"/>
        <w:rPr>
          <w:rFonts w:ascii="宋体" w:hAnsi="宋体"/>
          <w:b/>
          <w:kern w:val="0"/>
          <w:sz w:val="44"/>
          <w:szCs w:val="44"/>
        </w:rPr>
      </w:pPr>
    </w:p>
    <w:p>
      <w:pPr>
        <w:widowControl/>
        <w:spacing w:before="100" w:beforeAutospacing="1" w:after="100" w:afterAutospacing="1"/>
        <w:outlineLvl w:val="1"/>
        <w:rPr>
          <w:rFonts w:ascii="宋体" w:hAnsi="宋体"/>
          <w:b/>
          <w:kern w:val="0"/>
          <w:sz w:val="44"/>
          <w:szCs w:val="44"/>
        </w:rPr>
      </w:pPr>
    </w:p>
    <w:p>
      <w:pPr>
        <w:widowControl/>
        <w:spacing w:before="100" w:beforeAutospacing="1" w:after="100" w:afterAutospacing="1"/>
        <w:outlineLvl w:val="1"/>
        <w:rPr>
          <w:rFonts w:ascii="宋体" w:hAnsi="宋体"/>
          <w:b/>
          <w:kern w:val="0"/>
          <w:sz w:val="44"/>
          <w:szCs w:val="44"/>
        </w:rPr>
      </w:pPr>
    </w:p>
    <w:p>
      <w:pPr>
        <w:widowControl/>
        <w:spacing w:before="100" w:beforeAutospacing="1" w:after="100" w:afterAutospacing="1"/>
        <w:outlineLvl w:val="1"/>
        <w:rPr>
          <w:rFonts w:ascii="宋体" w:hAnsi="宋体"/>
          <w:b/>
          <w:kern w:val="0"/>
          <w:sz w:val="44"/>
          <w:szCs w:val="44"/>
        </w:rPr>
      </w:pPr>
    </w:p>
    <w:p>
      <w:pPr>
        <w:widowControl/>
        <w:spacing w:before="100" w:beforeAutospacing="1" w:after="100" w:afterAutospacing="1"/>
        <w:outlineLvl w:val="1"/>
        <w:rPr>
          <w:rFonts w:ascii="宋体" w:hAnsi="宋体"/>
          <w:b/>
          <w:kern w:val="0"/>
          <w:sz w:val="44"/>
          <w:szCs w:val="44"/>
        </w:rPr>
      </w:pPr>
    </w:p>
    <w:p>
      <w:pPr>
        <w:widowControl/>
        <w:spacing w:before="100" w:beforeAutospacing="1" w:after="100" w:afterAutospacing="1"/>
        <w:outlineLvl w:val="1"/>
        <w:rPr>
          <w:rFonts w:ascii="宋体" w:hAnsi="宋体"/>
          <w:b/>
          <w:kern w:val="0"/>
          <w:sz w:val="44"/>
          <w:szCs w:val="44"/>
        </w:rPr>
      </w:pPr>
    </w:p>
    <w:p>
      <w:pPr>
        <w:widowControl/>
        <w:spacing w:before="100" w:beforeAutospacing="1" w:after="100" w:afterAutospacing="1"/>
        <w:outlineLvl w:val="1"/>
        <w:rPr>
          <w:rFonts w:ascii="宋体" w:hAnsi="宋体"/>
          <w:b/>
          <w:kern w:val="0"/>
          <w:sz w:val="44"/>
          <w:szCs w:val="44"/>
        </w:rPr>
      </w:pPr>
    </w:p>
    <w:p>
      <w:pPr>
        <w:widowControl/>
        <w:spacing w:before="100" w:beforeAutospacing="1" w:after="100" w:afterAutospacing="1"/>
        <w:outlineLvl w:val="1"/>
        <w:rPr>
          <w:rFonts w:ascii="宋体" w:hAnsi="宋体"/>
          <w:b/>
          <w:kern w:val="0"/>
          <w:sz w:val="44"/>
          <w:szCs w:val="44"/>
        </w:rPr>
      </w:pPr>
    </w:p>
    <w:p>
      <w:pPr>
        <w:widowControl/>
        <w:spacing w:before="100" w:beforeAutospacing="1" w:after="100" w:afterAutospacing="1"/>
        <w:outlineLvl w:val="1"/>
        <w:rPr>
          <w:rFonts w:ascii="宋体" w:hAnsi="宋体"/>
          <w:b/>
          <w:kern w:val="0"/>
          <w:sz w:val="44"/>
          <w:szCs w:val="44"/>
        </w:rPr>
      </w:pPr>
    </w:p>
    <w:p>
      <w:pPr>
        <w:widowControl/>
        <w:spacing w:before="100" w:beforeAutospacing="1" w:after="100" w:afterAutospacing="1"/>
        <w:outlineLvl w:val="1"/>
        <w:rPr>
          <w:rFonts w:ascii="宋体" w:hAnsi="宋体"/>
          <w:b/>
          <w:kern w:val="0"/>
          <w:sz w:val="44"/>
          <w:szCs w:val="44"/>
        </w:rPr>
      </w:pPr>
    </w:p>
    <w:p>
      <w:pPr>
        <w:widowControl/>
        <w:jc w:val="center"/>
        <w:outlineLvl w:val="1"/>
        <w:rPr>
          <w:rFonts w:ascii="宋体" w:hAnsi="宋体"/>
          <w:b/>
          <w:kern w:val="0"/>
          <w:sz w:val="44"/>
          <w:szCs w:val="44"/>
        </w:rPr>
      </w:pPr>
      <w:r>
        <w:rPr>
          <w:rFonts w:hint="eastAsia" w:ascii="宋体" w:hAnsi="宋体"/>
          <w:b/>
          <w:kern w:val="0"/>
          <w:sz w:val="44"/>
          <w:szCs w:val="44"/>
        </w:rPr>
        <w:t>目录</w:t>
      </w:r>
    </w:p>
    <w:p>
      <w:pPr>
        <w:widowControl/>
        <w:outlineLvl w:val="1"/>
        <w:rPr>
          <w:rFonts w:ascii="宋体" w:hAnsi="宋体"/>
          <w:b/>
          <w:kern w:val="0"/>
          <w:sz w:val="44"/>
          <w:szCs w:val="44"/>
        </w:rPr>
      </w:pPr>
    </w:p>
    <w:p>
      <w:pPr>
        <w:widowControl/>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单位概况</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二、部门预算单位构成</w:t>
      </w:r>
    </w:p>
    <w:p>
      <w:pPr>
        <w:widowControl/>
        <w:spacing w:before="156" w:beforeLines="50"/>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2020年部门预算情况说明</w:t>
      </w:r>
    </w:p>
    <w:p>
      <w:pPr>
        <w:widowControl/>
        <w:spacing w:before="156" w:beforeLines="50"/>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名词解释</w:t>
      </w:r>
    </w:p>
    <w:p>
      <w:pPr>
        <w:widowControl/>
        <w:spacing w:before="156" w:beforeLines="50"/>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2020年部门预算表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一、财政拨款收支总表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二、财政拨款支出总表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三、一般公共预算支出表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四、一般公共预算基本支出表（政府经济分类）</w:t>
      </w:r>
    </w:p>
    <w:p>
      <w:pPr>
        <w:widowControl/>
        <w:ind w:firstLine="616" w:firstLineChars="200"/>
        <w:outlineLvl w:val="1"/>
        <w:rPr>
          <w:rFonts w:ascii="仿宋_GB2312" w:hAnsi="宋体" w:eastAsia="仿宋_GB2312"/>
          <w:kern w:val="0"/>
          <w:sz w:val="32"/>
          <w:szCs w:val="32"/>
        </w:rPr>
      </w:pPr>
      <w:r>
        <w:rPr>
          <w:rFonts w:hint="eastAsia" w:ascii="仿宋_GB2312" w:hAnsi="宋体" w:eastAsia="仿宋_GB2312"/>
          <w:spacing w:val="-6"/>
          <w:kern w:val="0"/>
          <w:sz w:val="32"/>
          <w:szCs w:val="32"/>
        </w:rPr>
        <w:t>五、</w:t>
      </w:r>
      <w:r>
        <w:rPr>
          <w:rFonts w:hint="eastAsia" w:ascii="仿宋_GB2312" w:hAnsi="宋体" w:eastAsia="仿宋_GB2312"/>
          <w:kern w:val="0"/>
          <w:sz w:val="32"/>
          <w:szCs w:val="32"/>
        </w:rPr>
        <w:t>一般公共预算基本支出表（部门经济分类）</w:t>
      </w:r>
    </w:p>
    <w:p>
      <w:pPr>
        <w:widowControl/>
        <w:ind w:left="1562" w:leftChars="304" w:hanging="924" w:hangingChars="300"/>
        <w:outlineLvl w:val="1"/>
        <w:rPr>
          <w:rFonts w:eastAsia="仿宋_GB2312"/>
          <w:spacing w:val="-6"/>
          <w:sz w:val="32"/>
          <w:szCs w:val="32"/>
        </w:rPr>
      </w:pPr>
      <w:r>
        <w:rPr>
          <w:rFonts w:hint="eastAsia" w:ascii="仿宋_GB2312" w:hAnsi="宋体" w:eastAsia="仿宋_GB2312"/>
          <w:spacing w:val="-6"/>
          <w:kern w:val="0"/>
          <w:sz w:val="32"/>
          <w:szCs w:val="32"/>
        </w:rPr>
        <w:t>六、一般公共预算“三公”经费</w:t>
      </w:r>
      <w:r>
        <w:rPr>
          <w:rFonts w:hint="eastAsia" w:eastAsia="仿宋_GB2312"/>
          <w:spacing w:val="-6"/>
          <w:sz w:val="32"/>
          <w:szCs w:val="32"/>
        </w:rPr>
        <w:t>支出表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七、政府性基金预算支出表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八、部门收支总表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九、部门收入总表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十、部门支出总表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十一、政府采购预算表</w:t>
      </w:r>
    </w:p>
    <w:p>
      <w:pPr>
        <w:autoSpaceDN w:val="0"/>
        <w:ind w:left="2078" w:leftChars="304" w:hanging="1440" w:hangingChars="450"/>
        <w:rPr>
          <w:rFonts w:eastAsia="仿宋_GB2312"/>
          <w:sz w:val="32"/>
          <w:szCs w:val="32"/>
        </w:rPr>
      </w:pPr>
      <w:r>
        <w:rPr>
          <w:rFonts w:eastAsia="仿宋_GB2312"/>
          <w:sz w:val="32"/>
          <w:szCs w:val="32"/>
        </w:rPr>
        <w:t xml:space="preserve">      </w:t>
      </w:r>
    </w:p>
    <w:p>
      <w:pPr>
        <w:widowControl/>
        <w:outlineLvl w:val="1"/>
        <w:rPr>
          <w:rFonts w:ascii="仿宋_GB2312" w:hAnsi="宋体" w:eastAsia="仿宋_GB2312"/>
          <w:b/>
          <w:kern w:val="0"/>
          <w:sz w:val="32"/>
          <w:szCs w:val="32"/>
        </w:rPr>
      </w:pPr>
    </w:p>
    <w:p>
      <w:pPr>
        <w:widowControl/>
        <w:outlineLvl w:val="1"/>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盐池县交通运输局2020年部门预算——单位概况</w:t>
      </w:r>
    </w:p>
    <w:p>
      <w:pPr>
        <w:widowControl/>
        <w:spacing w:line="560" w:lineRule="exact"/>
        <w:ind w:firstLine="480"/>
        <w:rPr>
          <w:rFonts w:ascii="黑体" w:hAnsi="黑体" w:eastAsia="黑体" w:cs="宋体"/>
          <w:kern w:val="0"/>
          <w:sz w:val="32"/>
          <w:szCs w:val="32"/>
        </w:rPr>
      </w:pPr>
      <w:r>
        <w:rPr>
          <w:rFonts w:hint="eastAsia" w:ascii="黑体" w:hAnsi="黑体" w:eastAsia="黑体" w:cs="宋体"/>
          <w:kern w:val="0"/>
          <w:sz w:val="32"/>
          <w:szCs w:val="32"/>
        </w:rPr>
        <w:t>一、主要职能</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一）贯彻实施国家、自治区有关法律、法规、规章，执行国家、区、市交通运输改革与发展的方针政策；拟订全县交通运输发展规划和年度计划并监督实施；执行公路运输有关政策、准入制度、技术标准和运营规范并进行监督管理。</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二）指导全县交通运输行业的各项改革，维护公路运输业的平等竞争秩序，引导交通运输业优化结构，协调发展；指导全县城乡客运及有关设施规划和管理工作；负责全县综合交通运输体系规划建设工作及城市公共交通管理工作；指导协调运管部门对道路运输市场、汽车维修市场，汽车驾驶员学校和驾驶员培训履行监管责任。</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（三）承担全县农村公路养护和管理、交通设施维护、公路工程质量及农村公路路政管理和治理超限超载工作，保障公路安全畅通。</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（四）协助上级交通运输部门加快发展县域内的国、省道主干线公路，高速公路的建设。</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五）指导宣传贯彻执行国家及区、市安全生产的方针、政策、法规，对全县道路客货运输、公路工程建设及水上非运输船舶的安全监督管理。组织协调处理交通行业重大突发事件、重大灾害事故调查、处理和救助工作，确保人民生命和财产安全。</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（六）指导交通运输信息化建设，执行交通科技政策，技术标准和规范；组织重大交通科研成果推广应用，推进科技进步；指导交通运输行业节能减排和环境保护工作。</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（七）指导全县交通运输行业职工教育和职业技术教育，交通行政执法人员的法律法规和政策的教育培训。对所委托的行政执法机构依法进行管理监督、检查，受理交通行政执法案件的复议。</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八）贯彻执行国防交通战备工作的方针、政策，规划全县国防交通网络布局，拟订全县国防交通保障计划，指导、监督、检查全县国防交通战备工作，负责交通战备、抢险救灾的交通保障，在紧急情况下对全县所有运力实施统一调配、指导，保障国防战备任务的需要。</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（九）负责交通运输行业精神文明建设和职工队伍建设。强化窗口单位职业道德意识，负责系统职工教育及人才培训工作。</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（十）负责交通运输行业行政执法，确保依法行政，文明执法。对局属各单位经营、管理工作进行监督、指导、协调、服务。</w:t>
      </w:r>
    </w:p>
    <w:p>
      <w:pPr>
        <w:widowControl/>
        <w:spacing w:line="560" w:lineRule="exact"/>
        <w:ind w:firstLine="480"/>
        <w:rPr>
          <w:rFonts w:ascii="黑体" w:hAnsi="黑体" w:eastAsia="黑体" w:cs="宋体"/>
          <w:b/>
          <w:bCs/>
          <w:kern w:val="0"/>
          <w:sz w:val="32"/>
          <w:szCs w:val="32"/>
        </w:rPr>
      </w:pPr>
      <w:r>
        <w:rPr>
          <w:rFonts w:hint="eastAsia" w:ascii="仿宋_GB2312" w:hAnsi="宋体" w:eastAsia="仿宋_GB2312" w:cs="宋体"/>
          <w:kern w:val="0"/>
          <w:sz w:val="32"/>
          <w:szCs w:val="32"/>
        </w:rPr>
        <w:t>（十一）承办县人民政府交办的其他工作</w:t>
      </w:r>
      <w:r>
        <w:rPr>
          <w:rFonts w:hint="eastAsia" w:ascii="黑体" w:hAnsi="黑体" w:eastAsia="黑体" w:cs="宋体"/>
          <w:b/>
          <w:bCs/>
          <w:kern w:val="0"/>
          <w:sz w:val="32"/>
          <w:szCs w:val="32"/>
        </w:rPr>
        <w:t>。</w:t>
      </w:r>
    </w:p>
    <w:p>
      <w:pPr>
        <w:widowControl/>
        <w:spacing w:line="560" w:lineRule="exact"/>
        <w:ind w:firstLine="480"/>
        <w:rPr>
          <w:rFonts w:ascii="黑体" w:hAnsi="黑体" w:eastAsia="黑体" w:cs="宋体"/>
          <w:kern w:val="0"/>
          <w:sz w:val="32"/>
          <w:szCs w:val="32"/>
        </w:rPr>
      </w:pPr>
      <w:r>
        <w:rPr>
          <w:rFonts w:hint="eastAsia" w:ascii="黑体" w:hAnsi="黑体" w:eastAsia="黑体" w:cs="宋体"/>
          <w:kern w:val="0"/>
          <w:sz w:val="32"/>
          <w:szCs w:val="32"/>
        </w:rPr>
        <w:t>二、部门预算单位构成</w:t>
      </w:r>
    </w:p>
    <w:p>
      <w:pPr>
        <w:widowControl/>
        <w:spacing w:line="560" w:lineRule="exact"/>
        <w:ind w:firstLine="480"/>
        <w:rPr>
          <w:rFonts w:hint="default" w:ascii="仿宋_GB2312" w:hAnsi="宋体" w:eastAsia="仿宋_GB2312" w:cs="宋体"/>
          <w:kern w:val="0"/>
          <w:sz w:val="32"/>
          <w:szCs w:val="32"/>
          <w:highlight w:val="none"/>
          <w:lang w:val="en-US" w:eastAsia="zh-CN"/>
        </w:rPr>
      </w:pPr>
      <w:r>
        <w:rPr>
          <w:rFonts w:hint="eastAsia" w:ascii="黑体" w:hAnsi="黑体" w:eastAsia="黑体" w:cs="宋体"/>
          <w:b/>
          <w:bCs/>
          <w:kern w:val="0"/>
          <w:sz w:val="32"/>
          <w:szCs w:val="32"/>
          <w:highlight w:val="none"/>
        </w:rPr>
        <w:t xml:space="preserve">    </w:t>
      </w:r>
      <w:r>
        <w:rPr>
          <w:rFonts w:hint="eastAsia" w:ascii="仿宋_GB2312" w:hAnsi="宋体" w:eastAsia="仿宋_GB2312" w:cs="宋体"/>
          <w:kern w:val="0"/>
          <w:sz w:val="32"/>
          <w:szCs w:val="32"/>
          <w:highlight w:val="none"/>
        </w:rPr>
        <w:t>盐池县交通运输局是独立核算的行政单位，执行的行政单位会计制度，内设办公室岗位、政法宣教岗位、计划统计财务岗位、公路建养及监督管理岗位，安全监督岗位。</w:t>
      </w:r>
      <w:r>
        <w:rPr>
          <w:rFonts w:hint="eastAsia" w:ascii="仿宋_GB2312" w:hAnsi="宋体" w:eastAsia="仿宋_GB2312" w:cs="宋体"/>
          <w:kern w:val="0"/>
          <w:sz w:val="32"/>
          <w:szCs w:val="32"/>
          <w:highlight w:val="none"/>
          <w:lang w:eastAsia="zh-CN"/>
        </w:rPr>
        <w:t>本单位共有人员</w:t>
      </w:r>
      <w:r>
        <w:rPr>
          <w:rFonts w:hint="eastAsia" w:ascii="仿宋_GB2312" w:hAnsi="宋体" w:eastAsia="仿宋_GB2312" w:cs="宋体"/>
          <w:kern w:val="0"/>
          <w:sz w:val="32"/>
          <w:szCs w:val="32"/>
          <w:highlight w:val="none"/>
          <w:lang w:val="en-US" w:eastAsia="zh-CN"/>
        </w:rPr>
        <w:t>23人，其中在编人员7人。</w:t>
      </w:r>
    </w:p>
    <w:p>
      <w:pPr>
        <w:widowControl/>
        <w:spacing w:line="560" w:lineRule="exact"/>
        <w:ind w:firstLine="480"/>
        <w:rPr>
          <w:rFonts w:ascii="仿宋_GB2312" w:hAnsi="宋体" w:eastAsia="仿宋_GB2312" w:cs="宋体"/>
          <w:kern w:val="0"/>
          <w:sz w:val="32"/>
          <w:szCs w:val="32"/>
          <w:highlight w:val="none"/>
        </w:rPr>
      </w:pPr>
    </w:p>
    <w:p>
      <w:pPr>
        <w:spacing w:line="560" w:lineRule="exact"/>
        <w:sectPr>
          <w:pgSz w:w="11906" w:h="16838"/>
          <w:pgMar w:top="1474" w:right="1474" w:bottom="1757" w:left="1587" w:header="851" w:footer="992" w:gutter="0"/>
          <w:cols w:space="720" w:num="1"/>
          <w:docGrid w:type="lines" w:linePitch="312" w:charSpace="0"/>
        </w:sectPr>
      </w:pPr>
    </w:p>
    <w:p>
      <w:pPr>
        <w:widowControl/>
        <w:spacing w:line="560" w:lineRule="exact"/>
        <w:outlineLvl w:val="1"/>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盐池县交通运输局2020年部门预算——部门预算情况说明</w:t>
      </w:r>
    </w:p>
    <w:p>
      <w:pPr>
        <w:widowControl/>
        <w:spacing w:line="560" w:lineRule="exact"/>
        <w:ind w:firstLine="480"/>
        <w:rPr>
          <w:rFonts w:ascii="黑体" w:hAnsi="黑体" w:eastAsia="黑体" w:cs="宋体"/>
          <w:kern w:val="0"/>
          <w:sz w:val="32"/>
          <w:szCs w:val="32"/>
        </w:rPr>
      </w:pPr>
      <w:r>
        <w:rPr>
          <w:rFonts w:hint="eastAsia" w:ascii="黑体" w:hAnsi="黑体" w:eastAsia="黑体" w:cs="宋体"/>
          <w:kern w:val="0"/>
          <w:sz w:val="32"/>
          <w:szCs w:val="32"/>
        </w:rPr>
        <w:t>一、关于盐池县交通运输局2020年财政拨款收支预算情况的总体说明</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盐池县交通运输局2020年财政拨款收入预514.14</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，其中：本年收入514.14</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，包括一般公共预算拨款514.14</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，政府性基金预算拨款0</w:t>
      </w:r>
      <w:r>
        <w:rPr>
          <w:rFonts w:hint="eastAsia" w:ascii="仿宋_GB2312" w:hAnsi="宋体" w:eastAsia="仿宋_GB2312" w:cs="宋体"/>
          <w:kern w:val="0"/>
          <w:sz w:val="32"/>
          <w:szCs w:val="32"/>
          <w:lang w:val="en-US" w:eastAsia="zh-CN"/>
        </w:rPr>
        <w:t>.00</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；上年结转结余0</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。支出预算514.14</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，包括：按政府收支分类功能科目逐项说明。如，一般公共服务支出0</w:t>
      </w:r>
      <w:r>
        <w:rPr>
          <w:rFonts w:hint="eastAsia" w:ascii="仿宋_GB2312" w:hAnsi="宋体" w:eastAsia="仿宋_GB2312" w:cs="宋体"/>
          <w:kern w:val="0"/>
          <w:sz w:val="32"/>
          <w:szCs w:val="32"/>
          <w:lang w:val="en-US" w:eastAsia="zh-CN"/>
        </w:rPr>
        <w:t>.00</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、社会保障和就业支出 33.05</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、卫生健康支出10.17</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、节能环保支出6.00</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、交通运输支出446.95</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、住房保障支出17.98</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w:t>
      </w:r>
    </w:p>
    <w:p>
      <w:pPr>
        <w:widowControl/>
        <w:spacing w:line="560" w:lineRule="exact"/>
        <w:ind w:firstLine="480"/>
        <w:rPr>
          <w:rFonts w:ascii="黑体" w:hAnsi="黑体" w:eastAsia="黑体" w:cs="宋体"/>
          <w:kern w:val="0"/>
          <w:sz w:val="32"/>
          <w:szCs w:val="32"/>
        </w:rPr>
      </w:pPr>
      <w:r>
        <w:rPr>
          <w:rFonts w:hint="eastAsia" w:ascii="黑体" w:hAnsi="黑体" w:eastAsia="黑体" w:cs="宋体"/>
          <w:kern w:val="0"/>
          <w:sz w:val="32"/>
          <w:szCs w:val="32"/>
        </w:rPr>
        <w:t>二、关于盐池县交通运输局2020年一般公共预算财政拨款支出情况说明</w:t>
      </w:r>
    </w:p>
    <w:p>
      <w:pPr>
        <w:widowControl/>
        <w:spacing w:line="560" w:lineRule="exact"/>
        <w:ind w:firstLine="48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（一）基本支出情况说明</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盐池县交通运输局2020年一般公共预算财政拨款基本支出161.31</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，其中：本年收入安排支出161.31</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，上年结转资金安排支出0</w:t>
      </w:r>
      <w:r>
        <w:rPr>
          <w:rFonts w:hint="eastAsia" w:ascii="仿宋_GB2312" w:hAnsi="宋体" w:eastAsia="仿宋_GB2312" w:cs="宋体"/>
          <w:kern w:val="0"/>
          <w:sz w:val="32"/>
          <w:szCs w:val="32"/>
          <w:lang w:val="en-US" w:eastAsia="zh-CN"/>
        </w:rPr>
        <w:t>.00</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。比2019年执行数（决算数）减少0.52</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，下降0.003%。</w:t>
      </w:r>
    </w:p>
    <w:p>
      <w:pPr>
        <w:widowControl/>
        <w:spacing w:line="560" w:lineRule="exact"/>
        <w:ind w:firstLine="48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人员经费141.18</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，主要包括：按部门支出经济分类科目分项说明。如，基本工资33.20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、津贴补贴31.74</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、奖金12.57</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、伙食补助费0</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、绩效工资0</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、机关事业单位基本养老保险缴费9.29</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、职业年金缴费4.65</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、城镇职工基本医疗保险缴费4.65</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、公务员医疗补助缴费5.52</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、其他社会保障缴费0.62</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、住房公积金8.03</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、其他工资福利支出6.68</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、离休费14.06</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、退休费9.67</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、生活补助0.51</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、抚恤金0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、生活补助0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、医疗费0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、助学金0</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、奖励金0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、提租补贴0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、购房补贴0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、其他对个人和家庭的补助支出0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w:t>
      </w:r>
    </w:p>
    <w:p>
      <w:pPr>
        <w:widowControl/>
        <w:spacing w:line="560" w:lineRule="exact"/>
        <w:ind w:firstLine="48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公用经费20.13</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，主要包括：按部门支出经济分类科目分项说明。如，办公费7.80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、印刷费0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、咨询费0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、手续费0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、水费0.10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、电费0.50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、邮电费0.70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、取暖费2.53</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、物业管理费0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、差旅费2.10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、因公出国（境）费0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、维修（护）费0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、租赁费0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、会议费0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、培训费0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、公务接待费0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、专用材料费0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、劳务费0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、委托业务费0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、工会经费0</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、福利费0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、公务用车运行维护费0</w:t>
      </w:r>
      <w:r>
        <w:rPr>
          <w:rFonts w:hint="eastAsia" w:ascii="仿宋_GB2312" w:hAnsi="宋体" w:eastAsia="仿宋_GB2312" w:cs="宋体"/>
          <w:kern w:val="0"/>
          <w:sz w:val="32"/>
          <w:szCs w:val="32"/>
          <w:highlight w:val="none"/>
          <w:lang w:val="en-US" w:eastAsia="zh-CN"/>
        </w:rPr>
        <w:t>.00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、其他交通费6.08</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、对个人和家庭的补助费0.32</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、办公设备购置、专用设备购置0</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w:t>
      </w:r>
    </w:p>
    <w:p>
      <w:pPr>
        <w:widowControl/>
        <w:spacing w:line="560" w:lineRule="exact"/>
        <w:ind w:firstLine="480"/>
        <w:rPr>
          <w:rFonts w:ascii="仿宋_GB2312" w:hAnsi="宋体" w:eastAsia="仿宋_GB2312" w:cs="宋体"/>
          <w:kern w:val="0"/>
          <w:sz w:val="32"/>
          <w:szCs w:val="32"/>
        </w:rPr>
      </w:pPr>
    </w:p>
    <w:p>
      <w:pPr>
        <w:widowControl/>
        <w:spacing w:line="560" w:lineRule="exact"/>
        <w:ind w:firstLine="48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（二）项目支出情况说明</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盐池县交通运输局2020年一般公共预算财政拨款项目支出352.83</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，其中：本年收入安排支出352.83</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，上年结转结余资金安排支出0</w:t>
      </w:r>
      <w:r>
        <w:rPr>
          <w:rFonts w:hint="eastAsia" w:ascii="仿宋_GB2312" w:hAnsi="宋体" w:eastAsia="仿宋_GB2312" w:cs="宋体"/>
          <w:kern w:val="0"/>
          <w:sz w:val="32"/>
          <w:szCs w:val="32"/>
          <w:lang w:val="en-US" w:eastAsia="zh-CN"/>
        </w:rPr>
        <w:t>.00</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。包括：按政府收支科目类、款、项，用途分项说明。如，</w:t>
      </w:r>
      <w:r>
        <w:rPr>
          <w:rFonts w:hint="eastAsia" w:ascii="仿宋_GB2312" w:eastAsia="仿宋_GB2312"/>
          <w:kern w:val="0"/>
          <w:sz w:val="32"/>
          <w:szCs w:val="32"/>
        </w:rPr>
        <w:t>一般公共服务（类）财政事务（款）行政运行（项）2020年预算352.83</w:t>
      </w:r>
      <w:r>
        <w:rPr>
          <w:rFonts w:hint="eastAsia" w:ascii="仿宋_GB2312" w:eastAsia="仿宋_GB2312"/>
          <w:kern w:val="0"/>
          <w:sz w:val="32"/>
          <w:szCs w:val="32"/>
          <w:lang w:eastAsia="zh-CN"/>
        </w:rPr>
        <w:t>万元</w:t>
      </w:r>
      <w:r>
        <w:rPr>
          <w:rFonts w:hint="eastAsia" w:ascii="仿宋_GB2312" w:eastAsia="仿宋_GB2312"/>
          <w:kern w:val="0"/>
          <w:sz w:val="32"/>
          <w:szCs w:val="32"/>
        </w:rPr>
        <w:t>，</w:t>
      </w:r>
      <w:r>
        <w:rPr>
          <w:rFonts w:hint="eastAsia" w:ascii="仿宋_GB2312" w:hAnsi="宋体" w:eastAsia="仿宋_GB2312" w:cs="宋体"/>
          <w:kern w:val="0"/>
          <w:sz w:val="32"/>
          <w:szCs w:val="32"/>
        </w:rPr>
        <w:t>比2019年执行数（决算数）减少6770.03</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，下降0.93%。主要用于减排专项支出及车辆购置税用于农村公路建设支出等。</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必须按功能分类项级科目逐项说明。</w:t>
      </w:r>
    </w:p>
    <w:p>
      <w:pPr>
        <w:widowControl/>
        <w:spacing w:line="560" w:lineRule="exact"/>
        <w:ind w:firstLine="480"/>
        <w:rPr>
          <w:rFonts w:ascii="黑体" w:hAnsi="黑体" w:eastAsia="黑体" w:cs="宋体"/>
          <w:kern w:val="0"/>
          <w:sz w:val="32"/>
          <w:szCs w:val="32"/>
        </w:rPr>
      </w:pPr>
      <w:r>
        <w:rPr>
          <w:rFonts w:hint="eastAsia" w:ascii="黑体" w:hAnsi="黑体" w:eastAsia="黑体" w:cs="宋体"/>
          <w:kern w:val="0"/>
          <w:sz w:val="32"/>
          <w:szCs w:val="32"/>
        </w:rPr>
        <w:t>三、关于盐池县交通运输局2020年一般公共预算财政拨款“三公”经费预算情况说明</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盐池县交通运输局2020年“三公”经费财政拨款预算数为0</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，其中：因公出国（境）费0</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，公务用车购置</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，公务用车运行费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2020年“三公”经费财政拨款预算比2019年增加 </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，其中：因公出国（境）费增加</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，主要原因本单位无人因公出国；公务用车购置费增加</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，主要原因本单位没有公务用车；公务用车运行费增加</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，主要原因本单位没有公务用车；公务接待费增加</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，主要原因本单位没有公务接待。</w:t>
      </w:r>
    </w:p>
    <w:p>
      <w:pPr>
        <w:widowControl/>
        <w:spacing w:line="560" w:lineRule="exact"/>
        <w:ind w:firstLine="480"/>
        <w:rPr>
          <w:rFonts w:ascii="黑体" w:hAnsi="黑体" w:eastAsia="黑体" w:cs="宋体"/>
          <w:kern w:val="0"/>
          <w:sz w:val="32"/>
          <w:szCs w:val="32"/>
        </w:rPr>
      </w:pPr>
      <w:r>
        <w:rPr>
          <w:rFonts w:hint="eastAsia" w:ascii="黑体" w:hAnsi="黑体" w:eastAsia="黑体" w:cs="宋体"/>
          <w:kern w:val="0"/>
          <w:sz w:val="32"/>
          <w:szCs w:val="32"/>
        </w:rPr>
        <w:t>四、关于盐池县交通运输局2020年政府性基金预算拨款情况说明</w:t>
      </w:r>
    </w:p>
    <w:p>
      <w:pPr>
        <w:widowControl/>
        <w:spacing w:line="560" w:lineRule="exact"/>
        <w:ind w:firstLine="480"/>
        <w:rPr>
          <w:rFonts w:ascii="仿宋_GB2312" w:hAnsi="宋体" w:eastAsia="仿宋_GB2312" w:cs="宋体"/>
          <w:kern w:val="0"/>
          <w:sz w:val="32"/>
          <w:szCs w:val="32"/>
        </w:rPr>
      </w:pPr>
      <w:r>
        <w:rPr>
          <w:rFonts w:hint="eastAsia" w:ascii="楷体_GB2312" w:hAnsi="宋体" w:eastAsia="楷体_GB2312" w:cs="宋体"/>
          <w:b/>
          <w:bCs/>
          <w:kern w:val="0"/>
          <w:sz w:val="32"/>
          <w:szCs w:val="32"/>
        </w:rPr>
        <w:t>无政府性基金预算财政拨款单位：</w:t>
      </w:r>
      <w:r>
        <w:rPr>
          <w:rFonts w:hint="eastAsia" w:ascii="仿宋_GB2312" w:hAnsi="宋体" w:eastAsia="仿宋_GB2312" w:cs="宋体"/>
          <w:kern w:val="0"/>
          <w:sz w:val="32"/>
          <w:szCs w:val="32"/>
        </w:rPr>
        <w:t>盐池县交通运输局2020年无政府性基金预算财政拨款收支。</w:t>
      </w:r>
    </w:p>
    <w:p>
      <w:pPr>
        <w:widowControl/>
        <w:spacing w:line="560" w:lineRule="exact"/>
        <w:ind w:firstLine="480"/>
        <w:rPr>
          <w:rFonts w:ascii="仿宋_GB2312" w:hAnsi="宋体" w:eastAsia="仿宋_GB2312" w:cs="宋体"/>
          <w:kern w:val="0"/>
          <w:sz w:val="32"/>
          <w:szCs w:val="32"/>
        </w:rPr>
      </w:pPr>
      <w:r>
        <w:rPr>
          <w:rFonts w:hint="eastAsia" w:ascii="楷体_GB2312" w:hAnsi="宋体" w:eastAsia="楷体_GB2312" w:cs="宋体"/>
          <w:b/>
          <w:bCs/>
          <w:kern w:val="0"/>
          <w:sz w:val="32"/>
          <w:szCs w:val="32"/>
        </w:rPr>
        <w:t>有政府性基金预算财政拨款单位：</w:t>
      </w:r>
    </w:p>
    <w:p>
      <w:pPr>
        <w:widowControl/>
        <w:spacing w:line="560" w:lineRule="exact"/>
        <w:ind w:firstLine="48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（一）基本支出情况说明</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盐池县交通运输局2020年政府性基金预算财政拨款基本支出</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，其中：本年收入安排支出</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，上年结转资金安排支出</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。比2</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19年执行数（决算数）增加</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，增长</w:t>
      </w:r>
      <w:r>
        <w:rPr>
          <w:rFonts w:hint="eastAsia" w:ascii="仿宋_GB2312" w:hAnsi="宋体" w:eastAsia="仿宋_GB2312" w:cs="宋体"/>
          <w:kern w:val="0"/>
          <w:sz w:val="32"/>
          <w:szCs w:val="32"/>
          <w:lang w:eastAsia="zh-CN"/>
        </w:rPr>
        <w:t>0.00</w:t>
      </w:r>
      <w:r>
        <w:rPr>
          <w:rFonts w:hint="eastAsia" w:ascii="仿宋_GB2312" w:hAnsi="宋体" w:eastAsia="仿宋_GB2312" w:cs="宋体"/>
          <w:kern w:val="0"/>
          <w:sz w:val="32"/>
          <w:szCs w:val="32"/>
        </w:rPr>
        <w:t>%。</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，主要包括：按部门支出经济分类科目分项说明。如，基本工资</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、社会保障缴费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、伙食补助费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、绩效工资</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、其他工资福利支出</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、离休费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、抚恤金</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、生活补助</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、医疗费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、助学金</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、提租补贴</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、购房补贴</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、其他对个人和家庭的补助支出</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，主要包括：按部门支出经济分类科目分项说明。如，办公费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、印刷费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、咨询费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、手续费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、水费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、取暖费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、物业管理费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、因公出国（境）费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、维修（护）费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、租赁费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、会议费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、培训费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、专用材料费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、劳务费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、委托业务费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、其他交通费</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、其他商品和服务支出</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、办公设备购置</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、专用设备购置</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w:t>
      </w:r>
    </w:p>
    <w:p>
      <w:pPr>
        <w:widowControl/>
        <w:spacing w:line="560" w:lineRule="exact"/>
        <w:ind w:firstLine="48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（二）项目支出情况说明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cs="仿宋_GB2312"/>
          <w:sz w:val="32"/>
          <w:szCs w:val="32"/>
        </w:rPr>
        <w:t>盐池县交通运输局2020年政府性基金预算财政拨款项目支出</w:t>
      </w:r>
      <w:r>
        <w:rPr>
          <w:rFonts w:hint="eastAsia" w:ascii="仿宋_GB2312" w:hAnsi="仿宋_GB2312" w:eastAsia="仿宋_GB2312" w:cs="仿宋_GB2312"/>
          <w:sz w:val="32"/>
          <w:szCs w:val="32"/>
          <w:lang w:eastAsia="zh-CN"/>
        </w:rPr>
        <w:t>0.00万元</w:t>
      </w:r>
      <w:r>
        <w:rPr>
          <w:rFonts w:hint="eastAsia" w:ascii="仿宋_GB2312" w:hAnsi="仿宋_GB2312" w:eastAsia="仿宋_GB2312" w:cs="仿宋_GB2312"/>
          <w:sz w:val="32"/>
          <w:szCs w:val="32"/>
        </w:rPr>
        <w:t>，其中：本年收入安排支出</w:t>
      </w:r>
      <w:r>
        <w:rPr>
          <w:rFonts w:hint="eastAsia" w:ascii="仿宋_GB2312" w:hAnsi="仿宋_GB2312" w:eastAsia="仿宋_GB2312" w:cs="仿宋_GB2312"/>
          <w:sz w:val="32"/>
          <w:szCs w:val="32"/>
          <w:lang w:eastAsia="zh-CN"/>
        </w:rPr>
        <w:t>0.00万元</w:t>
      </w:r>
      <w:r>
        <w:rPr>
          <w:rFonts w:hint="eastAsia" w:ascii="仿宋_GB2312" w:hAnsi="仿宋_GB2312" w:eastAsia="仿宋_GB2312" w:cs="仿宋_GB2312"/>
          <w:sz w:val="32"/>
          <w:szCs w:val="32"/>
        </w:rPr>
        <w:t>，上年结转结余资金安排支出</w:t>
      </w:r>
      <w:r>
        <w:rPr>
          <w:rFonts w:hint="eastAsia" w:ascii="仿宋_GB2312" w:hAnsi="仿宋_GB2312" w:eastAsia="仿宋_GB2312" w:cs="仿宋_GB2312"/>
          <w:sz w:val="32"/>
          <w:szCs w:val="32"/>
          <w:lang w:eastAsia="zh-CN"/>
        </w:rPr>
        <w:t>0.00万元</w:t>
      </w:r>
      <w:r>
        <w:rPr>
          <w:rFonts w:hint="eastAsia" w:ascii="仿宋_GB2312" w:hAnsi="仿宋_GB2312" w:eastAsia="仿宋_GB2312" w:cs="仿宋_GB2312"/>
          <w:sz w:val="32"/>
          <w:szCs w:val="32"/>
        </w:rPr>
        <w:t>。包括：</w:t>
      </w:r>
      <w:r>
        <w:rPr>
          <w:rFonts w:hint="eastAsia" w:ascii="仿宋_GB2312" w:hAnsi="宋体" w:eastAsia="仿宋_GB2312" w:cs="宋体"/>
          <w:kern w:val="0"/>
          <w:sz w:val="32"/>
          <w:szCs w:val="32"/>
        </w:rPr>
        <w:t>按政府收支科目类、款、项，用途分项说明。如，</w:t>
      </w:r>
      <w:r>
        <w:rPr>
          <w:rFonts w:hint="eastAsia" w:ascii="仿宋_GB2312" w:eastAsia="仿宋_GB2312"/>
          <w:kern w:val="0"/>
          <w:sz w:val="32"/>
          <w:szCs w:val="32"/>
        </w:rPr>
        <w:t>一般公共服务（类）财政事务（款）行政运行（项）2020年预算</w:t>
      </w:r>
      <w:r>
        <w:rPr>
          <w:rFonts w:hint="eastAsia" w:ascii="仿宋_GB2312" w:eastAsia="仿宋_GB2312"/>
          <w:kern w:val="0"/>
          <w:sz w:val="32"/>
          <w:szCs w:val="32"/>
          <w:lang w:eastAsia="zh-CN"/>
        </w:rPr>
        <w:t>0.00万元</w:t>
      </w:r>
      <w:r>
        <w:rPr>
          <w:rFonts w:hint="eastAsia" w:ascii="仿宋_GB2312" w:eastAsia="仿宋_GB2312"/>
          <w:kern w:val="0"/>
          <w:sz w:val="32"/>
          <w:szCs w:val="32"/>
        </w:rPr>
        <w:t>，</w:t>
      </w:r>
      <w:r>
        <w:rPr>
          <w:rFonts w:hint="eastAsia" w:ascii="仿宋_GB2312" w:hAnsi="宋体" w:eastAsia="仿宋_GB2312" w:cs="宋体"/>
          <w:kern w:val="0"/>
          <w:sz w:val="32"/>
          <w:szCs w:val="32"/>
        </w:rPr>
        <w:t>比2019年执行数（决算数）增加</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，增长</w:t>
      </w:r>
      <w:r>
        <w:rPr>
          <w:rFonts w:hint="eastAsia" w:ascii="仿宋_GB2312" w:hAnsi="宋体" w:eastAsia="仿宋_GB2312" w:cs="宋体"/>
          <w:kern w:val="0"/>
          <w:sz w:val="32"/>
          <w:szCs w:val="32"/>
          <w:lang w:eastAsia="zh-CN"/>
        </w:rPr>
        <w:t>0.00</w:t>
      </w:r>
      <w:r>
        <w:rPr>
          <w:rFonts w:hint="eastAsia" w:ascii="仿宋_GB2312" w:hAnsi="宋体" w:eastAsia="仿宋_GB2312" w:cs="宋体"/>
          <w:kern w:val="0"/>
          <w:sz w:val="32"/>
          <w:szCs w:val="32"/>
        </w:rPr>
        <w:t xml:space="preserve"> %。主要原因本单位</w:t>
      </w:r>
      <w:r>
        <w:rPr>
          <w:rFonts w:hint="eastAsia" w:ascii="仿宋_GB2312" w:hAnsi="仿宋_GB2312" w:eastAsia="仿宋_GB2312" w:cs="仿宋_GB2312"/>
          <w:sz w:val="32"/>
          <w:szCs w:val="32"/>
        </w:rPr>
        <w:t>政府性基金预算财政拨款</w:t>
      </w:r>
      <w:r>
        <w:rPr>
          <w:rFonts w:hint="eastAsia" w:ascii="仿宋_GB2312" w:hAnsi="宋体" w:eastAsia="仿宋_GB2312" w:cs="宋体"/>
          <w:kern w:val="0"/>
          <w:sz w:val="32"/>
          <w:szCs w:val="32"/>
        </w:rPr>
        <w:t>。</w:t>
      </w:r>
    </w:p>
    <w:p>
      <w:pPr>
        <w:widowControl/>
        <w:spacing w:line="560" w:lineRule="exact"/>
        <w:ind w:firstLine="480"/>
        <w:rPr>
          <w:rFonts w:ascii="黑体" w:hAnsi="黑体" w:eastAsia="黑体" w:cs="宋体"/>
          <w:kern w:val="0"/>
          <w:sz w:val="32"/>
          <w:szCs w:val="32"/>
        </w:rPr>
      </w:pPr>
      <w:r>
        <w:rPr>
          <w:rFonts w:hint="eastAsia" w:ascii="黑体" w:hAnsi="黑体" w:eastAsia="黑体" w:cs="宋体"/>
          <w:kern w:val="0"/>
          <w:sz w:val="32"/>
          <w:szCs w:val="32"/>
        </w:rPr>
        <w:t>五、关于盐池县交通运输局2020年收支预算情况的总体说明</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盐池县交通运输局2020年收入总预算514.14</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，其中：本年收入514.14</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，上年结转结余</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；支出总预算</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，其中：本年支出514.14</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，年末结转结余</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本年收入包括：财政拨款预算收入514.14</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，占100%；事业预算收入</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，占0%；上级补助预算收入</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eastAsia="zh-CN"/>
        </w:rPr>
        <w:t>0.00</w:t>
      </w:r>
      <w:r>
        <w:rPr>
          <w:rFonts w:hint="eastAsia" w:ascii="仿宋_GB2312" w:hAnsi="宋体" w:eastAsia="仿宋_GB2312" w:cs="宋体"/>
          <w:kern w:val="0"/>
          <w:sz w:val="32"/>
          <w:szCs w:val="32"/>
        </w:rPr>
        <w:t>%；附属单位上缴预算收入</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eastAsia="zh-CN"/>
        </w:rPr>
        <w:t>0.00</w:t>
      </w:r>
      <w:r>
        <w:rPr>
          <w:rFonts w:hint="eastAsia" w:ascii="仿宋_GB2312" w:hAnsi="宋体" w:eastAsia="仿宋_GB2312" w:cs="宋体"/>
          <w:kern w:val="0"/>
          <w:sz w:val="32"/>
          <w:szCs w:val="32"/>
        </w:rPr>
        <w:t>%；经营预算收入</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eastAsia="zh-CN"/>
        </w:rPr>
        <w:t>0.00</w:t>
      </w:r>
      <w:r>
        <w:rPr>
          <w:rFonts w:hint="eastAsia" w:ascii="仿宋_GB2312" w:hAnsi="宋体" w:eastAsia="仿宋_GB2312" w:cs="宋体"/>
          <w:kern w:val="0"/>
          <w:sz w:val="32"/>
          <w:szCs w:val="32"/>
        </w:rPr>
        <w:t>%；债务预算收入</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eastAsia="zh-CN"/>
        </w:rPr>
        <w:t>0.00</w:t>
      </w:r>
      <w:r>
        <w:rPr>
          <w:rFonts w:hint="eastAsia" w:ascii="仿宋_GB2312" w:hAnsi="宋体" w:eastAsia="仿宋_GB2312" w:cs="宋体"/>
          <w:kern w:val="0"/>
          <w:sz w:val="32"/>
          <w:szCs w:val="32"/>
        </w:rPr>
        <w:t>%；非同级财政拨款预算收入</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eastAsia="zh-CN"/>
        </w:rPr>
        <w:t>0.00</w:t>
      </w:r>
      <w:r>
        <w:rPr>
          <w:rFonts w:hint="eastAsia" w:ascii="仿宋_GB2312" w:hAnsi="宋体" w:eastAsia="仿宋_GB2312" w:cs="宋体"/>
          <w:kern w:val="0"/>
          <w:sz w:val="32"/>
          <w:szCs w:val="32"/>
        </w:rPr>
        <w:t xml:space="preserve"> %；投资预算收益</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eastAsia="zh-CN"/>
        </w:rPr>
        <w:t>0.00</w:t>
      </w:r>
      <w:r>
        <w:rPr>
          <w:rFonts w:hint="eastAsia" w:ascii="仿宋_GB2312" w:hAnsi="宋体" w:eastAsia="仿宋_GB2312" w:cs="宋体"/>
          <w:kern w:val="0"/>
          <w:sz w:val="32"/>
          <w:szCs w:val="32"/>
        </w:rPr>
        <w:t xml:space="preserve"> %；其他预算收入</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eastAsia="zh-CN"/>
        </w:rPr>
        <w:t>0.00</w:t>
      </w:r>
      <w:r>
        <w:rPr>
          <w:rFonts w:hint="eastAsia" w:ascii="仿宋_GB2312" w:hAnsi="宋体" w:eastAsia="仿宋_GB2312" w:cs="宋体"/>
          <w:kern w:val="0"/>
          <w:sz w:val="32"/>
          <w:szCs w:val="32"/>
        </w:rPr>
        <w:t xml:space="preserve"> %。</w:t>
      </w:r>
    </w:p>
    <w:p>
      <w:pPr>
        <w:widowControl/>
        <w:spacing w:line="560" w:lineRule="exact"/>
        <w:ind w:left="178" w:leftChars="85" w:firstLine="361" w:firstLineChars="113"/>
        <w:rPr>
          <w:rFonts w:ascii="仿宋_GB2312" w:hAnsi="宋体" w:eastAsia="仿宋_GB2312" w:cs="宋体"/>
          <w:kern w:val="0"/>
          <w:sz w:val="32"/>
          <w:szCs w:val="32"/>
        </w:rPr>
      </w:pPr>
      <w:r>
        <w:rPr>
          <w:rFonts w:hint="eastAsia" w:ascii="仿宋_GB2312" w:hAnsi="宋体" w:eastAsia="仿宋_GB2312" w:cs="宋体"/>
          <w:kern w:val="0"/>
          <w:sz w:val="32"/>
          <w:szCs w:val="32"/>
        </w:rPr>
        <w:t>本年支出包括：行政支出514.14</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，占100%；事业支出</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eastAsia="zh-CN"/>
        </w:rPr>
        <w:t>0.00</w:t>
      </w:r>
      <w:r>
        <w:rPr>
          <w:rFonts w:hint="eastAsia" w:ascii="仿宋_GB2312" w:hAnsi="宋体" w:eastAsia="仿宋_GB2312" w:cs="宋体"/>
          <w:kern w:val="0"/>
          <w:sz w:val="32"/>
          <w:szCs w:val="32"/>
        </w:rPr>
        <w:t xml:space="preserve"> %；经营支出</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eastAsia="zh-CN"/>
        </w:rPr>
        <w:t>0.00</w:t>
      </w:r>
      <w:r>
        <w:rPr>
          <w:rFonts w:hint="eastAsia" w:ascii="仿宋_GB2312" w:hAnsi="宋体" w:eastAsia="仿宋_GB2312" w:cs="宋体"/>
          <w:kern w:val="0"/>
          <w:sz w:val="32"/>
          <w:szCs w:val="32"/>
        </w:rPr>
        <w:t xml:space="preserve"> %；上缴上级支出</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eastAsia="zh-CN"/>
        </w:rPr>
        <w:t>0.00</w:t>
      </w:r>
      <w:r>
        <w:rPr>
          <w:rFonts w:hint="eastAsia" w:ascii="仿宋_GB2312" w:hAnsi="宋体" w:eastAsia="仿宋_GB2312" w:cs="宋体"/>
          <w:kern w:val="0"/>
          <w:sz w:val="32"/>
          <w:szCs w:val="32"/>
        </w:rPr>
        <w:t xml:space="preserve"> %；对附属单位补助支出</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eastAsia="zh-CN"/>
        </w:rPr>
        <w:t>0.00</w:t>
      </w:r>
      <w:r>
        <w:rPr>
          <w:rFonts w:hint="eastAsia" w:ascii="仿宋_GB2312" w:hAnsi="宋体" w:eastAsia="仿宋_GB2312" w:cs="宋体"/>
          <w:kern w:val="0"/>
          <w:sz w:val="32"/>
          <w:szCs w:val="32"/>
        </w:rPr>
        <w:t xml:space="preserve"> %；投资支出</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eastAsia="zh-CN"/>
        </w:rPr>
        <w:t>0.00</w:t>
      </w:r>
      <w:r>
        <w:rPr>
          <w:rFonts w:hint="eastAsia" w:ascii="仿宋_GB2312" w:hAnsi="宋体" w:eastAsia="仿宋_GB2312" w:cs="宋体"/>
          <w:kern w:val="0"/>
          <w:sz w:val="32"/>
          <w:szCs w:val="32"/>
        </w:rPr>
        <w:t xml:space="preserve"> %；债务还本支出</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eastAsia="zh-CN"/>
        </w:rPr>
        <w:t>0.00</w:t>
      </w:r>
      <w:r>
        <w:rPr>
          <w:rFonts w:hint="eastAsia" w:ascii="仿宋_GB2312" w:hAnsi="宋体" w:eastAsia="仿宋_GB2312" w:cs="宋体"/>
          <w:kern w:val="0"/>
          <w:sz w:val="32"/>
          <w:szCs w:val="32"/>
        </w:rPr>
        <w:t xml:space="preserve"> %；其他支出</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eastAsia="zh-CN"/>
        </w:rPr>
        <w:t>0.00</w:t>
      </w:r>
      <w:r>
        <w:rPr>
          <w:rFonts w:hint="eastAsia" w:ascii="仿宋_GB2312" w:hAnsi="宋体" w:eastAsia="仿宋_GB2312" w:cs="宋体"/>
          <w:kern w:val="0"/>
          <w:sz w:val="32"/>
          <w:szCs w:val="32"/>
        </w:rPr>
        <w:t xml:space="preserve"> %。</w:t>
      </w:r>
    </w:p>
    <w:p>
      <w:pPr>
        <w:widowControl/>
        <w:spacing w:line="560" w:lineRule="exact"/>
        <w:ind w:firstLine="480"/>
        <w:rPr>
          <w:rFonts w:ascii="黑体" w:hAnsi="黑体" w:eastAsia="黑体" w:cs="宋体"/>
          <w:kern w:val="0"/>
          <w:sz w:val="32"/>
          <w:szCs w:val="32"/>
        </w:rPr>
      </w:pPr>
      <w:r>
        <w:rPr>
          <w:rFonts w:hint="eastAsia" w:ascii="黑体" w:hAnsi="黑体" w:eastAsia="黑体" w:cs="宋体"/>
          <w:kern w:val="0"/>
          <w:sz w:val="32"/>
          <w:szCs w:val="32"/>
        </w:rPr>
        <w:t>六、其他重要事项的情况说明</w:t>
      </w:r>
    </w:p>
    <w:p>
      <w:pPr>
        <w:widowControl/>
        <w:spacing w:line="560" w:lineRule="exact"/>
        <w:ind w:firstLine="48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（一）机关运行经费</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2020年，盐池县交通运输局本级1个行政单位和0个参公管理事业单位的机关运行经费财政拨款预算</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，比2019年预算增加</w:t>
      </w:r>
      <w:r>
        <w:rPr>
          <w:rFonts w:hint="eastAsia" w:ascii="仿宋_GB2312" w:hAnsi="宋体" w:eastAsia="仿宋_GB2312" w:cs="宋体"/>
          <w:kern w:val="0"/>
          <w:sz w:val="32"/>
          <w:szCs w:val="32"/>
          <w:lang w:eastAsia="zh-CN"/>
        </w:rPr>
        <w:t>0.00</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，增长</w:t>
      </w:r>
      <w:r>
        <w:rPr>
          <w:rFonts w:hint="eastAsia" w:ascii="仿宋_GB2312" w:hAnsi="宋体" w:eastAsia="仿宋_GB2312" w:cs="宋体"/>
          <w:kern w:val="0"/>
          <w:sz w:val="32"/>
          <w:szCs w:val="32"/>
          <w:lang w:eastAsia="zh-CN"/>
        </w:rPr>
        <w:t>0.00</w:t>
      </w:r>
      <w:r>
        <w:rPr>
          <w:rFonts w:hint="eastAsia" w:ascii="仿宋_GB2312" w:hAnsi="宋体" w:eastAsia="仿宋_GB2312" w:cs="宋体"/>
          <w:kern w:val="0"/>
          <w:sz w:val="32"/>
          <w:szCs w:val="32"/>
        </w:rPr>
        <w:t xml:space="preserve"> %。主要原因是：本单位只有本级1个单位，无机关运行经费财政拨款。</w:t>
      </w:r>
    </w:p>
    <w:p>
      <w:pPr>
        <w:widowControl/>
        <w:spacing w:line="560" w:lineRule="exact"/>
        <w:ind w:firstLine="48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……为所属单位名称。</w:t>
      </w:r>
    </w:p>
    <w:p>
      <w:pPr>
        <w:widowControl/>
        <w:spacing w:line="560" w:lineRule="exact"/>
        <w:ind w:firstLine="48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（二）政府采购情况</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2020年，盐池县交通运输局政府采购预算</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，其中：政府采购货物预算</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，政府采购工程预算</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，政府采购服务预算</w:t>
      </w:r>
      <w:r>
        <w:rPr>
          <w:rFonts w:hint="eastAsia" w:ascii="仿宋_GB2312" w:hAnsi="宋体" w:eastAsia="仿宋_GB2312" w:cs="宋体"/>
          <w:kern w:val="0"/>
          <w:sz w:val="32"/>
          <w:szCs w:val="32"/>
          <w:lang w:eastAsia="zh-CN"/>
        </w:rPr>
        <w:t>0.00万元</w:t>
      </w:r>
      <w:r>
        <w:rPr>
          <w:rFonts w:hint="eastAsia" w:ascii="仿宋_GB2312" w:hAnsi="宋体" w:eastAsia="仿宋_GB2312" w:cs="宋体"/>
          <w:kern w:val="0"/>
          <w:sz w:val="32"/>
          <w:szCs w:val="32"/>
        </w:rPr>
        <w:t>。</w:t>
      </w:r>
    </w:p>
    <w:p>
      <w:pPr>
        <w:widowControl/>
        <w:spacing w:line="560" w:lineRule="exact"/>
        <w:ind w:firstLine="48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（三）国有资产占用使用情况</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截至2020年12月31日，盐池县交通运输局占用使用国有资产总体情况为房屋 1,820.44 平方米，价值258.99</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；土地193.3平方米，价值2.31</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 xml:space="preserve">；车辆1辆，价值  26.71 </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 xml:space="preserve">；办公家具价值49.16 </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 xml:space="preserve">；其他资产价值26.71 </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。国有资产分布情况为：</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本级部门房屋1,820.44 平方米，价值 258.99</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；土地193.3平方米，价值2.31</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；车辆1辆，价值 26.71</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；办公家具价值49.16</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 xml:space="preserve">；其他资产价值26.71 </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 xml:space="preserve">。所属单位房屋 1,820.44 平方米，价值258.99 </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；土地193.3平方米，价值2.31</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 xml:space="preserve">；车辆1辆，价值 26.71 </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；办公家具价值49.16</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；其他资产价值26.71</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w:t>
      </w:r>
    </w:p>
    <w:p>
      <w:pPr>
        <w:widowControl/>
        <w:spacing w:line="560" w:lineRule="exact"/>
        <w:ind w:firstLine="48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（四）预算绩效情况</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2020年盐池县交通运输局重点项目绩效评价：</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项目1村村通客车：</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数量指标：</w:t>
      </w:r>
      <w:r>
        <w:rPr>
          <w:rFonts w:hint="eastAsia" w:ascii="仿宋_GB2312" w:hAnsi="Calibri" w:eastAsia="仿宋_GB2312"/>
          <w:sz w:val="32"/>
          <w:szCs w:val="32"/>
        </w:rPr>
        <w:t>实现所有建制村通客车，确保未通客车的19个行政村通客车。</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质量指标</w:t>
      </w:r>
      <w:r>
        <w:rPr>
          <w:rFonts w:hint="eastAsia" w:ascii="仿宋_GB2312" w:hAnsi="Calibri" w:eastAsia="仿宋_GB2312"/>
          <w:sz w:val="32"/>
          <w:szCs w:val="32"/>
        </w:rPr>
        <w:t>：实现建制村通客车率</w:t>
      </w:r>
      <w:r>
        <w:rPr>
          <w:rFonts w:ascii="仿宋_GB2312" w:hAnsi="Calibri" w:eastAsia="仿宋_GB2312"/>
          <w:sz w:val="32"/>
          <w:szCs w:val="32"/>
        </w:rPr>
        <w:t>100%</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时效指标：按期完成100%。</w:t>
      </w:r>
    </w:p>
    <w:p>
      <w:pPr>
        <w:widowControl/>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成本指标：总投资231</w:t>
      </w:r>
      <w:r>
        <w:rPr>
          <w:rFonts w:hint="eastAsia" w:ascii="仿宋_GB2312" w:hAnsi="宋体" w:eastAsia="仿宋_GB2312" w:cs="宋体"/>
          <w:kern w:val="0"/>
          <w:sz w:val="32"/>
          <w:szCs w:val="32"/>
          <w:lang w:eastAsia="zh-CN"/>
        </w:rPr>
        <w:t>万元</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经济效益指标：为未通客车的19个行政村通客车，给群众提供便捷交通服务</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服务对象满意度指标：社会公众满意度</w:t>
      </w:r>
      <w:r>
        <w:rPr>
          <w:rFonts w:ascii="仿宋_GB2312" w:hAnsi="宋体" w:eastAsia="仿宋_GB2312" w:cs="宋体"/>
          <w:kern w:val="0"/>
          <w:sz w:val="32"/>
          <w:szCs w:val="32"/>
        </w:rPr>
        <w:t>95%</w:t>
      </w:r>
    </w:p>
    <w:p>
      <w:pPr>
        <w:widowControl/>
        <w:numPr>
          <w:ilvl w:val="0"/>
          <w:numId w:val="1"/>
        </w:numPr>
        <w:spacing w:line="560" w:lineRule="exact"/>
        <w:ind w:firstLine="482" w:firstLineChars="15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其他需说明的事项</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无 </w:t>
      </w:r>
    </w:p>
    <w:p>
      <w:pPr>
        <w:widowControl/>
        <w:spacing w:line="560" w:lineRule="exact"/>
        <w:outlineLvl w:val="1"/>
        <w:rPr>
          <w:rFonts w:hint="eastAsia" w:ascii="方正小标宋简体" w:hAnsi="方正小标宋简体" w:eastAsia="方正小标宋简体" w:cs="方正小标宋简体"/>
          <w:kern w:val="0"/>
          <w:sz w:val="36"/>
          <w:szCs w:val="36"/>
        </w:rPr>
      </w:pPr>
    </w:p>
    <w:p>
      <w:pPr>
        <w:widowControl/>
        <w:spacing w:line="560" w:lineRule="exact"/>
        <w:outlineLvl w:val="1"/>
        <w:rPr>
          <w:rFonts w:hint="eastAsia" w:ascii="方正小标宋简体" w:hAnsi="方正小标宋简体" w:eastAsia="方正小标宋简体" w:cs="方正小标宋简体"/>
          <w:kern w:val="0"/>
          <w:sz w:val="36"/>
          <w:szCs w:val="36"/>
        </w:rPr>
      </w:pPr>
    </w:p>
    <w:p>
      <w:pPr>
        <w:widowControl/>
        <w:spacing w:line="560" w:lineRule="exact"/>
        <w:outlineLvl w:val="1"/>
        <w:rPr>
          <w:rFonts w:hint="eastAsia" w:ascii="方正小标宋简体" w:hAnsi="方正小标宋简体" w:eastAsia="方正小标宋简体" w:cs="方正小标宋简体"/>
          <w:kern w:val="0"/>
          <w:sz w:val="36"/>
          <w:szCs w:val="36"/>
        </w:rPr>
      </w:pPr>
    </w:p>
    <w:p>
      <w:pPr>
        <w:widowControl/>
        <w:spacing w:line="560" w:lineRule="exact"/>
        <w:outlineLvl w:val="1"/>
        <w:rPr>
          <w:rFonts w:hint="eastAsia" w:ascii="方正小标宋简体" w:hAnsi="方正小标宋简体" w:eastAsia="方正小标宋简体" w:cs="方正小标宋简体"/>
          <w:kern w:val="0"/>
          <w:sz w:val="36"/>
          <w:szCs w:val="36"/>
        </w:rPr>
      </w:pPr>
    </w:p>
    <w:p>
      <w:pPr>
        <w:widowControl/>
        <w:spacing w:line="560" w:lineRule="exact"/>
        <w:outlineLvl w:val="1"/>
        <w:rPr>
          <w:rFonts w:hint="eastAsia" w:ascii="方正小标宋简体" w:hAnsi="方正小标宋简体" w:eastAsia="方正小标宋简体" w:cs="方正小标宋简体"/>
          <w:kern w:val="0"/>
          <w:sz w:val="36"/>
          <w:szCs w:val="36"/>
        </w:rPr>
      </w:pPr>
    </w:p>
    <w:p>
      <w:pPr>
        <w:widowControl/>
        <w:spacing w:line="560" w:lineRule="exact"/>
        <w:outlineLvl w:val="1"/>
        <w:rPr>
          <w:rFonts w:hint="eastAsia" w:ascii="方正小标宋简体" w:hAnsi="方正小标宋简体" w:eastAsia="方正小标宋简体" w:cs="方正小标宋简体"/>
          <w:kern w:val="0"/>
          <w:sz w:val="36"/>
          <w:szCs w:val="36"/>
        </w:rPr>
      </w:pPr>
    </w:p>
    <w:p>
      <w:pPr>
        <w:widowControl/>
        <w:spacing w:line="560" w:lineRule="exact"/>
        <w:outlineLvl w:val="1"/>
        <w:rPr>
          <w:rFonts w:hint="eastAsia" w:ascii="方正小标宋简体" w:hAnsi="方正小标宋简体" w:eastAsia="方正小标宋简体" w:cs="方正小标宋简体"/>
          <w:kern w:val="0"/>
          <w:sz w:val="36"/>
          <w:szCs w:val="36"/>
        </w:rPr>
      </w:pPr>
    </w:p>
    <w:p>
      <w:pPr>
        <w:widowControl/>
        <w:spacing w:line="560" w:lineRule="exact"/>
        <w:outlineLvl w:val="1"/>
        <w:rPr>
          <w:rFonts w:hint="eastAsia" w:ascii="方正小标宋简体" w:hAnsi="方正小标宋简体" w:eastAsia="方正小标宋简体" w:cs="方正小标宋简体"/>
          <w:kern w:val="0"/>
          <w:sz w:val="36"/>
          <w:szCs w:val="36"/>
        </w:rPr>
      </w:pPr>
    </w:p>
    <w:p>
      <w:pPr>
        <w:widowControl/>
        <w:spacing w:line="560" w:lineRule="exact"/>
        <w:outlineLvl w:val="1"/>
        <w:rPr>
          <w:rFonts w:hint="eastAsia" w:ascii="方正小标宋简体" w:hAnsi="方正小标宋简体" w:eastAsia="方正小标宋简体" w:cs="方正小标宋简体"/>
          <w:kern w:val="0"/>
          <w:sz w:val="36"/>
          <w:szCs w:val="36"/>
        </w:rPr>
      </w:pPr>
    </w:p>
    <w:p>
      <w:pPr>
        <w:widowControl/>
        <w:spacing w:line="560" w:lineRule="exact"/>
        <w:outlineLvl w:val="1"/>
        <w:rPr>
          <w:rFonts w:hint="eastAsia" w:ascii="方正小标宋简体" w:hAnsi="方正小标宋简体" w:eastAsia="方正小标宋简体" w:cs="方正小标宋简体"/>
          <w:kern w:val="0"/>
          <w:sz w:val="36"/>
          <w:szCs w:val="36"/>
        </w:rPr>
      </w:pPr>
    </w:p>
    <w:p>
      <w:pPr>
        <w:widowControl/>
        <w:spacing w:line="560" w:lineRule="exact"/>
        <w:outlineLvl w:val="1"/>
        <w:rPr>
          <w:rFonts w:hint="eastAsia" w:ascii="方正小标宋简体" w:hAnsi="方正小标宋简体" w:eastAsia="方正小标宋简体" w:cs="方正小标宋简体"/>
          <w:kern w:val="0"/>
          <w:sz w:val="36"/>
          <w:szCs w:val="36"/>
        </w:rPr>
      </w:pPr>
    </w:p>
    <w:p>
      <w:pPr>
        <w:widowControl/>
        <w:spacing w:line="560" w:lineRule="exact"/>
        <w:outlineLvl w:val="1"/>
        <w:rPr>
          <w:rFonts w:hint="eastAsia" w:ascii="方正小标宋简体" w:hAnsi="方正小标宋简体" w:eastAsia="方正小标宋简体" w:cs="方正小标宋简体"/>
          <w:kern w:val="0"/>
          <w:sz w:val="36"/>
          <w:szCs w:val="36"/>
        </w:rPr>
      </w:pPr>
    </w:p>
    <w:p>
      <w:pPr>
        <w:widowControl/>
        <w:spacing w:line="560" w:lineRule="exact"/>
        <w:outlineLvl w:val="1"/>
        <w:rPr>
          <w:rFonts w:hint="eastAsia" w:ascii="方正小标宋简体" w:hAnsi="方正小标宋简体" w:eastAsia="方正小标宋简体" w:cs="方正小标宋简体"/>
          <w:kern w:val="0"/>
          <w:sz w:val="36"/>
          <w:szCs w:val="36"/>
        </w:rPr>
      </w:pPr>
    </w:p>
    <w:p>
      <w:pPr>
        <w:widowControl/>
        <w:spacing w:line="560" w:lineRule="exact"/>
        <w:outlineLvl w:val="1"/>
        <w:rPr>
          <w:rFonts w:hint="eastAsia" w:ascii="方正小标宋简体" w:hAnsi="方正小标宋简体" w:eastAsia="方正小标宋简体" w:cs="方正小标宋简体"/>
          <w:kern w:val="0"/>
          <w:sz w:val="36"/>
          <w:szCs w:val="36"/>
        </w:rPr>
      </w:pPr>
    </w:p>
    <w:p>
      <w:pPr>
        <w:widowControl/>
        <w:spacing w:line="560" w:lineRule="exact"/>
        <w:outlineLvl w:val="1"/>
        <w:rPr>
          <w:rFonts w:hint="eastAsia" w:ascii="方正小标宋简体" w:hAnsi="方正小标宋简体" w:eastAsia="方正小标宋简体" w:cs="方正小标宋简体"/>
          <w:kern w:val="0"/>
          <w:sz w:val="36"/>
          <w:szCs w:val="36"/>
        </w:rPr>
      </w:pPr>
    </w:p>
    <w:p>
      <w:pPr>
        <w:widowControl/>
        <w:spacing w:line="560" w:lineRule="exact"/>
        <w:outlineLvl w:val="1"/>
        <w:rPr>
          <w:rFonts w:hint="eastAsia" w:ascii="方正小标宋简体" w:hAnsi="方正小标宋简体" w:eastAsia="方正小标宋简体" w:cs="方正小标宋简体"/>
          <w:kern w:val="0"/>
          <w:sz w:val="36"/>
          <w:szCs w:val="36"/>
        </w:rPr>
      </w:pPr>
    </w:p>
    <w:p>
      <w:pPr>
        <w:widowControl/>
        <w:spacing w:line="560" w:lineRule="exact"/>
        <w:outlineLvl w:val="1"/>
        <w:rPr>
          <w:rFonts w:ascii="方正小标宋简体" w:hAnsi="方正小标宋简体" w:eastAsia="方正小标宋简体" w:cs="方正小标宋简体"/>
          <w:kern w:val="0"/>
          <w:sz w:val="36"/>
          <w:szCs w:val="36"/>
        </w:rPr>
      </w:pPr>
      <w:bookmarkStart w:id="0" w:name="_GoBack"/>
      <w:bookmarkEnd w:id="0"/>
      <w:r>
        <w:rPr>
          <w:rFonts w:hint="eastAsia" w:ascii="方正小标宋简体" w:hAnsi="方正小标宋简体" w:eastAsia="方正小标宋简体" w:cs="方正小标宋简体"/>
          <w:kern w:val="0"/>
          <w:sz w:val="36"/>
          <w:szCs w:val="36"/>
        </w:rPr>
        <w:t>盐池县交通运输局2020年部门预算——名词解释</w:t>
      </w:r>
    </w:p>
    <w:p>
      <w:pPr>
        <w:widowControl/>
        <w:numPr>
          <w:ilvl w:val="0"/>
          <w:numId w:val="2"/>
        </w:numPr>
        <w:spacing w:line="5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本年收入：是指单位本年度取得的全部收入。</w:t>
      </w:r>
    </w:p>
    <w:p>
      <w:pPr>
        <w:widowControl/>
        <w:numPr>
          <w:ilvl w:val="0"/>
          <w:numId w:val="2"/>
        </w:numPr>
        <w:spacing w:line="5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本年支出：是指单位本年度全部支出。</w:t>
      </w:r>
    </w:p>
    <w:p>
      <w:pPr>
        <w:widowControl/>
        <w:numPr>
          <w:ilvl w:val="0"/>
          <w:numId w:val="2"/>
        </w:numPr>
        <w:spacing w:line="5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基本支出：是指预算单位为保障机构正常运转和完成日常工作任务而发生的各项支出，包括人员经费和公用经费。</w:t>
      </w:r>
    </w:p>
    <w:p>
      <w:pPr>
        <w:widowControl/>
        <w:numPr>
          <w:ilvl w:val="0"/>
          <w:numId w:val="2"/>
        </w:numPr>
        <w:spacing w:line="5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项目支出：是指行政单位为完成特定的工作任务和事业发展目标，在基本的预算支出以外，财政预算专项安排的支出。   </w:t>
      </w:r>
    </w:p>
    <w:p>
      <w:pPr>
        <w:widowControl/>
        <w:numPr>
          <w:ilvl w:val="0"/>
          <w:numId w:val="2"/>
        </w:numPr>
        <w:spacing w:line="5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“三公”经费：是指用财政性资金安排的因公出国（境）费、公务用车购置及运行维护费、公务接待费。</w:t>
      </w:r>
    </w:p>
    <w:p>
      <w:pPr>
        <w:widowControl/>
        <w:numPr>
          <w:ilvl w:val="0"/>
          <w:numId w:val="2"/>
        </w:numPr>
        <w:spacing w:line="5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住房公积金：指按照国家统一规定，按规定比例为职工缴纳的住房公积金。</w:t>
      </w:r>
    </w:p>
    <w:p>
      <w:pPr>
        <w:widowControl/>
        <w:numPr>
          <w:ilvl w:val="0"/>
          <w:numId w:val="2"/>
        </w:numPr>
        <w:spacing w:line="5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购房补贴：指按照房改政策规定，向无房职工、住房面积未达到规定标准的职工发放的住房补贴。</w:t>
      </w:r>
    </w:p>
    <w:p>
      <w:pPr>
        <w:widowControl/>
        <w:numPr>
          <w:ilvl w:val="0"/>
          <w:numId w:val="2"/>
        </w:numPr>
        <w:spacing w:line="560" w:lineRule="exact"/>
        <w:outlineLvl w:val="1"/>
        <w:rPr>
          <w:rFonts w:ascii="仿宋_GB2312" w:eastAsia="仿宋_GB2312"/>
          <w:sz w:val="32"/>
          <w:szCs w:val="32"/>
        </w:rPr>
      </w:pPr>
      <w:r>
        <w:rPr>
          <w:rFonts w:hint="eastAsia" w:ascii="仿宋_GB2312" w:hAnsi="宋体" w:eastAsia="仿宋_GB2312"/>
          <w:kern w:val="0"/>
          <w:sz w:val="32"/>
          <w:szCs w:val="32"/>
        </w:rPr>
        <w:t>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交通费用。</w:t>
      </w:r>
    </w:p>
    <w:p>
      <w:pPr>
        <w:rPr>
          <w:szCs w:val="21"/>
        </w:rPr>
      </w:pPr>
      <w:r>
        <w:t xml:space="preserve"> </w:t>
      </w:r>
    </w:p>
    <w:p/>
    <w:p/>
    <w:sectPr>
      <w:pgSz w:w="11906" w:h="16838"/>
      <w:pgMar w:top="1474"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32F"/>
    <w:multiLevelType w:val="singleLevel"/>
    <w:tmpl w:val="0120432F"/>
    <w:lvl w:ilvl="0" w:tentative="0">
      <w:start w:val="5"/>
      <w:numFmt w:val="chineseCounting"/>
      <w:suff w:val="nothing"/>
      <w:lvlText w:val="（%1）"/>
      <w:lvlJc w:val="left"/>
      <w:rPr>
        <w:rFonts w:hint="eastAsia"/>
      </w:rPr>
    </w:lvl>
  </w:abstractNum>
  <w:abstractNum w:abstractNumId="1">
    <w:nsid w:val="712F8B83"/>
    <w:multiLevelType w:val="singleLevel"/>
    <w:tmpl w:val="712F8B83"/>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46"/>
    <w:rsid w:val="00012E93"/>
    <w:rsid w:val="00084278"/>
    <w:rsid w:val="000A4035"/>
    <w:rsid w:val="00217A79"/>
    <w:rsid w:val="002B7FD5"/>
    <w:rsid w:val="002C654B"/>
    <w:rsid w:val="002E004C"/>
    <w:rsid w:val="00300A9D"/>
    <w:rsid w:val="0035734A"/>
    <w:rsid w:val="00380D9F"/>
    <w:rsid w:val="003F048A"/>
    <w:rsid w:val="0040206C"/>
    <w:rsid w:val="00407B4C"/>
    <w:rsid w:val="004F226D"/>
    <w:rsid w:val="0054014F"/>
    <w:rsid w:val="00544559"/>
    <w:rsid w:val="00545C4E"/>
    <w:rsid w:val="00562557"/>
    <w:rsid w:val="00571AC7"/>
    <w:rsid w:val="005D4CC1"/>
    <w:rsid w:val="005F0FEC"/>
    <w:rsid w:val="00622602"/>
    <w:rsid w:val="006A6EF8"/>
    <w:rsid w:val="006D34A5"/>
    <w:rsid w:val="006E0D00"/>
    <w:rsid w:val="0070744B"/>
    <w:rsid w:val="007123F0"/>
    <w:rsid w:val="00726F9B"/>
    <w:rsid w:val="00741983"/>
    <w:rsid w:val="007514B8"/>
    <w:rsid w:val="007900F4"/>
    <w:rsid w:val="007912B8"/>
    <w:rsid w:val="00795420"/>
    <w:rsid w:val="007A3D6A"/>
    <w:rsid w:val="007E6F9B"/>
    <w:rsid w:val="00813C41"/>
    <w:rsid w:val="008244F3"/>
    <w:rsid w:val="00836FCD"/>
    <w:rsid w:val="00865962"/>
    <w:rsid w:val="00886065"/>
    <w:rsid w:val="008860B9"/>
    <w:rsid w:val="008A1F2C"/>
    <w:rsid w:val="008B0338"/>
    <w:rsid w:val="008B1826"/>
    <w:rsid w:val="008C1725"/>
    <w:rsid w:val="00954298"/>
    <w:rsid w:val="00966B57"/>
    <w:rsid w:val="00983995"/>
    <w:rsid w:val="009A5856"/>
    <w:rsid w:val="009D1059"/>
    <w:rsid w:val="00A32AB1"/>
    <w:rsid w:val="00A37549"/>
    <w:rsid w:val="00A63418"/>
    <w:rsid w:val="00A65415"/>
    <w:rsid w:val="00A72563"/>
    <w:rsid w:val="00A94E11"/>
    <w:rsid w:val="00AA4D9C"/>
    <w:rsid w:val="00B02898"/>
    <w:rsid w:val="00B551F5"/>
    <w:rsid w:val="00BD0658"/>
    <w:rsid w:val="00BD08C2"/>
    <w:rsid w:val="00BD5B30"/>
    <w:rsid w:val="00BE2910"/>
    <w:rsid w:val="00BF7C6E"/>
    <w:rsid w:val="00C40FA0"/>
    <w:rsid w:val="00C708AA"/>
    <w:rsid w:val="00C84EB5"/>
    <w:rsid w:val="00CA2962"/>
    <w:rsid w:val="00CD14B7"/>
    <w:rsid w:val="00D0555B"/>
    <w:rsid w:val="00D772F5"/>
    <w:rsid w:val="00D974C4"/>
    <w:rsid w:val="00DB0D2C"/>
    <w:rsid w:val="00DB65D2"/>
    <w:rsid w:val="00DC71E0"/>
    <w:rsid w:val="00DD55DA"/>
    <w:rsid w:val="00DD68CD"/>
    <w:rsid w:val="00E14757"/>
    <w:rsid w:val="00E469BB"/>
    <w:rsid w:val="00E53CE3"/>
    <w:rsid w:val="00E618C6"/>
    <w:rsid w:val="00E930D7"/>
    <w:rsid w:val="00EE5F2C"/>
    <w:rsid w:val="00EE6746"/>
    <w:rsid w:val="00EF38D0"/>
    <w:rsid w:val="00F01013"/>
    <w:rsid w:val="00F175F9"/>
    <w:rsid w:val="00F375EF"/>
    <w:rsid w:val="00F51D15"/>
    <w:rsid w:val="00FA21C7"/>
    <w:rsid w:val="00FA587E"/>
    <w:rsid w:val="00FE316A"/>
    <w:rsid w:val="01301079"/>
    <w:rsid w:val="016A29F0"/>
    <w:rsid w:val="03CC77B2"/>
    <w:rsid w:val="060A78CF"/>
    <w:rsid w:val="109D0E54"/>
    <w:rsid w:val="15A054D8"/>
    <w:rsid w:val="1DE34E6A"/>
    <w:rsid w:val="1E0559B7"/>
    <w:rsid w:val="1EA33B50"/>
    <w:rsid w:val="22C374A7"/>
    <w:rsid w:val="24B76A18"/>
    <w:rsid w:val="25FE53E5"/>
    <w:rsid w:val="278B2D8F"/>
    <w:rsid w:val="29AA1D63"/>
    <w:rsid w:val="2C89148F"/>
    <w:rsid w:val="2EEF1C05"/>
    <w:rsid w:val="2EFE5710"/>
    <w:rsid w:val="30587604"/>
    <w:rsid w:val="33AA3D23"/>
    <w:rsid w:val="34590AB2"/>
    <w:rsid w:val="3BAF5E39"/>
    <w:rsid w:val="3C191708"/>
    <w:rsid w:val="3E226DBA"/>
    <w:rsid w:val="3F74329D"/>
    <w:rsid w:val="40BB4FBB"/>
    <w:rsid w:val="444C7ACC"/>
    <w:rsid w:val="4FEA5C99"/>
    <w:rsid w:val="51217515"/>
    <w:rsid w:val="51A910D8"/>
    <w:rsid w:val="53C76226"/>
    <w:rsid w:val="54912C98"/>
    <w:rsid w:val="56FB6ADA"/>
    <w:rsid w:val="5ADD58AA"/>
    <w:rsid w:val="5CC339F4"/>
    <w:rsid w:val="5D8C16C9"/>
    <w:rsid w:val="623134AF"/>
    <w:rsid w:val="69330E6C"/>
    <w:rsid w:val="6AEA1F68"/>
    <w:rsid w:val="6B701BFA"/>
    <w:rsid w:val="73825E07"/>
    <w:rsid w:val="7712646C"/>
    <w:rsid w:val="778B6714"/>
    <w:rsid w:val="7A206A9D"/>
    <w:rsid w:val="7C0555F9"/>
    <w:rsid w:val="7F795421"/>
    <w:rsid w:val="7FA32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w:basedOn w:val="1"/>
    <w:qFormat/>
    <w:uiPriority w:val="0"/>
    <w:pPr>
      <w:spacing w:line="360" w:lineRule="auto"/>
      <w:ind w:firstLine="200" w:firstLineChars="200"/>
    </w:pPr>
    <w:rPr>
      <w:rFonts w:ascii="宋体" w:hAnsi="宋体" w:cs="宋体"/>
      <w:sz w:val="24"/>
      <w:szCs w:val="20"/>
    </w:rPr>
  </w:style>
  <w:style w:type="character" w:customStyle="1" w:styleId="7">
    <w:name w:val="font21"/>
    <w:qFormat/>
    <w:uiPriority w:val="0"/>
    <w:rPr>
      <w:rFonts w:hint="eastAsia" w:ascii="宋体" w:hAnsi="宋体" w:eastAsia="宋体"/>
      <w:color w:val="000000"/>
      <w:sz w:val="18"/>
      <w:szCs w:val="18"/>
      <w:u w:val="none"/>
    </w:rPr>
  </w:style>
  <w:style w:type="character" w:customStyle="1" w:styleId="8">
    <w:name w:val="页眉 Char"/>
    <w:link w:val="3"/>
    <w:qFormat/>
    <w:uiPriority w:val="0"/>
    <w:rPr>
      <w:kern w:val="2"/>
      <w:sz w:val="18"/>
      <w:szCs w:val="18"/>
    </w:rPr>
  </w:style>
  <w:style w:type="character" w:customStyle="1" w:styleId="9">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4556</Words>
  <Characters>559</Characters>
  <Lines>4</Lines>
  <Paragraphs>10</Paragraphs>
  <TotalTime>9</TotalTime>
  <ScaleCrop>false</ScaleCrop>
  <LinksUpToDate>false</LinksUpToDate>
  <CharactersWithSpaces>5105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2019-01-15T03:02:00Z</dcterms:created>
  <dc:creator>张沛(012327-012327)</dc:creator>
  <cp:lastModifiedBy>Administrator</cp:lastModifiedBy>
  <dcterms:modified xsi:type="dcterms:W3CDTF">2020-01-17T11:28:03Z</dcterms:modified>
  <dc:title>宁夏回族自治区******2019年部门预算</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