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sz w:val="20"/>
        </w:rPr>
        <w:pict>
          <v:shape id="_x0000_s2050" o:spid="_x0000_s2050" o:spt="136" type="#_x0000_t136" style="position:absolute;left:0pt;margin-left:34.45pt;margin-top:7.95pt;height:65pt;width:360pt;z-index:251659264;mso-width-relative:page;mso-height-relative:page;" fillcolor="#FF0000" filled="t" stroked="t" coordsize="21600,21600" adj="10800">
            <v:path/>
            <v:fill on="t" color2="#FFFFFF" focussize="0,0"/>
            <v:stroke weight="1.5pt" color="#FF0000"/>
            <v:imagedata o:title=""/>
            <o:lock v:ext="edit" aspectratio="f"/>
            <v:textpath on="t" fitshape="t" fitpath="t" trim="t" xscale="f" string="司法行政简报" style="font-family:华文行楷;font-size:60pt;v-rotate-letters:f;v-same-letter-heights:f;v-text-align:center;"/>
          </v:shape>
        </w:pict>
      </w:r>
    </w:p>
    <w:p>
      <w:pPr>
        <w:jc w:val="center"/>
        <w:rPr>
          <w:rFonts w:hint="eastAsia" w:eastAsia="仿宋_GB2312"/>
          <w:sz w:val="32"/>
        </w:rPr>
      </w:pPr>
    </w:p>
    <w:p>
      <w:pPr>
        <w:spacing w:line="1200" w:lineRule="exact"/>
        <w:jc w:val="center"/>
        <w:rPr>
          <w:rFonts w:hint="eastAsia" w:eastAsia="仿宋_GB2312"/>
          <w:sz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期</w:t>
      </w:r>
    </w:p>
    <w:p>
      <w:pPr>
        <w:spacing w:line="560" w:lineRule="exact"/>
        <w:ind w:firstLine="320" w:firstLineChars="100"/>
        <w:rPr>
          <w:rFonts w:hint="eastAsia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320040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5pt;margin-top:25.2pt;height:0pt;width:442.2pt;z-index:251660288;mso-width-relative:page;mso-height-relative:page;" filled="f" stroked="t" coordsize="21600,21600" o:gfxdata="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8Fwr1gAAAAgBAAAPAAAAAAAAAAEAIAAAACIAAABkcnMvZG93&#10;bnJldi54bWxQSwECFAAUAAAACACHTuJAMZ/ABAICAAD9AwAADgAAAAAAAAABACAAAAAlAQAAZHJz&#10;L2Uyb0RvYy54bWxQSwUGAAAAAAYABgBZAQAAmQ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盐池县司法局</w:t>
      </w:r>
      <w:r>
        <w:rPr>
          <w:rFonts w:hint="eastAsia" w:eastAsia="仿宋_GB2312"/>
          <w:sz w:val="32"/>
        </w:rPr>
        <w:t xml:space="preserve">编                  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201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29</w:t>
      </w:r>
      <w:r>
        <w:rPr>
          <w:rFonts w:hint="eastAsia" w:eastAsia="仿宋_GB2312"/>
          <w:sz w:val="32"/>
        </w:rPr>
        <w:t>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司法部孟宪军司长来盐调研司法行政工作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</w:rPr>
        <w:t>8月29日，司法部计财装备司司长孟宪军同志一行来盐调研司法行政工作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</w:rPr>
        <w:t>自治区司法厅党委副书记杨少华、吴忠市司法局副局长张翔、盐池县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w w:val="99"/>
          <w:sz w:val="32"/>
          <w:szCs w:val="32"/>
        </w:rPr>
        <w:t>副县长张晨陪同调研。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D3D3D"/>
          <w:kern w:val="2"/>
          <w:sz w:val="32"/>
          <w:szCs w:val="32"/>
          <w:u w:val="none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133350</wp:posOffset>
            </wp:positionV>
            <wp:extent cx="5248910" cy="3352800"/>
            <wp:effectExtent l="0" t="0" r="8890" b="0"/>
            <wp:wrapNone/>
            <wp:docPr id="1" name="图片 1" descr="IMG_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调研组一行先后深入到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盐池县高沙窝司法所、盐州路司法所、县公共法律服务中心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进行实地调研。调研组边走边看，认真听取了盐池县司法局有关情况的介绍，详细了解了我县人民调解工作、法律援助工作、社区矫正工作、普法宣传工作及基层法律服务工作的开展情况。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3D3D3D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孟宪军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盐池县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近年来司法行政工作取得的成绩给予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了高度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肯定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，认为各级司法行政部门实现了管理规范、标准统一、保障到位的建设目标，特别指出在自治区司法厅、市司法局以及盐池县委县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政府的领导下，我县对于如何做好新时代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司法行政工作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的思想认识高，取得了良好的工作成效。孟宪军强调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盐池县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司法行政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要坚持以习近平新时代中国特色社会主义思想为指导，进一步提高政治站位，切实肩负起新时代司法行政部门的职责使命，坚持以人民为中心的发展理念，注重运用12348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一体化智能平台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信息化技术手段，深入推进司法行政工作高质量发展，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把司法工作大踏步地向前推进，更好地适应经济社会需要。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（通讯员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牛誉婧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color w:val="3D3D3D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JlYjUyMTY0ODFiNWE5YmZmNDdlZDJiOWM1MWQifQ=="/>
  </w:docVars>
  <w:rsids>
    <w:rsidRoot w:val="75F34573"/>
    <w:rsid w:val="00B97524"/>
    <w:rsid w:val="04816D6F"/>
    <w:rsid w:val="06142291"/>
    <w:rsid w:val="0B1E4E12"/>
    <w:rsid w:val="0FC313EA"/>
    <w:rsid w:val="1B97071E"/>
    <w:rsid w:val="28E0426A"/>
    <w:rsid w:val="298851AD"/>
    <w:rsid w:val="2EBA4C8D"/>
    <w:rsid w:val="30BF0F83"/>
    <w:rsid w:val="3B7D4D11"/>
    <w:rsid w:val="40E67695"/>
    <w:rsid w:val="4166669E"/>
    <w:rsid w:val="417B3015"/>
    <w:rsid w:val="42821183"/>
    <w:rsid w:val="42F82A6E"/>
    <w:rsid w:val="466C2726"/>
    <w:rsid w:val="46B4129F"/>
    <w:rsid w:val="47403A28"/>
    <w:rsid w:val="49386795"/>
    <w:rsid w:val="4BBF08FC"/>
    <w:rsid w:val="616E5794"/>
    <w:rsid w:val="649A2F56"/>
    <w:rsid w:val="681157B9"/>
    <w:rsid w:val="6C9A3510"/>
    <w:rsid w:val="6D535020"/>
    <w:rsid w:val="70C908D7"/>
    <w:rsid w:val="715A23FE"/>
    <w:rsid w:val="75F34573"/>
    <w:rsid w:val="763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013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2018-07-25T09:11:00Z</dcterms:created>
  <dc:creator>半夏不冬眠</dc:creator>
  <cp:lastModifiedBy>咿呀咿呀哟</cp:lastModifiedBy>
  <dcterms:modified xsi:type="dcterms:W3CDTF">2023-10-11T06:45:34Z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B3BB6461392E4995A024F05583DC4AF2_12</vt:lpwstr>
  </property>
</Properties>
</file>