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800" w:lineRule="exact"/>
        <w:jc w:val="distribute"/>
        <w:textAlignment w:val="auto"/>
        <w:rPr>
          <w:rFonts w:hint="default" w:ascii="Times New Roman" w:hAnsi="Times New Roman" w:eastAsia="方正小标宋简体" w:cs="Times New Roman"/>
          <w:b/>
          <w:bCs/>
          <w:color w:val="FF0000"/>
          <w:sz w:val="52"/>
          <w:szCs w:val="52"/>
        </w:rPr>
      </w:pPr>
      <w:r>
        <w:rPr>
          <w:rFonts w:hint="default" w:ascii="Times New Roman" w:hAnsi="Times New Roman" w:eastAsia="楷体_GB2312" w:cs="Times New Roman"/>
          <w:color w:val="FF0000"/>
          <w:spacing w:val="4"/>
          <w:kern w:val="0"/>
          <w:sz w:val="72"/>
          <w:szCs w:val="72"/>
        </w:rPr>
        <w:pict>
          <v:shape id="_x0000_i1025" o:spt="136" type="#_x0000_t136" style="height:29.45pt;width:413.55pt;" fillcolor="#FF0000" filled="t" stroked="t" coordsize="21600,21600" adj="10800">
            <v:path/>
            <v:fill on="t" color2="#FFFFFF" focussize="0,0"/>
            <v:stroke color="#FF0000"/>
            <v:imagedata o:title=""/>
            <o:lock v:ext="edit" aspectratio="f"/>
            <v:textpath on="t" fitshape="t" fitpath="t" trim="t" xscale="f" string="中共盐池县高沙窝镇委员会" style="font-family:宋体;font-size:24pt;font-weight:bold;v-text-align:center;"/>
            <w10:wrap type="none"/>
            <w10:anchorlock/>
          </v:shape>
        </w:pict>
      </w: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default" w:ascii="Times New Roman" w:hAnsi="Times New Roman" w:cs="Times New Roman"/>
          <w:b/>
          <w:bCs/>
          <w:color w:val="FF0000"/>
          <w:sz w:val="52"/>
          <w:szCs w:val="52"/>
        </w:rPr>
      </w:pPr>
      <w:r>
        <w:rPr>
          <w:rFonts w:hint="default" w:ascii="Times New Roman" w:hAnsi="Times New Roman" w:cs="Times New Roman"/>
          <w:b/>
          <w:bCs/>
          <w:color w:val="FF0000"/>
          <w:sz w:val="52"/>
          <w:szCs w:val="52"/>
        </w:rPr>
        <mc:AlternateContent>
          <mc:Choice Requires="wps">
            <w:drawing>
              <wp:anchor distT="0" distB="0" distL="114300" distR="114300" simplePos="0" relativeHeight="251660288" behindDoc="0" locked="0" layoutInCell="1" allowOverlap="1">
                <wp:simplePos x="0" y="0"/>
                <wp:positionH relativeFrom="column">
                  <wp:posOffset>-211455</wp:posOffset>
                </wp:positionH>
                <wp:positionV relativeFrom="paragraph">
                  <wp:posOffset>125095</wp:posOffset>
                </wp:positionV>
                <wp:extent cx="6064250" cy="24765"/>
                <wp:effectExtent l="0" t="31750" r="12700" b="38735"/>
                <wp:wrapNone/>
                <wp:docPr id="1" name="直接连接符 1"/>
                <wp:cNvGraphicFramePr/>
                <a:graphic xmlns:a="http://schemas.openxmlformats.org/drawingml/2006/main">
                  <a:graphicData uri="http://schemas.microsoft.com/office/word/2010/wordprocessingShape">
                    <wps:wsp>
                      <wps:cNvCnPr/>
                      <wps:spPr>
                        <a:xfrm flipV="1">
                          <a:off x="0" y="0"/>
                          <a:ext cx="6064250" cy="24765"/>
                        </a:xfrm>
                        <a:prstGeom prst="line">
                          <a:avLst/>
                        </a:prstGeom>
                        <a:ln w="63500" cap="flat" cmpd="thinThick">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6.65pt;margin-top:9.85pt;height:1.95pt;width:477.5pt;z-index:251660288;mso-width-relative:page;mso-height-relative:page;" filled="f" stroked="t" coordsize="21600,21600" o:gfxdata="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V3y+dkAAAAJAQAADwAAAAAAAAABACAAAAAi&#10;AAAAZHJzL2Rvd25yZXYueG1sUEsBAhQAFAAAAAgAh07iQKJBKiAJAgAABwQAAA4AAAAAAAAAAQAg&#10;AAAAKAEAAGRycy9lMm9Eb2MueG1sUEsFBgAAAAAGAAYAWQEAAKMFAAAAAA==&#10;">
                <v:fill on="f" focussize="0,0"/>
                <v:stroke weight="5pt" color="#FF0000" linestyle="thinThick" joinstyle="round"/>
                <v:imagedata o:title=""/>
                <o:lock v:ext="edit" aspectratio="f"/>
              </v:line>
            </w:pict>
          </mc:Fallback>
        </mc:AlternateContent>
      </w:r>
      <w:r>
        <w:rPr>
          <w:rFonts w:hint="default" w:ascii="Times New Roman" w:hAnsi="Times New Roman" w:cs="Times New Roman"/>
          <w:b/>
          <w:bCs/>
          <w:color w:val="FF0000"/>
          <w:sz w:val="52"/>
          <w:szCs w:val="52"/>
        </w:rPr>
        <w:t xml:space="preserve"> </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bookmarkStart w:id="0" w:name="_GoBack"/>
      <w:r>
        <w:rPr>
          <w:rFonts w:hint="eastAsia" w:ascii="方正小标宋简体" w:hAnsi="方正小标宋简体" w:eastAsia="方正小标宋简体" w:cs="方正小标宋简体"/>
          <w:kern w:val="2"/>
          <w:sz w:val="44"/>
          <w:szCs w:val="44"/>
          <w:lang w:val="en-US" w:eastAsia="zh-CN" w:bidi="ar-SA"/>
        </w:rPr>
        <w:t>高沙窝镇关于2022年度法治政府建设情况</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的报告</w:t>
      </w:r>
    </w:p>
    <w:bookmarkEnd w:id="0"/>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eastAsia="仿宋_GB2312" w:cs="仿宋_GB2312"/>
          <w:kern w:val="2"/>
          <w:sz w:val="32"/>
          <w:szCs w:val="32"/>
          <w:lang w:val="en-US" w:eastAsia="zh-CN" w:bidi="zh-CN"/>
        </w:rPr>
      </w:pPr>
      <w:r>
        <w:rPr>
          <w:rFonts w:hint="eastAsia" w:eastAsia="仿宋_GB2312" w:cs="仿宋_GB2312"/>
          <w:kern w:val="2"/>
          <w:sz w:val="32"/>
          <w:szCs w:val="32"/>
          <w:lang w:val="en-US" w:eastAsia="zh-CN" w:bidi="zh-C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i w:val="0"/>
          <w:caps w:val="0"/>
          <w:color w:val="000000"/>
          <w:spacing w:val="0"/>
          <w:kern w:val="0"/>
          <w:sz w:val="32"/>
          <w:szCs w:val="32"/>
          <w:lang w:val="en-US" w:eastAsia="zh-CN" w:bidi="ar"/>
        </w:rPr>
      </w:pPr>
      <w:r>
        <w:rPr>
          <w:rFonts w:hint="eastAsia" w:ascii="Times New Roman" w:hAnsi="Times New Roman" w:eastAsia="仿宋_GB2312" w:cs="仿宋_GB2312"/>
          <w:i w:val="0"/>
          <w:caps w:val="0"/>
          <w:color w:val="000000"/>
          <w:spacing w:val="0"/>
          <w:kern w:val="0"/>
          <w:sz w:val="32"/>
          <w:szCs w:val="32"/>
          <w:lang w:val="en-US" w:eastAsia="zh-CN" w:bidi="ar"/>
        </w:rPr>
        <w:t>中共盐池县委：</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left="0" w:firstLine="64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i w:val="0"/>
          <w:caps w:val="0"/>
          <w:color w:val="000000"/>
          <w:spacing w:val="0"/>
          <w:kern w:val="0"/>
          <w:sz w:val="32"/>
          <w:szCs w:val="32"/>
          <w:lang w:val="en-US" w:eastAsia="zh-CN" w:bidi="ar"/>
        </w:rPr>
        <w:t>2022年，高沙窝镇在县委、县政府的坚强领导下，在县依法治县办的精心指导下，深入学习贯彻落实党的二十大精神和习近平总书记关于全面依法治国新理念新思想新战略，坚持深入贯彻落实《法治政府建设实施纲要（2021—2025年）》战略部署，紧紧围绕</w:t>
      </w:r>
      <w:r>
        <w:rPr>
          <w:rFonts w:hint="eastAsia" w:ascii="仿宋_GB2312" w:eastAsia="仿宋_GB2312" w:cs="仿宋_GB2312"/>
          <w:color w:val="000000"/>
          <w:sz w:val="31"/>
          <w:szCs w:val="31"/>
        </w:rPr>
        <w:t>依法履行</w:t>
      </w:r>
      <w:r>
        <w:rPr>
          <w:rFonts w:hint="eastAsia" w:ascii="仿宋_GB2312" w:eastAsia="仿宋_GB2312" w:cs="仿宋_GB2312"/>
          <w:color w:val="000000"/>
          <w:sz w:val="31"/>
          <w:szCs w:val="31"/>
          <w:lang w:eastAsia="zh-CN"/>
        </w:rPr>
        <w:t>政府工作职能、认真落实</w:t>
      </w:r>
      <w:r>
        <w:rPr>
          <w:rFonts w:hint="eastAsia" w:ascii="仿宋_GB2312" w:eastAsia="仿宋_GB2312" w:cs="仿宋_GB2312"/>
          <w:color w:val="000000"/>
          <w:sz w:val="31"/>
          <w:szCs w:val="31"/>
        </w:rPr>
        <w:t>重大行政决策</w:t>
      </w:r>
      <w:r>
        <w:rPr>
          <w:rFonts w:hint="eastAsia" w:ascii="仿宋_GB2312" w:eastAsia="仿宋_GB2312" w:cs="仿宋_GB2312"/>
          <w:color w:val="000000"/>
          <w:sz w:val="31"/>
          <w:szCs w:val="31"/>
          <w:lang w:eastAsia="zh-CN"/>
        </w:rPr>
        <w:t>、严格规范公正文明执法、有效化解社会矛盾纠纷等工作重点，扎实推进法治政府建设取得新进展，现将有关情况汇报如下：</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一、督察整改落实情况</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根据</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盐池县关于中央依法治国办</w:t>
      </w:r>
      <w:r>
        <w:rPr>
          <w:rFonts w:hint="default" w:ascii="Times New Roman" w:hAnsi="Times New Roman" w:eastAsia="仿宋_GB2312" w:cs="Times New Roman"/>
          <w:sz w:val="32"/>
          <w:szCs w:val="32"/>
          <w:lang w:val="en-US" w:eastAsia="zh-CN"/>
        </w:rPr>
        <w:t>法治政府建设</w:t>
      </w:r>
      <w:r>
        <w:rPr>
          <w:rFonts w:hint="eastAsia" w:ascii="Times New Roman" w:hAnsi="Times New Roman" w:eastAsia="仿宋_GB2312" w:cs="Times New Roman"/>
          <w:sz w:val="32"/>
          <w:szCs w:val="32"/>
          <w:lang w:val="en-US" w:eastAsia="zh-CN"/>
        </w:rPr>
        <w:t>实地</w:t>
      </w:r>
      <w:r>
        <w:rPr>
          <w:rFonts w:hint="default" w:ascii="Times New Roman" w:hAnsi="Times New Roman" w:eastAsia="仿宋_GB2312" w:cs="Times New Roman"/>
          <w:sz w:val="32"/>
          <w:szCs w:val="32"/>
          <w:lang w:val="en-US" w:eastAsia="zh-CN"/>
        </w:rPr>
        <w:t>督察</w:t>
      </w:r>
      <w:r>
        <w:rPr>
          <w:rFonts w:hint="eastAsia" w:ascii="Times New Roman" w:hAnsi="Times New Roman" w:eastAsia="仿宋_GB2312" w:cs="Times New Roman"/>
          <w:sz w:val="32"/>
          <w:szCs w:val="32"/>
          <w:lang w:val="en-US" w:eastAsia="zh-CN"/>
        </w:rPr>
        <w:t>反馈意见</w:t>
      </w:r>
      <w:r>
        <w:rPr>
          <w:rFonts w:hint="default" w:ascii="Times New Roman" w:hAnsi="Times New Roman" w:eastAsia="仿宋_GB2312" w:cs="Times New Roman"/>
          <w:sz w:val="32"/>
          <w:szCs w:val="32"/>
          <w:lang w:val="en-US" w:eastAsia="zh-CN"/>
        </w:rPr>
        <w:t>的整改方案》（盐</w:t>
      </w:r>
      <w:r>
        <w:rPr>
          <w:rFonts w:hint="eastAsia" w:ascii="Times New Roman" w:hAnsi="Times New Roman" w:eastAsia="仿宋_GB2312" w:cs="Times New Roman"/>
          <w:sz w:val="32"/>
          <w:szCs w:val="32"/>
          <w:lang w:val="en-US" w:eastAsia="zh-CN"/>
        </w:rPr>
        <w:t>党</w:t>
      </w:r>
      <w:r>
        <w:rPr>
          <w:rFonts w:hint="default" w:ascii="Times New Roman" w:hAnsi="Times New Roman" w:eastAsia="仿宋_GB2312" w:cs="Times New Roman"/>
          <w:sz w:val="32"/>
          <w:szCs w:val="32"/>
          <w:lang w:val="en-US" w:eastAsia="zh-CN"/>
        </w:rPr>
        <w:t>办发（202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lang w:val="en-US" w:eastAsia="zh-CN"/>
        </w:rPr>
        <w:t>号）文件精神要求，</w:t>
      </w:r>
      <w:r>
        <w:rPr>
          <w:rFonts w:hint="eastAsia" w:ascii="Times New Roman" w:hAnsi="Times New Roman" w:eastAsia="仿宋_GB2312" w:cs="Times New Roman"/>
          <w:sz w:val="32"/>
          <w:szCs w:val="32"/>
          <w:lang w:val="en-US" w:eastAsia="zh-CN"/>
        </w:rPr>
        <w:t>我镇全面开展自查，主动认领</w:t>
      </w:r>
      <w:r>
        <w:rPr>
          <w:rFonts w:hint="eastAsia" w:ascii="Times New Roman" w:hAnsi="Times New Roman" w:eastAsia="仿宋_GB2312" w:cs="仿宋_GB2312"/>
          <w:b w:val="0"/>
          <w:bCs w:val="0"/>
          <w:kern w:val="2"/>
          <w:sz w:val="32"/>
          <w:szCs w:val="32"/>
          <w:lang w:val="en-US" w:eastAsia="zh-CN" w:bidi="ar-SA"/>
        </w:rPr>
        <w:t>7项12个问题，制定整改措施，立行立改，已全部整改完成；并根据《自治区党委依法治区办法治建设实地督察反馈意见的整改方案》《关于中央区市法治政府建设督导反馈问题整改情况暨创建自治区法治政府建设示范县的督察通报》文件中指出的问题，我镇主动认领5项15个具体问题，逐项整改，已全部整改完毕。我镇将以每次的督查反馈问题为工作导向，牢牢扛起问题整改的政治责任，不断提升基层治理能力，提高法治政府建设水平。</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二、主要举措和成效</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rPr>
          <w:rFonts w:hint="eastAsia" w:ascii="仿宋_GB2312" w:eastAsia="仿宋_GB2312" w:cs="仿宋_GB2312"/>
          <w:color w:val="000000"/>
          <w:sz w:val="31"/>
          <w:szCs w:val="31"/>
        </w:rPr>
      </w:pPr>
      <w:r>
        <w:rPr>
          <w:rFonts w:hint="eastAsia" w:ascii="楷体" w:hAnsi="楷体" w:eastAsia="楷体" w:cs="楷体"/>
          <w:b/>
          <w:bCs/>
          <w:color w:val="000000"/>
          <w:sz w:val="31"/>
          <w:szCs w:val="31"/>
          <w:lang w:val="en-US" w:eastAsia="zh-CN"/>
        </w:rPr>
        <w:t>（一）深化习近平法治思想学习</w:t>
      </w:r>
      <w:r>
        <w:rPr>
          <w:rFonts w:hint="eastAsia" w:ascii="楷体" w:hAnsi="楷体" w:eastAsia="楷体" w:cs="楷体"/>
          <w:b/>
          <w:bCs/>
          <w:color w:val="000000"/>
          <w:sz w:val="31"/>
          <w:szCs w:val="31"/>
          <w:lang w:eastAsia="zh-CN"/>
        </w:rPr>
        <w:t>。</w:t>
      </w:r>
      <w:r>
        <w:rPr>
          <w:rFonts w:hint="eastAsia" w:ascii="Times New Roman" w:hAnsi="Times New Roman" w:eastAsia="仿宋_GB2312" w:cs="Times New Roman"/>
          <w:color w:val="000000" w:themeColor="text1"/>
          <w:sz w:val="32"/>
          <w:szCs w:val="32"/>
          <w:lang w:val="en-US" w:eastAsia="zh-CN" w:bidi="ar-SA"/>
          <w14:textFill>
            <w14:solidFill>
              <w14:schemeClr w14:val="tx1"/>
            </w14:solidFill>
          </w14:textFill>
        </w:rPr>
        <w:t>深入学习贯彻党的二十大精神和习近平法治思想，运用党委理论学习中心组学习、干部理论学习、微信群推送文章、“学习强国”APP、干部网络学院线上学习等方式，认真学习习近平总书记全面依法治国新思想、新战略和中央</w:t>
      </w: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及</w:t>
      </w:r>
      <w:r>
        <w:rPr>
          <w:rFonts w:hint="eastAsia" w:ascii="Times New Roman" w:hAnsi="Times New Roman" w:eastAsia="仿宋_GB2312" w:cs="Times New Roman"/>
          <w:color w:val="000000" w:themeColor="text1"/>
          <w:sz w:val="32"/>
          <w:szCs w:val="32"/>
          <w:lang w:val="en-US" w:eastAsia="zh-CN" w:bidi="ar-SA"/>
          <w14:textFill>
            <w14:solidFill>
              <w14:schemeClr w14:val="tx1"/>
            </w14:solidFill>
          </w14:textFill>
        </w:rPr>
        <w:t>区市县有关会议精神，坚持把习近平法治思想贯穿工作全过程。今年以来，</w:t>
      </w: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镇党委会学习习近平法治思想</w:t>
      </w:r>
      <w:r>
        <w:rPr>
          <w:rFonts w:hint="eastAsia" w:ascii="Times New Roman" w:hAnsi="Times New Roman" w:eastAsia="仿宋_GB2312" w:cs="Times New Roman"/>
          <w:color w:val="000000" w:themeColor="text1"/>
          <w:sz w:val="32"/>
          <w:szCs w:val="32"/>
          <w:lang w:val="en-US" w:eastAsia="zh-CN" w:bidi="ar-SA"/>
          <w14:textFill>
            <w14:solidFill>
              <w14:schemeClr w14:val="tx1"/>
            </w14:solidFill>
          </w14:textFill>
        </w:rPr>
        <w:t>4</w:t>
      </w: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次，党委理论</w:t>
      </w:r>
      <w:r>
        <w:rPr>
          <w:rFonts w:hint="eastAsia" w:ascii="Times New Roman" w:hAnsi="Times New Roman" w:eastAsia="仿宋_GB2312" w:cs="Times New Roman"/>
          <w:color w:val="000000" w:themeColor="text1"/>
          <w:sz w:val="32"/>
          <w:szCs w:val="32"/>
          <w:lang w:val="en-US" w:eastAsia="zh-CN" w:bidi="ar-SA"/>
          <w14:textFill>
            <w14:solidFill>
              <w14:schemeClr w14:val="tx1"/>
            </w14:solidFill>
          </w14:textFill>
        </w:rPr>
        <w:t>学习</w:t>
      </w: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中心组学习</w:t>
      </w:r>
      <w:r>
        <w:rPr>
          <w:rFonts w:hint="eastAsia" w:ascii="Times New Roman" w:hAnsi="Times New Roman" w:eastAsia="仿宋_GB2312" w:cs="Times New Roman"/>
          <w:color w:val="000000" w:themeColor="text1"/>
          <w:sz w:val="32"/>
          <w:szCs w:val="32"/>
          <w:lang w:val="en-US" w:eastAsia="zh-CN" w:bidi="ar-SA"/>
          <w14:textFill>
            <w14:solidFill>
              <w14:schemeClr w14:val="tx1"/>
            </w14:solidFill>
          </w14:textFill>
        </w:rPr>
        <w:t>4</w:t>
      </w: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次，干部理论学习</w:t>
      </w:r>
      <w:r>
        <w:rPr>
          <w:rFonts w:hint="eastAsia" w:ascii="Times New Roman" w:hAnsi="Times New Roman" w:eastAsia="仿宋_GB2312" w:cs="Times New Roman"/>
          <w:color w:val="000000" w:themeColor="text1"/>
          <w:sz w:val="32"/>
          <w:szCs w:val="32"/>
          <w:lang w:val="en-US" w:eastAsia="zh-CN" w:bidi="ar-SA"/>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次，组织开展法治</w:t>
      </w:r>
      <w:r>
        <w:rPr>
          <w:rFonts w:hint="eastAsia" w:ascii="Times New Roman" w:hAnsi="Times New Roman" w:eastAsia="仿宋_GB2312" w:cs="Times New Roman"/>
          <w:color w:val="000000" w:themeColor="text1"/>
          <w:sz w:val="32"/>
          <w:szCs w:val="32"/>
          <w:lang w:val="en-US" w:eastAsia="zh-CN" w:bidi="ar-SA"/>
          <w14:textFill>
            <w14:solidFill>
              <w14:schemeClr w14:val="tx1"/>
            </w14:solidFill>
          </w14:textFill>
        </w:rPr>
        <w:t>知识</w:t>
      </w: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测试2次，</w:t>
      </w:r>
      <w:r>
        <w:rPr>
          <w:rFonts w:hint="eastAsia" w:ascii="Times New Roman" w:hAnsi="Times New Roman" w:eastAsia="仿宋_GB2312" w:cs="Times New Roman"/>
          <w:color w:val="000000" w:themeColor="text1"/>
          <w:sz w:val="32"/>
          <w:szCs w:val="32"/>
          <w:lang w:val="en-US" w:eastAsia="zh-CN" w:bidi="ar-SA"/>
          <w14:textFill>
            <w14:solidFill>
              <w14:schemeClr w14:val="tx1"/>
            </w14:solidFill>
          </w14:textFill>
        </w:rPr>
        <w:t>并</w:t>
      </w: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对全镇干部进行了</w:t>
      </w:r>
      <w:r>
        <w:rPr>
          <w:rFonts w:hint="eastAsia" w:ascii="Times New Roman" w:hAnsi="Times New Roman" w:eastAsia="仿宋_GB2312" w:cs="Times New Roman"/>
          <w:color w:val="000000" w:themeColor="text1"/>
          <w:sz w:val="32"/>
          <w:szCs w:val="32"/>
          <w:lang w:val="en-US" w:eastAsia="zh-CN" w:bidi="ar-SA"/>
          <w14:textFill>
            <w14:solidFill>
              <w14:schemeClr w14:val="tx1"/>
            </w14:solidFill>
          </w14:textFill>
        </w:rPr>
        <w:t>习近平法治思想专题</w:t>
      </w: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培训。</w:t>
      </w:r>
    </w:p>
    <w:p>
      <w:pPr>
        <w:keepNext w:val="0"/>
        <w:keepLines w:val="0"/>
        <w:pageBreakBefore w:val="0"/>
        <w:kinsoku/>
        <w:wordWrap/>
        <w:overflowPunct/>
        <w:topLinePunct w:val="0"/>
        <w:autoSpaceDE/>
        <w:autoSpaceDN/>
        <w:bidi w:val="0"/>
        <w:adjustRightInd/>
        <w:snapToGrid/>
        <w:spacing w:line="600" w:lineRule="exact"/>
        <w:ind w:firstLine="622" w:firstLineChars="200"/>
        <w:jc w:val="left"/>
        <w:textAlignment w:val="auto"/>
        <w:rPr>
          <w:rFonts w:hint="eastAsia" w:ascii="仿宋_GB2312" w:eastAsia="仿宋_GB2312" w:cs="仿宋_GB2312"/>
          <w:color w:val="000000"/>
          <w:sz w:val="31"/>
          <w:szCs w:val="31"/>
        </w:rPr>
      </w:pPr>
      <w:r>
        <w:rPr>
          <w:rFonts w:hint="eastAsia" w:ascii="楷体" w:hAnsi="楷体" w:eastAsia="楷体" w:cs="楷体"/>
          <w:b/>
          <w:bCs/>
          <w:color w:val="000000"/>
          <w:kern w:val="0"/>
          <w:sz w:val="31"/>
          <w:szCs w:val="31"/>
          <w:lang w:val="en-US" w:eastAsia="zh-CN" w:bidi="ar"/>
        </w:rPr>
        <w:t>（二）统筹推进法治政府建设。</w:t>
      </w:r>
      <w:r>
        <w:rPr>
          <w:rFonts w:hint="eastAsia" w:ascii="仿宋_GB2312" w:hAnsi="仿宋_GB2312" w:eastAsia="仿宋_GB2312" w:cs="仿宋_GB2312"/>
          <w:b/>
          <w:bCs/>
          <w:sz w:val="32"/>
          <w:szCs w:val="32"/>
          <w:lang w:val="en-US" w:eastAsia="zh-CN"/>
        </w:rPr>
        <w:t>一是健全领导机制。</w:t>
      </w: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坚持把法治政府建设工作摆在重要位置，</w:t>
      </w:r>
      <w:r>
        <w:rPr>
          <w:rFonts w:hint="eastAsia" w:ascii="仿宋_GB2312" w:hAnsi="仿宋_GB2312" w:eastAsia="仿宋_GB2312" w:cs="仿宋_GB2312"/>
          <w:b w:val="0"/>
          <w:bCs w:val="0"/>
          <w:sz w:val="32"/>
          <w:szCs w:val="32"/>
          <w:lang w:val="en-US" w:eastAsia="zh-CN"/>
        </w:rPr>
        <w:t>充分发挥镇党委在推进全镇法治政府建设中的领导核心作用，及时调整工作领导小组，按照《高沙窝镇法治政府建设实施方案（2021-2025年）》《高沙窝镇2022年法治政府建设工作任务实施方案》等文件，定期召开工作推进会，把法治政府建设同全镇经济社会发展同谋划、同部署、同落实。</w:t>
      </w:r>
      <w:r>
        <w:rPr>
          <w:rFonts w:hint="eastAsia" w:ascii="仿宋_GB2312" w:hAnsi="仿宋_GB2312" w:eastAsia="仿宋_GB2312" w:cs="仿宋_GB2312"/>
          <w:b/>
          <w:bCs/>
          <w:sz w:val="32"/>
          <w:szCs w:val="32"/>
          <w:lang w:val="en-US" w:eastAsia="zh-CN"/>
        </w:rPr>
        <w:t>二是党政主要负责人切实履行推进法治建设第一责任人职责。</w:t>
      </w:r>
      <w:r>
        <w:rPr>
          <w:rFonts w:hint="eastAsia" w:ascii="仿宋_GB2312" w:hAnsi="仿宋_GB2312" w:eastAsia="仿宋_GB2312" w:cs="仿宋_GB2312"/>
          <w:b w:val="0"/>
          <w:bCs w:val="0"/>
          <w:sz w:val="32"/>
          <w:szCs w:val="32"/>
          <w:lang w:val="en-US" w:eastAsia="zh-CN"/>
        </w:rPr>
        <w:t>根据县委下发的《党政主要负责人履行推进法治建设第一责任人职责情况列入年终述职工作方案》要求，镇党委书记、政府镇长均向县委做了述职述法工作报告，各村党支部书记向镇党委做了述法工作汇报。</w:t>
      </w: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制定了</w:t>
      </w:r>
      <w:r>
        <w:rPr>
          <w:rFonts w:hint="eastAsia" w:ascii="仿宋_GB2312" w:hAnsi="仿宋_GB2312" w:eastAsia="仿宋_GB2312" w:cs="仿宋_GB2312"/>
          <w:b w:val="0"/>
          <w:bCs w:val="0"/>
          <w:sz w:val="32"/>
          <w:szCs w:val="32"/>
          <w:lang w:val="en-US" w:eastAsia="zh-CN"/>
        </w:rPr>
        <w:t>《高沙窝镇</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2022</w:t>
      </w:r>
      <w:r>
        <w:rPr>
          <w:rFonts w:hint="eastAsia" w:ascii="仿宋_GB2312" w:hAnsi="仿宋_GB2312" w:eastAsia="仿宋_GB2312" w:cs="仿宋_GB2312"/>
          <w:b w:val="0"/>
          <w:bCs w:val="0"/>
          <w:sz w:val="32"/>
          <w:szCs w:val="32"/>
          <w:lang w:val="en-US" w:eastAsia="zh-CN"/>
        </w:rPr>
        <w:t>年普法依法治理工作要点》</w:t>
      </w: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高沙窝镇村级组织重点工作考核办法》等，把法治建设工作纳入村级考核，将完成重点指标、重点工作作为考核衡量干部的主要依据，建立形成主体明确、权责统一、运转协调、廉洁高效的法治政府建设工作机制。</w:t>
      </w:r>
      <w:r>
        <w:rPr>
          <w:rFonts w:hint="eastAsia" w:ascii="仿宋_GB2312" w:hAnsi="仿宋_GB2312" w:eastAsia="仿宋_GB2312" w:cs="仿宋_GB2312"/>
          <w:b/>
          <w:bCs/>
          <w:sz w:val="32"/>
          <w:szCs w:val="32"/>
          <w:lang w:val="en-US" w:eastAsia="zh-CN"/>
        </w:rPr>
        <w:t>三是健全决策机制。</w:t>
      </w:r>
      <w:r>
        <w:rPr>
          <w:rFonts w:hint="eastAsia" w:ascii="仿宋_GB2312" w:hAnsi="仿宋_GB2312" w:eastAsia="仿宋_GB2312" w:cs="仿宋_GB2312"/>
          <w:sz w:val="32"/>
          <w:szCs w:val="32"/>
          <w:lang w:val="en-US" w:eastAsia="zh-CN"/>
        </w:rPr>
        <w:t>严格依法依规决策党委重要事项、政府的难点问题、群众的焦点问题，</w:t>
      </w:r>
      <w:r>
        <w:rPr>
          <w:rFonts w:hint="eastAsia" w:ascii="仿宋_GB2312" w:hAnsi="仿宋_GB2312" w:eastAsia="仿宋_GB2312" w:cs="仿宋_GB2312"/>
          <w:sz w:val="32"/>
          <w:szCs w:val="32"/>
          <w:lang w:eastAsia="zh-CN"/>
        </w:rPr>
        <w:t>严格</w:t>
      </w:r>
      <w:r>
        <w:rPr>
          <w:rFonts w:hint="eastAsia" w:ascii="仿宋_GB2312" w:hAnsi="仿宋_GB2312" w:eastAsia="仿宋_GB2312" w:cs="仿宋_GB2312"/>
          <w:sz w:val="32"/>
          <w:szCs w:val="32"/>
          <w:lang w:val="en-US" w:eastAsia="zh-CN"/>
        </w:rPr>
        <w:t>落实重大行政决策公开征求意见</w:t>
      </w:r>
      <w:r>
        <w:rPr>
          <w:rFonts w:hint="eastAsia" w:ascii="仿宋_GB2312" w:hAnsi="仿宋_GB2312" w:eastAsia="仿宋_GB2312" w:cs="仿宋_GB2312"/>
          <w:sz w:val="32"/>
          <w:szCs w:val="32"/>
          <w:lang w:eastAsia="zh-CN"/>
        </w:rPr>
        <w:t>、专家论证、风险评估、合法性审查、集体讨论决定</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5</w:t>
      </w:r>
      <w:r>
        <w:rPr>
          <w:rFonts w:hint="eastAsia" w:ascii="仿宋_GB2312" w:hAnsi="仿宋_GB2312" w:eastAsia="仿宋_GB2312" w:cs="仿宋_GB2312"/>
          <w:sz w:val="32"/>
          <w:szCs w:val="32"/>
          <w:lang w:val="en-US" w:eastAsia="zh-CN"/>
        </w:rPr>
        <w:t>项必经程序，凡是涉及群众切身利益的行政决策事项，及时向社会及有利害关系的群众公开征求意见，</w:t>
      </w:r>
      <w:r>
        <w:rPr>
          <w:rFonts w:hint="eastAsia" w:ascii="仿宋_GB2312" w:hAnsi="仿宋_GB2312" w:eastAsia="仿宋_GB2312" w:cs="仿宋_GB2312"/>
          <w:b w:val="0"/>
          <w:bCs w:val="0"/>
          <w:sz w:val="32"/>
          <w:szCs w:val="32"/>
          <w:lang w:val="en-US" w:eastAsia="zh-CN"/>
        </w:rPr>
        <w:t>保障公众知情权、参与权、表达权和监督权</w:t>
      </w:r>
      <w:r>
        <w:rPr>
          <w:rFonts w:hint="eastAsia" w:ascii="仿宋_GB2312" w:hAnsi="仿宋_GB2312" w:eastAsia="仿宋_GB2312" w:cs="仿宋_GB2312"/>
          <w:sz w:val="32"/>
          <w:szCs w:val="32"/>
          <w:lang w:val="en-US"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楷体" w:hAnsi="楷体" w:eastAsia="楷体" w:cs="楷体"/>
          <w:b/>
          <w:bCs/>
          <w:color w:val="000000"/>
          <w:kern w:val="0"/>
          <w:sz w:val="31"/>
          <w:szCs w:val="31"/>
          <w:lang w:val="en-US" w:eastAsia="zh-CN" w:bidi="ar"/>
        </w:rPr>
        <w:t>（三）依法全面履行政府职能。</w:t>
      </w:r>
      <w:r>
        <w:rPr>
          <w:rFonts w:hint="eastAsia" w:ascii="仿宋_GB2312" w:hAnsi="仿宋_GB2312" w:eastAsia="仿宋_GB2312" w:cs="仿宋_GB2312"/>
          <w:b/>
          <w:bCs/>
          <w:color w:val="auto"/>
          <w:sz w:val="32"/>
          <w:szCs w:val="32"/>
          <w:lang w:val="en-US" w:eastAsia="zh-CN"/>
        </w:rPr>
        <w:t>一是推进民生服务标准化建设。</w:t>
      </w:r>
      <w:r>
        <w:rPr>
          <w:rFonts w:hint="eastAsia" w:ascii="仿宋_GB2312" w:hAnsi="仿宋_GB2312" w:eastAsia="仿宋_GB2312" w:cs="仿宋_GB2312"/>
          <w:color w:val="auto"/>
          <w:spacing w:val="0"/>
          <w:kern w:val="2"/>
          <w:sz w:val="32"/>
          <w:szCs w:val="32"/>
          <w:lang w:val="en-US" w:eastAsia="zh-CN" w:bidi="ar-SA"/>
        </w:rPr>
        <w:t>健全完善标准化民生服务中心和</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10</w:t>
      </w:r>
      <w:r>
        <w:rPr>
          <w:rFonts w:hint="eastAsia" w:ascii="仿宋_GB2312" w:hAnsi="仿宋_GB2312" w:eastAsia="仿宋_GB2312" w:cs="仿宋_GB2312"/>
          <w:color w:val="auto"/>
          <w:spacing w:val="0"/>
          <w:kern w:val="2"/>
          <w:sz w:val="32"/>
          <w:szCs w:val="32"/>
          <w:lang w:val="en-US" w:eastAsia="zh-CN" w:bidi="ar-SA"/>
        </w:rPr>
        <w:t>个村级（社区）便民服务代办点，</w:t>
      </w:r>
      <w:r>
        <w:rPr>
          <w:rFonts w:hint="eastAsia" w:ascii="仿宋_GB2312" w:hAnsi="仿宋_GB2312" w:eastAsia="仿宋_GB2312" w:cs="仿宋_GB2312"/>
          <w:color w:val="auto"/>
          <w:sz w:val="32"/>
          <w:szCs w:val="32"/>
          <w:lang w:val="en-US" w:eastAsia="zh-CN"/>
        </w:rPr>
        <w:t>实现群众办理民生服务事项“一门一窗一网式办理服务”。</w:t>
      </w:r>
      <w:r>
        <w:rPr>
          <w:rFonts w:hint="eastAsia" w:ascii="仿宋_GB2312" w:hAnsi="仿宋_GB2312" w:eastAsia="仿宋_GB2312" w:cs="仿宋_GB2312"/>
          <w:i w:val="0"/>
          <w:caps w:val="0"/>
          <w:color w:val="auto"/>
          <w:spacing w:val="0"/>
          <w:sz w:val="32"/>
          <w:szCs w:val="32"/>
          <w:shd w:val="clear" w:fill="FFFFFF"/>
          <w:lang w:val="en-US" w:eastAsia="zh-CN"/>
        </w:rPr>
        <w:t>明确了《高沙窝镇权力清单》《高沙窝镇责任清单》和</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145</w:t>
      </w:r>
      <w:r>
        <w:rPr>
          <w:rFonts w:hint="eastAsia" w:ascii="仿宋_GB2312" w:hAnsi="仿宋_GB2312" w:eastAsia="仿宋_GB2312" w:cs="仿宋_GB2312"/>
          <w:i w:val="0"/>
          <w:caps w:val="0"/>
          <w:color w:val="auto"/>
          <w:spacing w:val="0"/>
          <w:sz w:val="32"/>
          <w:szCs w:val="32"/>
          <w:shd w:val="clear" w:fill="FFFFFF"/>
          <w:lang w:val="en-US" w:eastAsia="zh-CN"/>
        </w:rPr>
        <w:t>项政务服务事项及</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48</w:t>
      </w:r>
      <w:r>
        <w:rPr>
          <w:rFonts w:hint="eastAsia" w:ascii="仿宋_GB2312" w:hAnsi="仿宋_GB2312" w:eastAsia="仿宋_GB2312" w:cs="仿宋_GB2312"/>
          <w:i w:val="0"/>
          <w:caps w:val="0"/>
          <w:color w:val="auto"/>
          <w:spacing w:val="0"/>
          <w:sz w:val="32"/>
          <w:szCs w:val="32"/>
          <w:shd w:val="clear" w:fill="FFFFFF"/>
          <w:lang w:val="en-US" w:eastAsia="zh-CN"/>
        </w:rPr>
        <w:t>项村级代办服务事项，不断提升镇村基层服务能力。</w:t>
      </w:r>
      <w:r>
        <w:rPr>
          <w:rFonts w:hint="eastAsia" w:ascii="仿宋_GB2312" w:hAnsi="仿宋_GB2312" w:eastAsia="仿宋_GB2312" w:cs="仿宋_GB2312"/>
          <w:b/>
          <w:bCs/>
          <w:color w:val="auto"/>
          <w:sz w:val="32"/>
          <w:szCs w:val="32"/>
          <w:lang w:val="en-US" w:eastAsia="zh-CN"/>
        </w:rPr>
        <w:t>二是推进法律服务队伍</w:t>
      </w:r>
      <w:r>
        <w:rPr>
          <w:rFonts w:hint="eastAsia" w:ascii="仿宋_GB2312" w:hAnsi="仿宋_GB2312" w:eastAsia="仿宋_GB2312" w:cs="仿宋_GB2312"/>
          <w:b/>
          <w:bCs/>
          <w:sz w:val="32"/>
          <w:szCs w:val="32"/>
          <w:lang w:val="en-US" w:eastAsia="zh-CN"/>
        </w:rPr>
        <w:t>标准化建设。</w:t>
      </w:r>
      <w:r>
        <w:rPr>
          <w:rFonts w:hint="eastAsia" w:ascii="仿宋_GB2312" w:hAnsi="仿宋_GB2312" w:eastAsia="仿宋_GB2312" w:cs="仿宋_GB2312"/>
          <w:color w:val="000000"/>
          <w:sz w:val="32"/>
          <w:szCs w:val="32"/>
          <w:lang w:val="en-US" w:eastAsia="zh-CN" w:bidi="ar-SA"/>
        </w:rPr>
        <w:t>建立</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sz w:val="32"/>
          <w:szCs w:val="32"/>
          <w:lang w:val="en-US" w:eastAsia="zh-CN" w:bidi="ar-SA"/>
        </w:rPr>
        <w:t>个镇级调委会、</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10</w:t>
      </w:r>
      <w:r>
        <w:rPr>
          <w:rFonts w:hint="eastAsia" w:ascii="仿宋_GB2312" w:hAnsi="仿宋_GB2312" w:eastAsia="仿宋_GB2312" w:cs="仿宋_GB2312"/>
          <w:color w:val="000000"/>
          <w:sz w:val="32"/>
          <w:szCs w:val="32"/>
          <w:lang w:val="en-US" w:eastAsia="zh-CN" w:bidi="ar-SA"/>
        </w:rPr>
        <w:t>个村级调委会，</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sz w:val="32"/>
          <w:szCs w:val="32"/>
          <w:lang w:val="en-US" w:eastAsia="zh-CN" w:bidi="ar-SA"/>
        </w:rPr>
        <w:t>个企业调委会，共有调解员</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92</w:t>
      </w:r>
      <w:r>
        <w:rPr>
          <w:rFonts w:hint="eastAsia" w:ascii="仿宋_GB2312" w:hAnsi="仿宋_GB2312" w:eastAsia="仿宋_GB2312" w:cs="仿宋_GB2312"/>
          <w:color w:val="000000"/>
          <w:sz w:val="32"/>
          <w:szCs w:val="32"/>
          <w:lang w:val="en-US" w:eastAsia="zh-CN" w:bidi="ar-SA"/>
        </w:rPr>
        <w:t>人，成立公共法律服务工作站1个和法律服务工作室</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10</w:t>
      </w:r>
      <w:r>
        <w:rPr>
          <w:rFonts w:hint="eastAsia" w:ascii="仿宋_GB2312" w:hAnsi="仿宋_GB2312" w:eastAsia="仿宋_GB2312" w:cs="仿宋_GB2312"/>
          <w:color w:val="000000"/>
          <w:sz w:val="32"/>
          <w:szCs w:val="32"/>
          <w:lang w:val="en-US" w:eastAsia="zh-CN" w:bidi="ar-SA"/>
        </w:rPr>
        <w:t>个，培养法律明白人骨干</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18</w:t>
      </w:r>
      <w:r>
        <w:rPr>
          <w:rFonts w:hint="eastAsia" w:ascii="仿宋_GB2312" w:hAnsi="仿宋_GB2312" w:eastAsia="仿宋_GB2312" w:cs="仿宋_GB2312"/>
          <w:color w:val="000000"/>
          <w:sz w:val="32"/>
          <w:szCs w:val="32"/>
          <w:lang w:val="en-US" w:eastAsia="zh-CN" w:bidi="ar-SA"/>
        </w:rPr>
        <w:t>人，普法志愿者</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62</w:t>
      </w:r>
      <w:r>
        <w:rPr>
          <w:rFonts w:hint="eastAsia" w:ascii="仿宋_GB2312" w:hAnsi="仿宋_GB2312" w:eastAsia="仿宋_GB2312" w:cs="仿宋_GB2312"/>
          <w:color w:val="000000"/>
          <w:sz w:val="32"/>
          <w:szCs w:val="32"/>
          <w:lang w:val="en-US" w:eastAsia="zh-CN" w:bidi="ar-SA"/>
        </w:rPr>
        <w:t>人，法律明白人</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47</w:t>
      </w:r>
      <w:r>
        <w:rPr>
          <w:rFonts w:hint="eastAsia" w:ascii="仿宋_GB2312" w:hAnsi="仿宋_GB2312" w:eastAsia="仿宋_GB2312" w:cs="仿宋_GB2312"/>
          <w:color w:val="000000"/>
          <w:sz w:val="32"/>
          <w:szCs w:val="32"/>
          <w:lang w:val="en-US" w:eastAsia="zh-CN" w:bidi="ar-SA"/>
        </w:rPr>
        <w:t>人。聘请</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sz w:val="32"/>
          <w:szCs w:val="32"/>
          <w:lang w:val="en-US" w:eastAsia="zh-CN" w:bidi="ar-SA"/>
        </w:rPr>
        <w:t>名法律顾问</w:t>
      </w:r>
      <w:r>
        <w:rPr>
          <w:rFonts w:hint="eastAsia" w:ascii="仿宋_GB2312" w:hAnsi="仿宋_GB2312" w:eastAsia="仿宋_GB2312" w:cs="仿宋_GB2312"/>
          <w:sz w:val="32"/>
          <w:szCs w:val="32"/>
          <w:lang w:val="en-US" w:eastAsia="zh-CN"/>
        </w:rPr>
        <w:t>对镇政府及村（社区）的</w:t>
      </w:r>
      <w:r>
        <w:rPr>
          <w:rFonts w:hint="eastAsia" w:ascii="仿宋_GB2312" w:hAnsi="仿宋_GB2312" w:eastAsia="仿宋_GB2312" w:cs="仿宋_GB2312"/>
          <w:sz w:val="32"/>
          <w:szCs w:val="32"/>
        </w:rPr>
        <w:t>合同签订、三重一大事项、涉法涉诉等行政决策全程参与，</w:t>
      </w:r>
      <w:r>
        <w:rPr>
          <w:rFonts w:hint="eastAsia" w:ascii="仿宋_GB2312" w:hAnsi="仿宋_GB2312" w:eastAsia="仿宋_GB2312" w:cs="仿宋_GB2312"/>
          <w:sz w:val="32"/>
          <w:szCs w:val="32"/>
          <w:lang w:val="en-US" w:eastAsia="zh-CN"/>
        </w:rPr>
        <w:t>为镇党委、镇政府重大决策和行政行为提供专业法律意见和论证。</w:t>
      </w:r>
      <w:r>
        <w:rPr>
          <w:rFonts w:hint="eastAsia" w:ascii="仿宋_GB2312" w:hAnsi="仿宋_GB2312" w:eastAsia="仿宋_GB2312" w:cs="仿宋_GB2312"/>
          <w:b/>
          <w:bCs/>
          <w:sz w:val="32"/>
          <w:szCs w:val="32"/>
          <w:lang w:val="en-US" w:eastAsia="zh-CN"/>
        </w:rPr>
        <w:t>三是严格规范行政执法行为。</w:t>
      </w:r>
      <w:r>
        <w:rPr>
          <w:rFonts w:hint="eastAsia" w:ascii="仿宋_GB2312" w:hAnsi="仿宋_GB2312" w:eastAsia="仿宋_GB2312" w:cs="仿宋_GB2312"/>
          <w:color w:val="000000"/>
          <w:sz w:val="32"/>
          <w:szCs w:val="32"/>
          <w:lang w:val="en-US" w:eastAsia="zh-CN"/>
        </w:rPr>
        <w:t>强化行政执法人员力量，成立镇综合执法办公室，</w:t>
      </w:r>
      <w:r>
        <w:rPr>
          <w:rFonts w:hint="eastAsia" w:ascii="仿宋_GB2312" w:hAnsi="仿宋_GB2312" w:eastAsia="仿宋_GB2312" w:cs="仿宋_GB2312"/>
          <w:b w:val="0"/>
          <w:bCs w:val="0"/>
          <w:sz w:val="32"/>
          <w:szCs w:val="32"/>
          <w:lang w:val="en-US" w:eastAsia="zh-CN"/>
        </w:rPr>
        <w:t>现有</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7</w:t>
      </w:r>
      <w:r>
        <w:rPr>
          <w:rFonts w:hint="eastAsia" w:ascii="仿宋_GB2312" w:hAnsi="仿宋_GB2312" w:eastAsia="仿宋_GB2312" w:cs="仿宋_GB2312"/>
          <w:b w:val="0"/>
          <w:bCs w:val="0"/>
          <w:sz w:val="32"/>
          <w:szCs w:val="32"/>
          <w:lang w:val="en-US" w:eastAsia="zh-CN"/>
        </w:rPr>
        <w:t>名工作人员，拥有行政执法资格证件</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w:t>
      </w:r>
      <w:r>
        <w:rPr>
          <w:rFonts w:hint="eastAsia" w:ascii="仿宋_GB2312" w:hAnsi="仿宋_GB2312" w:eastAsia="仿宋_GB2312" w:cs="仿宋_GB2312"/>
          <w:b w:val="0"/>
          <w:bCs w:val="0"/>
          <w:sz w:val="32"/>
          <w:szCs w:val="32"/>
          <w:lang w:val="en-US" w:eastAsia="zh-CN"/>
        </w:rPr>
        <w:t>人，</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10</w:t>
      </w:r>
      <w:r>
        <w:rPr>
          <w:rFonts w:hint="eastAsia" w:ascii="仿宋_GB2312" w:hAnsi="仿宋_GB2312" w:eastAsia="仿宋_GB2312" w:cs="仿宋_GB2312"/>
          <w:b w:val="0"/>
          <w:bCs w:val="0"/>
          <w:sz w:val="32"/>
          <w:szCs w:val="32"/>
          <w:lang w:val="en-US" w:eastAsia="zh-CN"/>
        </w:rPr>
        <w:t>人申领行政执法证件，不断加强基层执法人员力量。</w:t>
      </w:r>
      <w:r>
        <w:rPr>
          <w:rFonts w:hint="eastAsia" w:ascii="仿宋_GB2312" w:hAnsi="仿宋_GB2312" w:eastAsia="仿宋_GB2312" w:cs="仿宋_GB2312"/>
          <w:i w:val="0"/>
          <w:caps w:val="0"/>
          <w:color w:val="auto"/>
          <w:spacing w:val="0"/>
          <w:sz w:val="32"/>
          <w:szCs w:val="32"/>
          <w:lang w:val="en-US" w:eastAsia="zh-CN"/>
        </w:rPr>
        <w:t>全面落实行政执法“三项制度”，及时公示公开《高沙窝镇行政执法主体资格清单》，主动接受群众监督；健全执法全过程记录制度，</w:t>
      </w:r>
      <w:r>
        <w:rPr>
          <w:rFonts w:hint="eastAsia" w:ascii="仿宋_GB2312" w:hAnsi="仿宋_GB2312" w:eastAsia="仿宋_GB2312" w:cs="仿宋_GB2312"/>
          <w:b w:val="0"/>
          <w:bCs w:val="0"/>
          <w:sz w:val="32"/>
          <w:szCs w:val="32"/>
          <w:lang w:val="en-US" w:eastAsia="zh-CN"/>
        </w:rPr>
        <w:t>今年开展行政执法检查</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30余</w:t>
      </w:r>
      <w:r>
        <w:rPr>
          <w:rFonts w:hint="eastAsia" w:ascii="仿宋_GB2312" w:hAnsi="仿宋_GB2312" w:eastAsia="仿宋_GB2312" w:cs="仿宋_GB2312"/>
          <w:b w:val="0"/>
          <w:bCs w:val="0"/>
          <w:sz w:val="32"/>
          <w:szCs w:val="32"/>
          <w:lang w:val="en-US" w:eastAsia="zh-CN"/>
        </w:rPr>
        <w:t>次，加强执法装备建设，配备执法记录仪，</w:t>
      </w:r>
      <w:r>
        <w:rPr>
          <w:rFonts w:hint="eastAsia" w:ascii="仿宋_GB2312" w:hAnsi="仿宋_GB2312" w:eastAsia="仿宋_GB2312" w:cs="仿宋_GB2312"/>
          <w:i w:val="0"/>
          <w:caps w:val="0"/>
          <w:color w:val="auto"/>
          <w:spacing w:val="0"/>
          <w:sz w:val="32"/>
          <w:szCs w:val="32"/>
          <w:lang w:val="en-US" w:eastAsia="zh-CN"/>
        </w:rPr>
        <w:t>确保执法信息公开透明、执法全过程留痕、执法决定合法有效；严格执行重大执法决定法制审核，发挥</w:t>
      </w:r>
      <w:r>
        <w:rPr>
          <w:rFonts w:hint="eastAsia" w:ascii="仿宋_GB2312" w:hAnsi="仿宋_GB2312" w:eastAsia="仿宋_GB2312" w:cs="仿宋_GB2312"/>
          <w:color w:val="000000"/>
          <w:sz w:val="32"/>
          <w:szCs w:val="32"/>
          <w:lang w:val="en-US" w:eastAsia="zh-CN" w:bidi="ar-SA"/>
        </w:rPr>
        <w:t>法律顾问作用，加强行政执法审核和监督，促进执法行为严格、规范</w:t>
      </w:r>
      <w:r>
        <w:rPr>
          <w:rFonts w:hint="eastAsia" w:ascii="仿宋_GB2312" w:hAnsi="仿宋_GB2312" w:eastAsia="仿宋_GB2312" w:cs="仿宋_GB2312"/>
          <w:sz w:val="32"/>
          <w:szCs w:val="32"/>
          <w:lang w:val="en-US" w:eastAsia="zh-CN"/>
        </w:rPr>
        <w:t>。</w:t>
      </w:r>
      <w:r>
        <w:rPr>
          <w:rFonts w:hint="eastAsia" w:ascii="方正楷体_GBK" w:hAnsi="方正楷体_GBK" w:eastAsia="方正楷体_GBK" w:cs="方正楷体_GBK"/>
          <w:b/>
          <w:bCs/>
          <w:i w:val="0"/>
          <w:caps w:val="0"/>
          <w:spacing w:val="0"/>
          <w:w w:val="100"/>
          <w:kern w:val="2"/>
          <w:sz w:val="32"/>
          <w:szCs w:val="32"/>
          <w:lang w:val="en-US" w:eastAsia="zh-CN" w:bidi="ar-SA"/>
        </w:rPr>
        <w:t>四是加强行政规范性文件制定和管理。</w:t>
      </w:r>
      <w:r>
        <w:rPr>
          <w:rFonts w:hint="eastAsia" w:ascii="Times New Roman" w:hAnsi="Times New Roman" w:eastAsia="仿宋_GB2312" w:cs="Times New Roman"/>
          <w:b w:val="0"/>
          <w:bCs w:val="0"/>
          <w:color w:val="000000"/>
          <w:kern w:val="2"/>
          <w:sz w:val="32"/>
          <w:szCs w:val="32"/>
          <w:lang w:val="en-US" w:eastAsia="zh-CN" w:bidi="ar-SA"/>
        </w:rPr>
        <w:t>严格落实《宁夏回族自治区行政规范性文件制定和备案办法》《</w:t>
      </w:r>
      <w:r>
        <w:rPr>
          <w:rFonts w:hint="eastAsia" w:eastAsia="仿宋_GB2312" w:cs="Times New Roman"/>
          <w:b w:val="0"/>
          <w:bCs w:val="0"/>
          <w:color w:val="000000"/>
          <w:kern w:val="2"/>
          <w:sz w:val="32"/>
          <w:szCs w:val="32"/>
          <w:lang w:val="en-US" w:eastAsia="zh-CN" w:bidi="ar-SA"/>
        </w:rPr>
        <w:t>关于实行全</w:t>
      </w:r>
      <w:r>
        <w:rPr>
          <w:rFonts w:hint="eastAsia" w:ascii="Times New Roman" w:hAnsi="Times New Roman" w:eastAsia="仿宋_GB2312" w:cs="Times New Roman"/>
          <w:b w:val="0"/>
          <w:bCs w:val="0"/>
          <w:color w:val="000000"/>
          <w:kern w:val="2"/>
          <w:sz w:val="32"/>
          <w:szCs w:val="32"/>
          <w:lang w:val="en-US" w:eastAsia="zh-CN" w:bidi="ar-SA"/>
        </w:rPr>
        <w:t>县行政规范性文件“三统一”和有效期制度</w:t>
      </w:r>
      <w:r>
        <w:rPr>
          <w:rFonts w:hint="eastAsia" w:eastAsia="仿宋_GB2312" w:cs="Times New Roman"/>
          <w:b w:val="0"/>
          <w:bCs w:val="0"/>
          <w:color w:val="000000"/>
          <w:kern w:val="2"/>
          <w:sz w:val="32"/>
          <w:szCs w:val="32"/>
          <w:lang w:val="en-US" w:eastAsia="zh-CN" w:bidi="ar-SA"/>
        </w:rPr>
        <w:t>的通知</w:t>
      </w:r>
      <w:r>
        <w:rPr>
          <w:rFonts w:hint="eastAsia" w:ascii="Times New Roman" w:hAnsi="Times New Roman" w:eastAsia="仿宋_GB2312" w:cs="Times New Roman"/>
          <w:b w:val="0"/>
          <w:bCs w:val="0"/>
          <w:color w:val="000000"/>
          <w:kern w:val="2"/>
          <w:sz w:val="32"/>
          <w:szCs w:val="32"/>
          <w:lang w:val="en-US" w:eastAsia="zh-CN" w:bidi="ar-SA"/>
        </w:rPr>
        <w:t>》和行政规范性文件制定有关程序，利用盐池县人民政府门户网站、微信公众号等形式不断拓宽和畅通征求公众意见渠道，扩大征求意见范围。</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2022</w:t>
      </w:r>
      <w:r>
        <w:rPr>
          <w:rFonts w:hint="eastAsia" w:ascii="Times New Roman" w:hAnsi="Times New Roman" w:eastAsia="仿宋_GB2312" w:cs="Times New Roman"/>
          <w:b w:val="0"/>
          <w:bCs w:val="0"/>
          <w:color w:val="000000"/>
          <w:kern w:val="2"/>
          <w:sz w:val="32"/>
          <w:szCs w:val="32"/>
          <w:lang w:val="en-US" w:eastAsia="zh-CN" w:bidi="ar-SA"/>
        </w:rPr>
        <w:t>年我镇没有发布行政规范性文件。对往年行政规范性文件进行自查，做到对行政规范性文件有件必备、有备必审、有错必纠，备案、审查、纠错率均达</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100%。</w:t>
      </w:r>
      <w:r>
        <w:rPr>
          <w:rFonts w:hint="eastAsia" w:ascii="Times New Roman" w:hAnsi="Times New Roman" w:eastAsia="仿宋_GB2312" w:cs="Times New Roman"/>
          <w:b/>
          <w:bCs/>
          <w:color w:val="000000" w:themeColor="text1"/>
          <w:spacing w:val="0"/>
          <w:kern w:val="2"/>
          <w:sz w:val="32"/>
          <w:szCs w:val="32"/>
          <w:lang w:val="en-US" w:eastAsia="zh-CN" w:bidi="ar-SA"/>
          <w14:textFill>
            <w14:solidFill>
              <w14:schemeClr w14:val="tx1"/>
            </w14:solidFill>
          </w14:textFill>
        </w:rPr>
        <w:t>五是</w:t>
      </w:r>
      <w:r>
        <w:rPr>
          <w:rFonts w:hint="eastAsia" w:ascii="仿宋_GB2312" w:hAnsi="仿宋_GB2312" w:eastAsia="仿宋_GB2312" w:cs="仿宋_GB2312"/>
          <w:b/>
          <w:bCs/>
          <w:kern w:val="2"/>
          <w:sz w:val="32"/>
          <w:szCs w:val="32"/>
          <w:lang w:val="en-US" w:eastAsia="zh-CN" w:bidi="ar-SA"/>
        </w:rPr>
        <w:t>深入推进行政复议体制改革。</w:t>
      </w:r>
      <w:r>
        <w:rPr>
          <w:rFonts w:hint="eastAsia" w:ascii="仿宋_GB2312" w:hAnsi="仿宋_GB2312" w:eastAsia="仿宋_GB2312" w:cs="仿宋_GB2312"/>
          <w:b w:val="0"/>
          <w:bCs w:val="0"/>
          <w:kern w:val="2"/>
          <w:sz w:val="32"/>
          <w:szCs w:val="32"/>
          <w:lang w:val="en-US" w:eastAsia="zh-CN" w:bidi="ar-SA"/>
        </w:rPr>
        <w:t>全面落实行政复议体制改革的决策部署，开展行政应诉突出问题专项治理工作，加强和改进行政复议、行政应诉工作，积极畅通行政复议的渠道，及时接收处理各类行政复议申请，严格依法审理案件，规范使用文书，2022年我镇行政应诉案件0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 w:hAnsi="楷体" w:eastAsia="楷体" w:cs="楷体"/>
          <w:b/>
          <w:bCs/>
          <w:kern w:val="2"/>
          <w:sz w:val="32"/>
          <w:szCs w:val="32"/>
          <w:lang w:val="en-US" w:eastAsia="zh-CN" w:bidi="ar-SA"/>
        </w:rPr>
        <w:t>(四)依法有效化解社会矛盾纠纷。</w:t>
      </w:r>
      <w:r>
        <w:rPr>
          <w:rFonts w:hint="eastAsia" w:ascii="仿宋_GB2312" w:hAnsi="仿宋_GB2312" w:eastAsia="仿宋_GB2312" w:cs="仿宋_GB2312"/>
          <w:b/>
          <w:bCs/>
          <w:spacing w:val="0"/>
          <w:sz w:val="32"/>
          <w:szCs w:val="32"/>
          <w:lang w:val="en-US" w:eastAsia="zh-CN"/>
        </w:rPr>
        <w:t>一是统筹基层政法力量</w:t>
      </w:r>
      <w:r>
        <w:rPr>
          <w:rFonts w:hint="eastAsia" w:ascii="仿宋_GB2312" w:hAnsi="仿宋_GB2312" w:eastAsia="仿宋_GB2312" w:cs="仿宋_GB2312"/>
          <w:spacing w:val="0"/>
          <w:sz w:val="32"/>
          <w:szCs w:val="32"/>
          <w:lang w:val="en-US" w:eastAsia="zh-CN"/>
        </w:rPr>
        <w:t>。严格落实镇党委“统”、综治中心“管”、政法单位“融”、村组单位“落”的工作机制，深入排查化解各项矛盾纠纷，在全镇形成了上下贯通、层层落实的工作组织网络，为及时排查化解各类矛盾纠纷提供保证。</w:t>
      </w:r>
      <w:r>
        <w:rPr>
          <w:rFonts w:hint="eastAsia" w:ascii="仿宋_GB2312" w:hAnsi="仿宋_GB2312" w:eastAsia="仿宋_GB2312" w:cs="仿宋_GB2312"/>
          <w:b/>
          <w:bCs/>
          <w:spacing w:val="0"/>
          <w:sz w:val="32"/>
          <w:szCs w:val="32"/>
          <w:lang w:val="en-US" w:eastAsia="zh-CN"/>
        </w:rPr>
        <w:t>二是创新推进工作制度。</w:t>
      </w:r>
      <w:r>
        <w:rPr>
          <w:rFonts w:hint="eastAsia" w:ascii="仿宋_GB2312" w:hAnsi="仿宋_GB2312" w:eastAsia="仿宋_GB2312" w:cs="仿宋_GB2312"/>
          <w:spacing w:val="0"/>
          <w:sz w:val="32"/>
          <w:szCs w:val="32"/>
          <w:lang w:val="en-US" w:eastAsia="zh-CN"/>
        </w:rPr>
        <w:t>“</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1+3+N</w:t>
      </w:r>
      <w:r>
        <w:rPr>
          <w:rFonts w:hint="eastAsia" w:ascii="仿宋_GB2312" w:hAnsi="仿宋_GB2312" w:eastAsia="仿宋_GB2312" w:cs="仿宋_GB2312"/>
          <w:spacing w:val="0"/>
          <w:sz w:val="32"/>
          <w:szCs w:val="32"/>
          <w:lang w:val="en-US" w:eastAsia="zh-CN"/>
        </w:rPr>
        <w:t>”社会治理联席会议制度、“六单工作法+乡镇吹哨部门报到”机制，制定《文明接访守则》《领导信访接待制度》等，依法依规加强初信初访接待办理，对梳理在册的矛盾纠纷，实行领导包案责任制，加强调处化解和督办落实力度，建立矛盾纠纷调解推进会制度，及时将矛盾化解在基层。</w:t>
      </w:r>
      <w:r>
        <w:rPr>
          <w:rFonts w:hint="eastAsia" w:ascii="仿宋_GB2312" w:hAnsi="仿宋_GB2312" w:eastAsia="仿宋_GB2312" w:cs="仿宋_GB2312"/>
          <w:b/>
          <w:bCs/>
          <w:spacing w:val="0"/>
          <w:sz w:val="32"/>
          <w:szCs w:val="32"/>
          <w:lang w:val="en-US" w:eastAsia="zh-CN"/>
        </w:rPr>
        <w:t>三是发挥联动联调作用。</w:t>
      </w:r>
      <w:r>
        <w:rPr>
          <w:rFonts w:hint="eastAsia" w:ascii="仿宋_GB2312" w:hAnsi="仿宋_GB2312" w:eastAsia="仿宋_GB2312" w:cs="仿宋_GB2312"/>
          <w:spacing w:val="0"/>
          <w:sz w:val="32"/>
          <w:szCs w:val="32"/>
          <w:lang w:val="en-US" w:eastAsia="zh-CN"/>
        </w:rPr>
        <w:t>整合综治、法庭、司法、派出所、五办四中心等力量，建立联合型工作平台，切实做好“三调联动”，及时掌握上访人员动态，最大限度地把问题化解在萌芽状态。</w:t>
      </w: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今年以来，共梳理各类矛盾纠纷</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107</w:t>
      </w: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件，通过领导包案、定期推进、月末调度化解方式，现已完成化解</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96</w:t>
      </w: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件，正在化解</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11</w:t>
      </w: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件，初信初访案件全部就地妥善化解，全力打造平安乡镇</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三、存在的主要问题及下一步工作思路</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我镇法治政府建设虽取得一定成绩，但还存在一些薄弱环节，包括基层执法人员素质参差不齐，行政执法整体水平与人民群众的期待尚有距离；法治队伍力量仍然不足，行政复议专业力量不足、拥有执法证人员配备不足、法律明白人队伍建设存在短板。</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在今后的工作中，我镇将进一步深入贯彻落实习近平法治思想，按照中央、区市县关于法治政府建设的工作部署，以创建法治政府建设示范单位为目标，固强补弱，积极创新，统筹谋划法治政府建设新规划，全面落实重点工作任务，实现我镇法治政府建设新突破。</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jc w:val="left"/>
        <w:textAlignment w:val="baseline"/>
        <w:rPr>
          <w:rFonts w:hint="eastAsia" w:ascii="Times New Roman" w:hAnsi="Times New Roman" w:eastAsia="仿宋_GB2312" w:cs="Times New Roman"/>
          <w:b w:val="0"/>
          <w:i w:val="0"/>
          <w:caps w:val="0"/>
          <w:spacing w:val="0"/>
          <w:w w:val="100"/>
          <w:sz w:val="32"/>
          <w:szCs w:val="32"/>
          <w:lang w:val="en-US" w:eastAsia="zh-CN"/>
        </w:rPr>
      </w:pPr>
      <w:r>
        <w:rPr>
          <w:rFonts w:hint="eastAsia" w:ascii="楷体" w:hAnsi="楷体" w:eastAsia="楷体" w:cs="楷体"/>
          <w:b/>
          <w:bCs/>
          <w:i w:val="0"/>
          <w:caps w:val="0"/>
          <w:spacing w:val="0"/>
          <w:w w:val="100"/>
          <w:sz w:val="32"/>
          <w:szCs w:val="32"/>
          <w:lang w:val="en-US" w:eastAsia="zh-CN"/>
        </w:rPr>
        <w:t>（一）强化法治建设宣传力度。</w:t>
      </w:r>
      <w:r>
        <w:rPr>
          <w:rFonts w:hint="eastAsia" w:ascii="Times New Roman" w:hAnsi="Times New Roman" w:eastAsia="仿宋_GB2312" w:cs="Times New Roman"/>
          <w:b w:val="0"/>
          <w:i w:val="0"/>
          <w:caps w:val="0"/>
          <w:spacing w:val="0"/>
          <w:w w:val="100"/>
          <w:sz w:val="32"/>
          <w:szCs w:val="32"/>
          <w:lang w:val="en-US" w:eastAsia="zh-CN"/>
        </w:rPr>
        <w:t>建立健全法治建设工作宣传常态化机制，围绕贴合群众切身利益相关的法律法规重点内容，继续抓好“送法下乡”、“一村一法律顾问”、法律“八进”、各村法律明白人培训等载体，广泛开展法律宣传教育活动。同时，全面落实“谁执法谁普法”普法责任制，深入开展以案释法活动，加强法治宣传教育和法律服务，提高党员干部运用法治思维和法治方式深化改革、推动发展、化解矛盾、维护稳定、应对风险能力水平，在全镇形成浓厚的学法用法尊法守法氛围。</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jc w:val="left"/>
        <w:textAlignment w:val="baseline"/>
        <w:rPr>
          <w:rFonts w:hint="eastAsia" w:ascii="Times New Roman" w:hAnsi="Times New Roman" w:eastAsia="仿宋_GB2312" w:cs="Times New Roman"/>
          <w:b w:val="0"/>
          <w:i w:val="0"/>
          <w:caps w:val="0"/>
          <w:spacing w:val="0"/>
          <w:w w:val="100"/>
          <w:sz w:val="32"/>
          <w:szCs w:val="32"/>
          <w:lang w:val="en-US" w:eastAsia="zh-CN"/>
        </w:rPr>
      </w:pPr>
      <w:r>
        <w:rPr>
          <w:rFonts w:hint="eastAsia" w:ascii="楷体" w:hAnsi="楷体" w:eastAsia="楷体" w:cs="楷体"/>
          <w:b/>
          <w:bCs/>
          <w:i w:val="0"/>
          <w:caps w:val="0"/>
          <w:spacing w:val="0"/>
          <w:w w:val="100"/>
          <w:sz w:val="32"/>
          <w:szCs w:val="32"/>
          <w:lang w:val="en-US" w:eastAsia="zh-CN"/>
        </w:rPr>
        <w:t>（二）强化矛盾纠纷排查化解。</w:t>
      </w:r>
      <w:r>
        <w:rPr>
          <w:rFonts w:hint="eastAsia" w:ascii="Times New Roman" w:hAnsi="Times New Roman" w:eastAsia="仿宋_GB2312" w:cs="Times New Roman"/>
          <w:b w:val="0"/>
          <w:i w:val="0"/>
          <w:caps w:val="0"/>
          <w:spacing w:val="0"/>
          <w:w w:val="100"/>
          <w:sz w:val="32"/>
          <w:szCs w:val="32"/>
          <w:lang w:val="en-US" w:eastAsia="zh-CN"/>
        </w:rPr>
        <w:t>加强信访工作人员业务培训，做好每件信访案件的调查处理，对符合法律法规和政策规定的，及时做好处理解决，对不符合政策规定的，做好说服疏导教育工作。认真开展矛盾纠纷“大走访、大排查、大化解”活动，准确摸清底数，及时掌握各类矛盾纠纷的诉求。强化镇村干部纪律作风建设，推动镇村两级干部积极转变工作作风，变群众上访为干部下访，努力做到小事不出村、大事不出镇、矛盾不上交。</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jc w:val="left"/>
        <w:textAlignment w:val="baseline"/>
        <w:rPr>
          <w:rFonts w:hint="eastAsia" w:ascii="Times New Roman" w:hAnsi="Times New Roman" w:eastAsia="仿宋_GB2312" w:cs="Times New Roman"/>
          <w:b w:val="0"/>
          <w:i w:val="0"/>
          <w:caps w:val="0"/>
          <w:spacing w:val="0"/>
          <w:w w:val="100"/>
          <w:sz w:val="32"/>
          <w:szCs w:val="32"/>
          <w:lang w:val="en-US" w:eastAsia="zh-CN"/>
        </w:rPr>
      </w:pPr>
      <w:r>
        <w:rPr>
          <w:rFonts w:hint="eastAsia" w:ascii="楷体" w:hAnsi="楷体" w:eastAsia="楷体" w:cs="楷体"/>
          <w:b/>
          <w:bCs/>
          <w:i w:val="0"/>
          <w:caps w:val="0"/>
          <w:spacing w:val="0"/>
          <w:w w:val="100"/>
          <w:sz w:val="32"/>
          <w:szCs w:val="32"/>
          <w:lang w:val="en-US" w:eastAsia="zh-CN"/>
        </w:rPr>
        <w:t>（三）提升党员干部法律素养。</w:t>
      </w:r>
      <w:r>
        <w:rPr>
          <w:rFonts w:hint="eastAsia" w:ascii="Times New Roman" w:hAnsi="Times New Roman" w:eastAsia="仿宋_GB2312" w:cs="Times New Roman"/>
          <w:b w:val="0"/>
          <w:i w:val="0"/>
          <w:caps w:val="0"/>
          <w:spacing w:val="0"/>
          <w:w w:val="100"/>
          <w:sz w:val="32"/>
          <w:szCs w:val="32"/>
          <w:lang w:val="en-US" w:eastAsia="zh-CN"/>
        </w:rPr>
        <w:t>深入学习宣传贯彻落实党的二十大精神，深刻领会蕴含其中的马克思主义立场观点方法，全面准确把握精神实质、丰富内涵和核心要义，增强学习贯彻的自觉性和坚定性，拓展学习宣传习近平法治思想的广度深度，把习近平法治思想转化为全面依法治国的强大动力和生动实践。定期开展法律法规知识培训，提高法律业务素质，创新教育模式，融合“互联网+”的培训理念，增强领导干部依法执政、依法行政和依法决策的意识和能力，切实让基层干部将习近平法治思想入脑入心，达到学思悟贯通、知行性合一。</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jc w:val="left"/>
        <w:textAlignment w:val="baseline"/>
        <w:rPr>
          <w:rFonts w:hint="eastAsia" w:ascii="Times New Roman" w:hAnsi="Times New Roman" w:eastAsia="仿宋_GB2312" w:cs="Times New Roman"/>
          <w:b w:val="0"/>
          <w:i w:val="0"/>
          <w:caps w:val="0"/>
          <w:spacing w:val="0"/>
          <w:w w:val="100"/>
          <w:sz w:val="32"/>
          <w:szCs w:val="32"/>
          <w:lang w:val="en-US" w:eastAsia="zh-CN"/>
        </w:rPr>
      </w:pPr>
      <w:r>
        <w:rPr>
          <w:rFonts w:hint="eastAsia" w:ascii="楷体" w:hAnsi="楷体" w:eastAsia="楷体" w:cs="楷体"/>
          <w:b/>
          <w:bCs/>
          <w:i w:val="0"/>
          <w:caps w:val="0"/>
          <w:spacing w:val="0"/>
          <w:w w:val="100"/>
          <w:sz w:val="32"/>
          <w:szCs w:val="32"/>
          <w:lang w:val="en-US" w:eastAsia="zh-CN"/>
        </w:rPr>
        <w:t>（四）</w:t>
      </w:r>
      <w:r>
        <w:rPr>
          <w:rFonts w:hint="default" w:ascii="楷体" w:hAnsi="楷体" w:eastAsia="楷体" w:cs="楷体"/>
          <w:b/>
          <w:bCs/>
          <w:i w:val="0"/>
          <w:caps w:val="0"/>
          <w:spacing w:val="0"/>
          <w:w w:val="100"/>
          <w:sz w:val="32"/>
          <w:szCs w:val="32"/>
          <w:lang w:val="en-US" w:eastAsia="zh-CN"/>
        </w:rPr>
        <w:t>严格规范行政执法公正</w:t>
      </w:r>
      <w:r>
        <w:rPr>
          <w:rFonts w:hint="eastAsia" w:ascii="楷体" w:hAnsi="楷体" w:eastAsia="楷体" w:cs="楷体"/>
          <w:b/>
          <w:bCs/>
          <w:i w:val="0"/>
          <w:caps w:val="0"/>
          <w:spacing w:val="0"/>
          <w:w w:val="100"/>
          <w:sz w:val="32"/>
          <w:szCs w:val="32"/>
          <w:lang w:val="en-US" w:eastAsia="zh-CN"/>
        </w:rPr>
        <w:t>。</w:t>
      </w:r>
      <w:r>
        <w:rPr>
          <w:rFonts w:hint="default" w:ascii="Times New Roman" w:hAnsi="Times New Roman" w:eastAsia="仿宋_GB2312" w:cs="Times New Roman"/>
          <w:b w:val="0"/>
          <w:i w:val="0"/>
          <w:caps w:val="0"/>
          <w:spacing w:val="0"/>
          <w:w w:val="100"/>
          <w:sz w:val="32"/>
          <w:szCs w:val="32"/>
          <w:lang w:val="en-US" w:eastAsia="zh-CN"/>
        </w:rPr>
        <w:t>严格贯彻落实《行政处罚法》</w:t>
      </w:r>
      <w:r>
        <w:rPr>
          <w:rFonts w:hint="eastAsia" w:ascii="Times New Roman" w:hAnsi="Times New Roman" w:eastAsia="仿宋_GB2312" w:cs="Times New Roman"/>
          <w:b w:val="0"/>
          <w:i w:val="0"/>
          <w:caps w:val="0"/>
          <w:spacing w:val="0"/>
          <w:w w:val="100"/>
          <w:sz w:val="32"/>
          <w:szCs w:val="32"/>
          <w:lang w:val="en-US" w:eastAsia="zh-CN"/>
        </w:rPr>
        <w:t>，</w:t>
      </w:r>
      <w:r>
        <w:rPr>
          <w:rFonts w:hint="default" w:ascii="Times New Roman" w:hAnsi="Times New Roman" w:eastAsia="仿宋_GB2312" w:cs="Times New Roman"/>
          <w:b w:val="0"/>
          <w:i w:val="0"/>
          <w:caps w:val="0"/>
          <w:spacing w:val="0"/>
          <w:w w:val="100"/>
          <w:sz w:val="32"/>
          <w:szCs w:val="32"/>
          <w:lang w:val="en-US" w:eastAsia="zh-CN"/>
        </w:rPr>
        <w:t>根据本级政府事权和职能，深入推进综合行政执法体制改革</w:t>
      </w:r>
      <w:r>
        <w:rPr>
          <w:rFonts w:hint="eastAsia" w:ascii="Times New Roman" w:hAnsi="Times New Roman" w:eastAsia="仿宋_GB2312" w:cs="Times New Roman"/>
          <w:b w:val="0"/>
          <w:i w:val="0"/>
          <w:caps w:val="0"/>
          <w:spacing w:val="0"/>
          <w:w w:val="100"/>
          <w:sz w:val="32"/>
          <w:szCs w:val="32"/>
          <w:lang w:val="en-US" w:eastAsia="zh-CN"/>
        </w:rPr>
        <w:t>，</w:t>
      </w:r>
      <w:r>
        <w:rPr>
          <w:rFonts w:hint="default" w:ascii="Times New Roman" w:hAnsi="Times New Roman" w:eastAsia="仿宋_GB2312" w:cs="Times New Roman"/>
          <w:b w:val="0"/>
          <w:i w:val="0"/>
          <w:caps w:val="0"/>
          <w:spacing w:val="0"/>
          <w:w w:val="100"/>
          <w:sz w:val="32"/>
          <w:szCs w:val="32"/>
          <w:lang w:val="en-US" w:eastAsia="zh-CN"/>
        </w:rPr>
        <w:t>创新行政执法方式，广泛运用说服教育、劝导示范、警示告诫、指导约谈等非强制性执法手段。全面</w:t>
      </w:r>
      <w:r>
        <w:rPr>
          <w:rFonts w:hint="eastAsia" w:ascii="Times New Roman" w:hAnsi="Times New Roman" w:eastAsia="仿宋_GB2312" w:cs="Times New Roman"/>
          <w:b w:val="0"/>
          <w:i w:val="0"/>
          <w:caps w:val="0"/>
          <w:spacing w:val="0"/>
          <w:w w:val="100"/>
          <w:sz w:val="32"/>
          <w:szCs w:val="32"/>
          <w:lang w:val="en-US" w:eastAsia="zh-CN"/>
        </w:rPr>
        <w:t>落实</w:t>
      </w:r>
      <w:r>
        <w:rPr>
          <w:rFonts w:hint="default" w:ascii="Times New Roman" w:hAnsi="Times New Roman" w:eastAsia="仿宋_GB2312" w:cs="Times New Roman"/>
          <w:b w:val="0"/>
          <w:i w:val="0"/>
          <w:caps w:val="0"/>
          <w:spacing w:val="0"/>
          <w:w w:val="100"/>
          <w:sz w:val="32"/>
          <w:szCs w:val="32"/>
          <w:lang w:val="en-US" w:eastAsia="zh-CN"/>
        </w:rPr>
        <w:t>行政执法公示制度</w:t>
      </w:r>
      <w:r>
        <w:rPr>
          <w:rFonts w:hint="eastAsia" w:ascii="Times New Roman" w:hAnsi="Times New Roman" w:eastAsia="仿宋_GB2312" w:cs="Times New Roman"/>
          <w:b w:val="0"/>
          <w:i w:val="0"/>
          <w:caps w:val="0"/>
          <w:spacing w:val="0"/>
          <w:w w:val="100"/>
          <w:sz w:val="32"/>
          <w:szCs w:val="32"/>
          <w:lang w:val="en-US" w:eastAsia="zh-CN"/>
        </w:rPr>
        <w:t>，</w:t>
      </w:r>
      <w:r>
        <w:rPr>
          <w:rFonts w:hint="default" w:ascii="Times New Roman" w:hAnsi="Times New Roman" w:eastAsia="仿宋_GB2312" w:cs="Times New Roman"/>
          <w:b w:val="0"/>
          <w:i w:val="0"/>
          <w:caps w:val="0"/>
          <w:spacing w:val="0"/>
          <w:w w:val="100"/>
          <w:sz w:val="32"/>
          <w:szCs w:val="32"/>
          <w:lang w:val="en-US" w:eastAsia="zh-CN"/>
        </w:rPr>
        <w:t>及时准确主动公开行政执法主体、权限、依据、程序、救济渠道和随机抽查事项清单等信息</w:t>
      </w:r>
      <w:r>
        <w:rPr>
          <w:rFonts w:hint="eastAsia" w:ascii="Times New Roman" w:hAnsi="Times New Roman" w:eastAsia="仿宋_GB2312" w:cs="Times New Roman"/>
          <w:b w:val="0"/>
          <w:i w:val="0"/>
          <w:caps w:val="0"/>
          <w:spacing w:val="0"/>
          <w:w w:val="100"/>
          <w:sz w:val="32"/>
          <w:szCs w:val="32"/>
          <w:lang w:val="en-US" w:eastAsia="zh-CN"/>
        </w:rPr>
        <w:t>。</w:t>
      </w:r>
      <w:r>
        <w:rPr>
          <w:rFonts w:hint="default" w:ascii="Times New Roman" w:hAnsi="Times New Roman" w:eastAsia="仿宋_GB2312" w:cs="Times New Roman"/>
          <w:b w:val="0"/>
          <w:i w:val="0"/>
          <w:caps w:val="0"/>
          <w:spacing w:val="0"/>
          <w:w w:val="100"/>
          <w:sz w:val="32"/>
          <w:szCs w:val="32"/>
          <w:lang w:val="en-US" w:eastAsia="zh-CN"/>
        </w:rPr>
        <w:t>全面落实行政执法责任制，依法保障行政相对人陈述、申辩、提出听证申请等权利。</w:t>
      </w:r>
      <w:r>
        <w:rPr>
          <w:rFonts w:hint="eastAsia" w:ascii="Times New Roman" w:hAnsi="Times New Roman" w:eastAsia="仿宋_GB2312" w:cs="Times New Roman"/>
          <w:b w:val="0"/>
          <w:i w:val="0"/>
          <w:caps w:val="0"/>
          <w:spacing w:val="0"/>
          <w:w w:val="100"/>
          <w:sz w:val="32"/>
          <w:szCs w:val="32"/>
          <w:lang w:val="en-US" w:eastAsia="zh-CN"/>
        </w:rPr>
        <w:t>畅通</w:t>
      </w:r>
      <w:r>
        <w:rPr>
          <w:rFonts w:hint="default" w:ascii="Times New Roman" w:hAnsi="Times New Roman" w:eastAsia="仿宋_GB2312" w:cs="Times New Roman"/>
          <w:b w:val="0"/>
          <w:i w:val="0"/>
          <w:caps w:val="0"/>
          <w:spacing w:val="0"/>
          <w:w w:val="100"/>
          <w:sz w:val="32"/>
          <w:szCs w:val="32"/>
          <w:lang w:val="en-US" w:eastAsia="zh-CN"/>
        </w:rPr>
        <w:t>行政执法投诉举报、情况通报等</w:t>
      </w:r>
      <w:r>
        <w:rPr>
          <w:rFonts w:hint="eastAsia" w:ascii="Times New Roman" w:hAnsi="Times New Roman" w:eastAsia="仿宋_GB2312" w:cs="Times New Roman"/>
          <w:b w:val="0"/>
          <w:i w:val="0"/>
          <w:caps w:val="0"/>
          <w:spacing w:val="0"/>
          <w:w w:val="100"/>
          <w:sz w:val="32"/>
          <w:szCs w:val="32"/>
          <w:lang w:val="en-US" w:eastAsia="zh-CN"/>
        </w:rPr>
        <w:t>渠道</w:t>
      </w:r>
      <w:r>
        <w:rPr>
          <w:rFonts w:hint="default" w:ascii="Times New Roman" w:hAnsi="Times New Roman" w:eastAsia="仿宋_GB2312" w:cs="Times New Roman"/>
          <w:b w:val="0"/>
          <w:i w:val="0"/>
          <w:caps w:val="0"/>
          <w:spacing w:val="0"/>
          <w:w w:val="100"/>
          <w:sz w:val="32"/>
          <w:szCs w:val="32"/>
          <w:lang w:val="en-US" w:eastAsia="zh-CN"/>
        </w:rPr>
        <w:t>，及时查处群众举报违法行为</w:t>
      </w:r>
      <w:r>
        <w:rPr>
          <w:rFonts w:hint="eastAsia" w:ascii="Times New Roman" w:hAnsi="Times New Roman" w:eastAsia="仿宋_GB2312" w:cs="Times New Roman"/>
          <w:b w:val="0"/>
          <w:i w:val="0"/>
          <w:caps w:val="0"/>
          <w:spacing w:val="0"/>
          <w:w w:val="100"/>
          <w:sz w:val="32"/>
          <w:szCs w:val="32"/>
          <w:lang w:val="en-US" w:eastAsia="zh-CN"/>
        </w:rPr>
        <w:t>。</w:t>
      </w:r>
      <w:r>
        <w:rPr>
          <w:rFonts w:hint="default" w:ascii="Times New Roman" w:hAnsi="Times New Roman" w:eastAsia="仿宋_GB2312" w:cs="Times New Roman"/>
          <w:b w:val="0"/>
          <w:i w:val="0"/>
          <w:caps w:val="0"/>
          <w:spacing w:val="0"/>
          <w:w w:val="100"/>
          <w:sz w:val="32"/>
          <w:szCs w:val="32"/>
          <w:lang w:val="en-US" w:eastAsia="zh-CN"/>
        </w:rPr>
        <w:t>健全</w:t>
      </w:r>
      <w:r>
        <w:rPr>
          <w:rFonts w:hint="eastAsia" w:ascii="Times New Roman" w:hAnsi="Times New Roman" w:eastAsia="仿宋_GB2312" w:cs="Times New Roman"/>
          <w:b w:val="0"/>
          <w:i w:val="0"/>
          <w:caps w:val="0"/>
          <w:spacing w:val="0"/>
          <w:w w:val="100"/>
          <w:sz w:val="32"/>
          <w:szCs w:val="32"/>
          <w:lang w:val="en-US" w:eastAsia="zh-CN"/>
        </w:rPr>
        <w:t>完善</w:t>
      </w:r>
      <w:r>
        <w:rPr>
          <w:rFonts w:hint="default" w:ascii="Times New Roman" w:hAnsi="Times New Roman" w:eastAsia="仿宋_GB2312" w:cs="Times New Roman"/>
          <w:b w:val="0"/>
          <w:i w:val="0"/>
          <w:caps w:val="0"/>
          <w:spacing w:val="0"/>
          <w:w w:val="100"/>
          <w:sz w:val="32"/>
          <w:szCs w:val="32"/>
          <w:lang w:val="en-US" w:eastAsia="zh-CN"/>
        </w:rPr>
        <w:t>行政执法人员管理制度，加强行政执法保障</w:t>
      </w:r>
      <w:r>
        <w:rPr>
          <w:rFonts w:hint="eastAsia" w:ascii="Times New Roman" w:hAnsi="Times New Roman" w:eastAsia="仿宋_GB2312" w:cs="Times New Roman"/>
          <w:b w:val="0"/>
          <w:i w:val="0"/>
          <w:caps w:val="0"/>
          <w:spacing w:val="0"/>
          <w:w w:val="100"/>
          <w:sz w:val="32"/>
          <w:szCs w:val="32"/>
          <w:lang w:val="en-US" w:eastAsia="zh-CN"/>
        </w:rPr>
        <w:t>，督促执法人员积极参加执法培训考试，确保执法人员全部持证上岗，不断加强基层执法人员力量。</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baseline"/>
        <w:rPr>
          <w:rFonts w:hint="eastAsia" w:ascii="Times New Roman" w:hAnsi="Times New Roman" w:eastAsia="仿宋_GB2312" w:cs="Times New Roman"/>
          <w:b w:val="0"/>
          <w:i w:val="0"/>
          <w:caps w:val="0"/>
          <w:spacing w:val="0"/>
          <w:w w:val="100"/>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baseline"/>
        <w:rPr>
          <w:rFonts w:hint="eastAsia" w:ascii="Times New Roman" w:hAnsi="Times New Roman" w:eastAsia="仿宋_GB2312" w:cs="Times New Roman"/>
          <w:b w:val="0"/>
          <w:i w:val="0"/>
          <w:caps w:val="0"/>
          <w:spacing w:val="0"/>
          <w:w w:val="100"/>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baseline"/>
        <w:rPr>
          <w:rFonts w:hint="eastAsia" w:ascii="Times New Roman" w:hAnsi="Times New Roman" w:eastAsia="仿宋_GB2312" w:cs="Times New Roman"/>
          <w:b w:val="0"/>
          <w:i w:val="0"/>
          <w:caps w:val="0"/>
          <w:spacing w:val="0"/>
          <w:w w:val="100"/>
          <w:sz w:val="32"/>
          <w:szCs w:val="32"/>
          <w:lang w:val="en-US" w:eastAsia="zh-CN"/>
        </w:rPr>
      </w:pPr>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600" w:lineRule="exact"/>
        <w:ind w:firstLine="3840" w:firstLineChars="1200"/>
        <w:jc w:val="left"/>
        <w:textAlignment w:val="baseline"/>
        <w:rPr>
          <w:rFonts w:hint="eastAsia" w:ascii="Times New Roman" w:hAnsi="Times New Roman" w:eastAsia="仿宋_GB2312" w:cs="Times New Roman"/>
          <w:b w:val="0"/>
          <w:i w:val="0"/>
          <w:caps w:val="0"/>
          <w:color w:val="auto"/>
          <w:spacing w:val="0"/>
          <w:w w:val="100"/>
          <w:sz w:val="32"/>
          <w:szCs w:val="32"/>
          <w:lang w:val="en-US" w:eastAsia="zh-CN"/>
        </w:rPr>
      </w:pPr>
      <w:r>
        <w:rPr>
          <w:rFonts w:hint="eastAsia" w:ascii="Times New Roman" w:hAnsi="Times New Roman" w:eastAsia="仿宋_GB2312" w:cs="Times New Roman"/>
          <w:b w:val="0"/>
          <w:i w:val="0"/>
          <w:caps w:val="0"/>
          <w:color w:val="auto"/>
          <w:spacing w:val="0"/>
          <w:w w:val="100"/>
          <w:sz w:val="32"/>
          <w:szCs w:val="32"/>
          <w:lang w:val="en-US" w:eastAsia="zh-CN"/>
        </w:rPr>
        <w:t>中共盐池县高沙窝镇委员会</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baseline"/>
        <w:rPr>
          <w:rFonts w:hint="default" w:ascii="Times New Roman" w:hAnsi="Times New Roman" w:eastAsia="仿宋_GB2312" w:cs="Times New Roman"/>
          <w:b w:val="0"/>
          <w:i w:val="0"/>
          <w:caps w:val="0"/>
          <w:color w:val="auto"/>
          <w:spacing w:val="0"/>
          <w:w w:val="100"/>
          <w:sz w:val="32"/>
          <w:szCs w:val="32"/>
          <w:lang w:val="en-US" w:eastAsia="zh-CN"/>
        </w:rPr>
      </w:pPr>
      <w:r>
        <w:rPr>
          <w:rFonts w:hint="eastAsia" w:ascii="Times New Roman" w:hAnsi="Times New Roman" w:eastAsia="仿宋_GB2312" w:cs="Times New Roman"/>
          <w:b w:val="0"/>
          <w:i w:val="0"/>
          <w:caps w:val="0"/>
          <w:color w:val="auto"/>
          <w:spacing w:val="0"/>
          <w:w w:val="100"/>
          <w:sz w:val="32"/>
          <w:szCs w:val="32"/>
          <w:lang w:val="en-US" w:eastAsia="zh-CN"/>
        </w:rPr>
        <w:t xml:space="preserve">                        2023年1月10日</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baseline"/>
        <w:rPr>
          <w:rFonts w:hint="eastAsia" w:ascii="Times New Roman" w:hAnsi="Times New Roman" w:eastAsia="仿宋_GB2312" w:cs="Times New Roman"/>
          <w:b w:val="0"/>
          <w:i w:val="0"/>
          <w:caps w:val="0"/>
          <w:color w:val="auto"/>
          <w:spacing w:val="0"/>
          <w:w w:val="100"/>
          <w:sz w:val="32"/>
          <w:szCs w:val="32"/>
          <w:lang w:val="en-US" w:eastAsia="zh-CN"/>
        </w:rPr>
      </w:pPr>
    </w:p>
    <w:p>
      <w:pPr>
        <w:pStyle w:val="2"/>
        <w:rPr>
          <w:rFonts w:hint="eastAsia" w:ascii="Times New Roman" w:hAnsi="Times New Roman" w:eastAsia="仿宋_GB2312" w:cs="Times New Roman"/>
          <w:b w:val="0"/>
          <w:i w:val="0"/>
          <w:caps w:val="0"/>
          <w:color w:val="auto"/>
          <w:spacing w:val="0"/>
          <w:w w:val="100"/>
          <w:sz w:val="32"/>
          <w:szCs w:val="32"/>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mc:AlternateContent>
          <mc:Choice Requires="wps">
            <w:drawing>
              <wp:anchor distT="0" distB="0" distL="114300" distR="114300" simplePos="0" relativeHeight="251663360" behindDoc="0" locked="0" layoutInCell="1" allowOverlap="1">
                <wp:simplePos x="0" y="0"/>
                <wp:positionH relativeFrom="column">
                  <wp:posOffset>57785</wp:posOffset>
                </wp:positionH>
                <wp:positionV relativeFrom="paragraph">
                  <wp:posOffset>59055</wp:posOffset>
                </wp:positionV>
                <wp:extent cx="5429250" cy="10160"/>
                <wp:effectExtent l="0" t="0" r="0" b="0"/>
                <wp:wrapNone/>
                <wp:docPr id="3" name="直接连接符 3"/>
                <wp:cNvGraphicFramePr/>
                <a:graphic xmlns:a="http://schemas.openxmlformats.org/drawingml/2006/main">
                  <a:graphicData uri="http://schemas.microsoft.com/office/word/2010/wordprocessingShape">
                    <wps:wsp>
                      <wps:cNvCnPr/>
                      <wps:spPr>
                        <a:xfrm>
                          <a:off x="0" y="0"/>
                          <a:ext cx="5429250" cy="10160"/>
                        </a:xfrm>
                        <a:prstGeom prst="line">
                          <a:avLst/>
                        </a:prstGeom>
                        <a:ln w="1270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4.55pt;margin-top:4.65pt;height:0.8pt;width:427.5pt;z-index:251663360;mso-width-relative:page;mso-height-relative:page;" filled="f" stroked="t" coordsize="21600,21600" o:gfxdata="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0tWftUAAAAGAQAADwAAAAAAAAABACAAAAAiAAAAZHJzL2Rvd25yZXYu&#10;eG1sUEsBAhQAFAAAAAgAh07iQIA+V7j+AQAA8wMAAA4AAAAAAAAAAQAgAAAAJAEAAGRycy9lMm9E&#10;b2MueG1sUEsFBgAAAAAGAAYAWQEAAJQFAAAAAA==&#10;">
                <v:fill on="f" focussize="0,0"/>
                <v:stroke weight="1pt" color="#000000" joinstyle="round"/>
                <v:imagedata o:title=""/>
                <o:lock v:ext="edit" aspectratio="f"/>
              </v:line>
            </w:pict>
          </mc:Fallback>
        </mc:AlternateContent>
      </w:r>
      <w:r>
        <w:rPr>
          <w:rFonts w:hint="eastAsia" w:ascii="仿宋_GB2312" w:hAnsi="仿宋_GB2312" w:eastAsia="仿宋_GB2312" w:cs="仿宋_GB2312"/>
          <w:sz w:val="28"/>
          <w:szCs w:val="28"/>
          <w:lang w:val="en-US" w:eastAsia="zh-CN"/>
        </w:rPr>
        <w:t>抄报：县人民政府</w:t>
      </w:r>
    </w:p>
    <w:p>
      <w:pPr>
        <w:pStyle w:val="2"/>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default"/>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val="0"/>
          <w:bCs w:val="0"/>
          <w:kern w:val="2"/>
          <w:sz w:val="28"/>
          <w:szCs w:val="28"/>
          <w:lang w:val="en-US" w:eastAsia="zh-CN" w:bidi="ar-SA"/>
        </w:rPr>
        <w:t xml:space="preserve"> 抄送：县委全面依法治县委员会办公室</w:t>
      </w:r>
    </w:p>
    <w:p>
      <w:pPr>
        <w:keepNext w:val="0"/>
        <w:keepLines w:val="0"/>
        <w:pageBreakBefore w:val="0"/>
        <w:widowControl w:val="0"/>
        <w:kinsoku/>
        <w:wordWrap/>
        <w:overflowPunct/>
        <w:topLinePunct w:val="0"/>
        <w:autoSpaceDE/>
        <w:autoSpaceDN/>
        <w:bidi w:val="0"/>
        <w:adjustRightInd/>
        <w:snapToGrid/>
        <w:spacing w:line="660" w:lineRule="exact"/>
        <w:ind w:right="0" w:rightChars="0"/>
        <w:textAlignment w:val="auto"/>
        <w:rPr>
          <w:rFonts w:hint="default"/>
          <w:lang w:val="en-US" w:eastAsia="zh-CN"/>
        </w:rPr>
      </w:pPr>
      <w:r>
        <w:rPr>
          <w:rFonts w:hint="eastAsia" w:ascii="宋体" w:hAnsi="宋体" w:eastAsia="宋体" w:cs="宋体"/>
          <w:sz w:val="28"/>
          <w:szCs w:val="28"/>
        </w:rPr>
        <mc:AlternateContent>
          <mc:Choice Requires="wps">
            <w:drawing>
              <wp:anchor distT="0" distB="0" distL="114300" distR="114300" simplePos="0" relativeHeight="251662336" behindDoc="0" locked="0" layoutInCell="1" allowOverlap="1">
                <wp:simplePos x="0" y="0"/>
                <wp:positionH relativeFrom="column">
                  <wp:posOffset>57785</wp:posOffset>
                </wp:positionH>
                <wp:positionV relativeFrom="paragraph">
                  <wp:posOffset>61595</wp:posOffset>
                </wp:positionV>
                <wp:extent cx="5429250" cy="10160"/>
                <wp:effectExtent l="0" t="0" r="0" b="0"/>
                <wp:wrapNone/>
                <wp:docPr id="4" name="直接连接符 4"/>
                <wp:cNvGraphicFramePr/>
                <a:graphic xmlns:a="http://schemas.openxmlformats.org/drawingml/2006/main">
                  <a:graphicData uri="http://schemas.microsoft.com/office/word/2010/wordprocessingShape">
                    <wps:wsp>
                      <wps:cNvCnPr/>
                      <wps:spPr>
                        <a:xfrm>
                          <a:off x="0" y="0"/>
                          <a:ext cx="5429250" cy="10160"/>
                        </a:xfrm>
                        <a:prstGeom prst="line">
                          <a:avLst/>
                        </a:prstGeom>
                        <a:ln w="1270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4.55pt;margin-top:4.85pt;height:0.8pt;width:427.5pt;z-index:251662336;mso-width-relative:page;mso-height-relative:page;" filled="f" stroked="t" coordsize="21600,21600" o:gfxdata="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jN0XtUAAAAGAQAADwAAAAAAAAABACAAAAAiAAAAZHJzL2Rvd25yZXYu&#10;eG1sUEsBAhQAFAAAAAgAh07iQCL6V7P+AQAA8wMAAA4AAAAAAAAAAQAgAAAAJAEAAGRycy9lMm9E&#10;b2MueG1sUEsFBgAAAAAGAAYAWQEAAJQFAAAAAA==&#10;">
                <v:fill on="f" focussize="0,0"/>
                <v:stroke weight="1pt" color="#000000" joinstyle="round"/>
                <v:imagedata o:title=""/>
                <o:lock v:ext="edit" aspectratio="f"/>
              </v:line>
            </w:pict>
          </mc:Fallback>
        </mc:AlternateContent>
      </w:r>
      <w:r>
        <w:rPr>
          <w:rFonts w:hint="eastAsia" w:ascii="宋体" w:hAnsi="宋体" w:eastAsia="宋体" w:cs="宋体"/>
          <w:sz w:val="28"/>
          <w:szCs w:val="28"/>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441960</wp:posOffset>
                </wp:positionV>
                <wp:extent cx="5438775" cy="8890"/>
                <wp:effectExtent l="0" t="6350" r="9525" b="13335"/>
                <wp:wrapNone/>
                <wp:docPr id="5" name="直接连接符 5"/>
                <wp:cNvGraphicFramePr/>
                <a:graphic xmlns:a="http://schemas.openxmlformats.org/drawingml/2006/main">
                  <a:graphicData uri="http://schemas.microsoft.com/office/word/2010/wordprocessingShape">
                    <wps:wsp>
                      <wps:cNvCnPr/>
                      <wps:spPr>
                        <a:xfrm flipV="1">
                          <a:off x="0" y="0"/>
                          <a:ext cx="5438775" cy="8890"/>
                        </a:xfrm>
                        <a:prstGeom prst="line">
                          <a:avLst/>
                        </a:prstGeom>
                        <a:ln w="1270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4.2pt;margin-top:34.8pt;height:0.7pt;width:428.25pt;z-index:251661312;mso-width-relative:page;mso-height-relative:page;" filled="f" stroked="t" coordsize="21600,21600" o:gfxdata="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&#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6st0XXAAAABwEAAA8AAAAAAAAAAQAgAAAAIgAAAGRy&#10;cy9kb3ducmV2LnhtbFBLAQIUABQAAAAIAIdO4kBNrYNWBgIAAPwDAAAOAAAAAAAAAAEAIAAAACYB&#10;AABkcnMvZTJvRG9jLnhtbFBLBQYAAAAABgAGAFkBAACeBQAAAAA=&#10;">
                <v:fill on="f" focussize="0,0"/>
                <v:stroke weight="1pt" color="#000000" joinstyle="round"/>
                <v:imagedata o:title=""/>
                <o:lock v:ext="edit" aspectratio="f"/>
              </v:line>
            </w:pict>
          </mc:Fallback>
        </mc:AlternateContent>
      </w:r>
      <w:r>
        <w:rPr>
          <w:rFonts w:hint="eastAsia" w:ascii="宋体" w:hAnsi="宋体" w:cs="宋体"/>
          <w:sz w:val="28"/>
          <w:szCs w:val="28"/>
          <w:lang w:val="en-US" w:eastAsia="zh-CN"/>
        </w:rPr>
        <w:t xml:space="preserve">  </w:t>
      </w:r>
      <w:r>
        <w:rPr>
          <w:rFonts w:hint="eastAsia" w:ascii="仿宋_GB2312" w:hAnsi="仿宋_GB2312" w:eastAsia="仿宋_GB2312" w:cs="仿宋_GB2312"/>
          <w:sz w:val="28"/>
          <w:szCs w:val="28"/>
          <w:lang w:eastAsia="zh-CN"/>
        </w:rPr>
        <w:t>高沙窝镇综合</w:t>
      </w:r>
      <w:r>
        <w:rPr>
          <w:rFonts w:hint="eastAsia" w:ascii="仿宋_GB2312" w:hAnsi="仿宋_GB2312" w:eastAsia="仿宋_GB2312" w:cs="仿宋_GB2312"/>
          <w:sz w:val="28"/>
          <w:szCs w:val="28"/>
        </w:rPr>
        <w:t xml:space="preserve">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日印发</w:t>
      </w:r>
    </w:p>
    <w:p>
      <w:pPr>
        <w:rPr>
          <w:rFonts w:hint="eastAsia"/>
          <w:lang w:val="en-US" w:eastAsia="zh-CN"/>
        </w:rPr>
      </w:pPr>
    </w:p>
    <w:sectPr>
      <w:footerReference r:id="rId3" w:type="default"/>
      <w:pgSz w:w="11906" w:h="16838"/>
      <w:pgMar w:top="1417" w:right="1531" w:bottom="1417"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color w:val="000000" w:themeColor="text1"/>
                              <w:sz w:val="28"/>
                              <w:szCs w:val="44"/>
                              <w14:textFill>
                                <w14:solidFill>
                                  <w14:schemeClr w14:val="tx1"/>
                                </w14:solidFill>
                              </w14:textFill>
                            </w:rPr>
                          </w:pPr>
                          <w:r>
                            <w:rPr>
                              <w:rFonts w:hint="default" w:ascii="Times New Roman" w:hAnsi="Times New Roman" w:cs="Times New Roman"/>
                              <w:color w:val="000000" w:themeColor="text1"/>
                              <w:sz w:val="28"/>
                              <w:szCs w:val="44"/>
                              <w14:textFill>
                                <w14:solidFill>
                                  <w14:schemeClr w14:val="tx1"/>
                                </w14:solidFill>
                              </w14:textFill>
                            </w:rPr>
                            <w:t xml:space="preserve">— </w:t>
                          </w:r>
                          <w:r>
                            <w:rPr>
                              <w:rFonts w:hint="default" w:ascii="Times New Roman" w:hAnsi="Times New Roman" w:cs="Times New Roman"/>
                              <w:color w:val="000000" w:themeColor="text1"/>
                              <w:sz w:val="28"/>
                              <w:szCs w:val="44"/>
                              <w14:textFill>
                                <w14:solidFill>
                                  <w14:schemeClr w14:val="tx1"/>
                                </w14:solidFill>
                              </w14:textFill>
                            </w:rPr>
                            <w:fldChar w:fldCharType="begin"/>
                          </w:r>
                          <w:r>
                            <w:rPr>
                              <w:rFonts w:hint="default" w:ascii="Times New Roman" w:hAnsi="Times New Roman" w:cs="Times New Roman"/>
                              <w:color w:val="000000" w:themeColor="text1"/>
                              <w:sz w:val="28"/>
                              <w:szCs w:val="44"/>
                              <w14:textFill>
                                <w14:solidFill>
                                  <w14:schemeClr w14:val="tx1"/>
                                </w14:solidFill>
                              </w14:textFill>
                            </w:rPr>
                            <w:instrText xml:space="preserve"> PAGE  \* MERGEFORMAT </w:instrText>
                          </w:r>
                          <w:r>
                            <w:rPr>
                              <w:rFonts w:hint="default" w:ascii="Times New Roman" w:hAnsi="Times New Roman" w:cs="Times New Roman"/>
                              <w:color w:val="000000" w:themeColor="text1"/>
                              <w:sz w:val="28"/>
                              <w:szCs w:val="44"/>
                              <w14:textFill>
                                <w14:solidFill>
                                  <w14:schemeClr w14:val="tx1"/>
                                </w14:solidFill>
                              </w14:textFill>
                            </w:rPr>
                            <w:fldChar w:fldCharType="separate"/>
                          </w:r>
                          <w:r>
                            <w:rPr>
                              <w:rFonts w:hint="default" w:ascii="Times New Roman" w:hAnsi="Times New Roman" w:cs="Times New Roman"/>
                              <w:color w:val="000000" w:themeColor="text1"/>
                              <w:sz w:val="28"/>
                              <w:szCs w:val="44"/>
                              <w14:textFill>
                                <w14:solidFill>
                                  <w14:schemeClr w14:val="tx1"/>
                                </w14:solidFill>
                              </w14:textFill>
                            </w:rPr>
                            <w:t>- 1 -</w:t>
                          </w:r>
                          <w:r>
                            <w:rPr>
                              <w:rFonts w:hint="default" w:ascii="Times New Roman" w:hAnsi="Times New Roman" w:cs="Times New Roman"/>
                              <w:color w:val="000000" w:themeColor="text1"/>
                              <w:sz w:val="28"/>
                              <w:szCs w:val="44"/>
                              <w14:textFill>
                                <w14:solidFill>
                                  <w14:schemeClr w14:val="tx1"/>
                                </w14:solidFill>
                              </w14:textFill>
                            </w:rPr>
                            <w:fldChar w:fldCharType="end"/>
                          </w:r>
                          <w:r>
                            <w:rPr>
                              <w:rFonts w:hint="default" w:ascii="Times New Roman" w:hAnsi="Times New Roman" w:cs="Times New Roman"/>
                              <w:color w:val="000000" w:themeColor="text1"/>
                              <w:sz w:val="28"/>
                              <w:szCs w:val="44"/>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color w:val="000000" w:themeColor="text1"/>
                        <w:sz w:val="28"/>
                        <w:szCs w:val="44"/>
                        <w14:textFill>
                          <w14:solidFill>
                            <w14:schemeClr w14:val="tx1"/>
                          </w14:solidFill>
                        </w14:textFill>
                      </w:rPr>
                    </w:pPr>
                    <w:r>
                      <w:rPr>
                        <w:rFonts w:hint="default" w:ascii="Times New Roman" w:hAnsi="Times New Roman" w:cs="Times New Roman"/>
                        <w:color w:val="000000" w:themeColor="text1"/>
                        <w:sz w:val="28"/>
                        <w:szCs w:val="44"/>
                        <w14:textFill>
                          <w14:solidFill>
                            <w14:schemeClr w14:val="tx1"/>
                          </w14:solidFill>
                        </w14:textFill>
                      </w:rPr>
                      <w:t xml:space="preserve">— </w:t>
                    </w:r>
                    <w:r>
                      <w:rPr>
                        <w:rFonts w:hint="default" w:ascii="Times New Roman" w:hAnsi="Times New Roman" w:cs="Times New Roman"/>
                        <w:color w:val="000000" w:themeColor="text1"/>
                        <w:sz w:val="28"/>
                        <w:szCs w:val="44"/>
                        <w14:textFill>
                          <w14:solidFill>
                            <w14:schemeClr w14:val="tx1"/>
                          </w14:solidFill>
                        </w14:textFill>
                      </w:rPr>
                      <w:fldChar w:fldCharType="begin"/>
                    </w:r>
                    <w:r>
                      <w:rPr>
                        <w:rFonts w:hint="default" w:ascii="Times New Roman" w:hAnsi="Times New Roman" w:cs="Times New Roman"/>
                        <w:color w:val="000000" w:themeColor="text1"/>
                        <w:sz w:val="28"/>
                        <w:szCs w:val="44"/>
                        <w14:textFill>
                          <w14:solidFill>
                            <w14:schemeClr w14:val="tx1"/>
                          </w14:solidFill>
                        </w14:textFill>
                      </w:rPr>
                      <w:instrText xml:space="preserve"> PAGE  \* MERGEFORMAT </w:instrText>
                    </w:r>
                    <w:r>
                      <w:rPr>
                        <w:rFonts w:hint="default" w:ascii="Times New Roman" w:hAnsi="Times New Roman" w:cs="Times New Roman"/>
                        <w:color w:val="000000" w:themeColor="text1"/>
                        <w:sz w:val="28"/>
                        <w:szCs w:val="44"/>
                        <w14:textFill>
                          <w14:solidFill>
                            <w14:schemeClr w14:val="tx1"/>
                          </w14:solidFill>
                        </w14:textFill>
                      </w:rPr>
                      <w:fldChar w:fldCharType="separate"/>
                    </w:r>
                    <w:r>
                      <w:rPr>
                        <w:rFonts w:hint="default" w:ascii="Times New Roman" w:hAnsi="Times New Roman" w:cs="Times New Roman"/>
                        <w:color w:val="000000" w:themeColor="text1"/>
                        <w:sz w:val="28"/>
                        <w:szCs w:val="44"/>
                        <w14:textFill>
                          <w14:solidFill>
                            <w14:schemeClr w14:val="tx1"/>
                          </w14:solidFill>
                        </w14:textFill>
                      </w:rPr>
                      <w:t>- 1 -</w:t>
                    </w:r>
                    <w:r>
                      <w:rPr>
                        <w:rFonts w:hint="default" w:ascii="Times New Roman" w:hAnsi="Times New Roman" w:cs="Times New Roman"/>
                        <w:color w:val="000000" w:themeColor="text1"/>
                        <w:sz w:val="28"/>
                        <w:szCs w:val="44"/>
                        <w14:textFill>
                          <w14:solidFill>
                            <w14:schemeClr w14:val="tx1"/>
                          </w14:solidFill>
                        </w14:textFill>
                      </w:rPr>
                      <w:fldChar w:fldCharType="end"/>
                    </w:r>
                    <w:r>
                      <w:rPr>
                        <w:rFonts w:hint="default" w:ascii="Times New Roman" w:hAnsi="Times New Roman" w:cs="Times New Roman"/>
                        <w:color w:val="000000" w:themeColor="text1"/>
                        <w:sz w:val="28"/>
                        <w:szCs w:val="44"/>
                        <w14:textFill>
                          <w14:solidFill>
                            <w14:schemeClr w14:val="tx1"/>
                          </w14:solidFill>
                        </w14:textFill>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NDZjMDJlZjExMTYyNGI5MjkwZWU5YWI2MWJjZGEifQ=="/>
  </w:docVars>
  <w:rsids>
    <w:rsidRoot w:val="00000000"/>
    <w:rsid w:val="04F855F6"/>
    <w:rsid w:val="071F16B3"/>
    <w:rsid w:val="0B00275A"/>
    <w:rsid w:val="0C7B7159"/>
    <w:rsid w:val="0D5D758D"/>
    <w:rsid w:val="0ECF530D"/>
    <w:rsid w:val="17C756F8"/>
    <w:rsid w:val="1D9C4564"/>
    <w:rsid w:val="1F4304FF"/>
    <w:rsid w:val="1FF56A17"/>
    <w:rsid w:val="241A1A1E"/>
    <w:rsid w:val="249E1DE6"/>
    <w:rsid w:val="26153389"/>
    <w:rsid w:val="28C01A4F"/>
    <w:rsid w:val="2AB817EC"/>
    <w:rsid w:val="2C1B766F"/>
    <w:rsid w:val="2FC242FE"/>
    <w:rsid w:val="30417BB6"/>
    <w:rsid w:val="313B58DE"/>
    <w:rsid w:val="344E4C25"/>
    <w:rsid w:val="34975C7C"/>
    <w:rsid w:val="34F053F7"/>
    <w:rsid w:val="38D429AD"/>
    <w:rsid w:val="39894589"/>
    <w:rsid w:val="3A3000B7"/>
    <w:rsid w:val="3BE16025"/>
    <w:rsid w:val="4207191B"/>
    <w:rsid w:val="43160791"/>
    <w:rsid w:val="43E31A3B"/>
    <w:rsid w:val="45397140"/>
    <w:rsid w:val="48723AA9"/>
    <w:rsid w:val="493C6A78"/>
    <w:rsid w:val="496430C7"/>
    <w:rsid w:val="4F6B5360"/>
    <w:rsid w:val="4F786330"/>
    <w:rsid w:val="50B05655"/>
    <w:rsid w:val="5B3620C1"/>
    <w:rsid w:val="5BC81795"/>
    <w:rsid w:val="5D83440B"/>
    <w:rsid w:val="699E02E9"/>
    <w:rsid w:val="6CFA2815"/>
    <w:rsid w:val="6EF74724"/>
    <w:rsid w:val="7187078B"/>
    <w:rsid w:val="76194CAE"/>
    <w:rsid w:val="768C39E0"/>
    <w:rsid w:val="78F5776E"/>
    <w:rsid w:val="7A5C0F3B"/>
    <w:rsid w:val="7A7255A6"/>
    <w:rsid w:val="7D1312C2"/>
    <w:rsid w:val="7F016EF9"/>
    <w:rsid w:val="7F086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bCs/>
      <w:sz w:val="32"/>
      <w:szCs w:val="32"/>
    </w:rPr>
  </w:style>
  <w:style w:type="paragraph" w:styleId="3">
    <w:name w:val="Normal Indent"/>
    <w:basedOn w:val="1"/>
    <w:next w:val="1"/>
    <w:qFormat/>
    <w:uiPriority w:val="0"/>
    <w:pPr>
      <w:ind w:firstLine="420" w:firstLineChars="2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3816</Words>
  <Characters>3888</Characters>
  <Lines>0</Lines>
  <Paragraphs>0</Paragraphs>
  <TotalTime>10</TotalTime>
  <ScaleCrop>false</ScaleCrop>
  <LinksUpToDate>false</LinksUpToDate>
  <CharactersWithSpaces>3939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2023-01-04T03:32:00Z</dcterms:created>
  <dc:creator>Administrator</dc:creator>
  <cp:lastModifiedBy>DELL</cp:lastModifiedBy>
  <cp:lastPrinted>2023-01-12T01:34:00Z</cp:lastPrinted>
  <dcterms:modified xsi:type="dcterms:W3CDTF">2023-04-21T01:39:08Z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034C0E90EE45471D980EF2C2475AAF61_13</vt:lpwstr>
  </property>
</Properties>
</file>