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FF0000"/>
          <w:w w:val="80"/>
          <w:sz w:val="120"/>
          <w:szCs w:val="120"/>
        </w:rPr>
      </w:pPr>
      <w:r>
        <w:rPr>
          <w:rFonts w:eastAsia="方正小标宋简体"/>
          <w:color w:val="FF0000"/>
          <w:w w:val="80"/>
          <w:sz w:val="120"/>
          <w:szCs w:val="120"/>
        </w:rPr>
        <w:t>盐 池 县</w:t>
      </w:r>
    </w:p>
    <w:p>
      <w:pPr>
        <w:jc w:val="center"/>
        <w:rPr>
          <w:rFonts w:eastAsia="方正小标宋简体"/>
          <w:color w:val="FF0000"/>
          <w:w w:val="66"/>
          <w:sz w:val="120"/>
          <w:szCs w:val="120"/>
        </w:rPr>
      </w:pPr>
      <w:r>
        <w:rPr>
          <w:rFonts w:eastAsia="方正小标宋简体"/>
          <w:color w:val="FF0000"/>
          <w:w w:val="66"/>
          <w:sz w:val="120"/>
          <w:szCs w:val="120"/>
        </w:rPr>
        <w:t>麻黄山乡人民政府文件</w:t>
      </w:r>
    </w:p>
    <w:p>
      <w:pPr>
        <w:spacing w:line="400" w:lineRule="exact"/>
        <w:ind w:firstLine="320" w:firstLineChars="100"/>
        <w:rPr>
          <w:rFonts w:hint="default" w:ascii="Times New Roman" w:hAnsi="Times New Roman" w:eastAsia="仿宋_GB2312" w:cs="Times New Roman"/>
          <w:sz w:val="32"/>
          <w:szCs w:val="32"/>
        </w:rPr>
      </w:pPr>
    </w:p>
    <w:p>
      <w:pPr>
        <w:spacing w:line="400" w:lineRule="exact"/>
        <w:ind w:firstLine="320" w:firstLineChars="100"/>
        <w:rPr>
          <w:rFonts w:eastAsia="楷体_GB2312"/>
          <w:sz w:val="32"/>
          <w:szCs w:val="32"/>
        </w:rPr>
      </w:pPr>
      <w:r>
        <w:rPr>
          <w:rFonts w:hint="default" w:ascii="Times New Roman" w:hAnsi="Times New Roman" w:eastAsia="仿宋_GB2312" w:cs="Times New Roman"/>
          <w:sz w:val="32"/>
          <w:szCs w:val="32"/>
        </w:rPr>
        <w:t>盐麻政发〔20</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 xml:space="preserve">号 </w:t>
      </w:r>
      <w:r>
        <w:rPr>
          <w:rFonts w:eastAsia="楷体_GB2312"/>
          <w:sz w:val="32"/>
          <w:szCs w:val="32"/>
        </w:rPr>
        <w:t xml:space="preserve">         </w:t>
      </w:r>
      <w:r>
        <w:rPr>
          <w:rFonts w:hint="eastAsia" w:eastAsia="楷体_GB2312"/>
          <w:sz w:val="32"/>
          <w:szCs w:val="32"/>
          <w:lang w:val="en-US" w:eastAsia="zh-CN"/>
        </w:rPr>
        <w:t xml:space="preserve"> </w:t>
      </w:r>
      <w:r>
        <w:rPr>
          <w:rFonts w:eastAsia="楷体_GB2312"/>
          <w:sz w:val="32"/>
          <w:szCs w:val="32"/>
        </w:rPr>
        <w:t xml:space="preserve">  </w:t>
      </w:r>
      <w:r>
        <w:rPr>
          <w:rFonts w:hint="eastAsia" w:eastAsia="楷体_GB2312"/>
          <w:sz w:val="32"/>
          <w:szCs w:val="32"/>
          <w:lang w:val="en-US" w:eastAsia="zh-CN"/>
        </w:rPr>
        <w:t xml:space="preserve"> </w:t>
      </w:r>
      <w:r>
        <w:rPr>
          <w:rFonts w:eastAsia="楷体_GB2312"/>
          <w:sz w:val="32"/>
          <w:szCs w:val="32"/>
        </w:rPr>
        <w:t xml:space="preserve">   签发人：</w:t>
      </w:r>
      <w:r>
        <w:rPr>
          <w:rFonts w:hint="eastAsia" w:eastAsia="楷体_GB2312"/>
          <w:sz w:val="32"/>
          <w:szCs w:val="32"/>
          <w:lang w:val="en-US" w:eastAsia="zh-CN"/>
        </w:rPr>
        <w:t>孙世瑞</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eastAsia="仿宋_GB2312"/>
          <w:color w:val="FFFFFF"/>
          <w:sz w:val="32"/>
          <w:szCs w:val="32"/>
          <w:u w:val="thick"/>
          <w:lang w:val="zh-CN" w:eastAsia="zh-CN"/>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190500</wp:posOffset>
                </wp:positionV>
                <wp:extent cx="5592445" cy="1905"/>
                <wp:effectExtent l="0" t="13970" r="8255" b="22225"/>
                <wp:wrapNone/>
                <wp:docPr id="4" name="直接连接符 4"/>
                <wp:cNvGraphicFramePr/>
                <a:graphic xmlns:a="http://schemas.openxmlformats.org/drawingml/2006/main">
                  <a:graphicData uri="http://schemas.microsoft.com/office/word/2010/wordprocessingShape">
                    <wps:wsp>
                      <wps:cNvCnPr/>
                      <wps:spPr>
                        <a:xfrm>
                          <a:off x="0" y="0"/>
                          <a:ext cx="5592445"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15pt;height:0.15pt;width:440.35pt;z-index:251663360;mso-width-relative:page;mso-height-relative:page;" filled="f" stroked="t" coordsize="21600,21600" o:gfxdata="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WvkP1QAAAAcBAAAPAAAAAAAAAAEAIAAAACIAAABkcnMvZG93bnJldi54bWxQ&#10;SwECFAAUAAAACACHTuJAhYic5/oBAADoAwAADgAAAAAAAAABACAAAAAkAQAAZHJzL2Uyb0RvYy54&#10;bWxQSwUGAAAAAAYABgBZAQAAkA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麻黄山乡人民政府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w:t>
      </w: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年度</w:t>
      </w:r>
      <w:r>
        <w:rPr>
          <w:rFonts w:hint="eastAsia" w:ascii="Times New Roman" w:hAnsi="Times New Roman" w:eastAsia="方正小标宋简体" w:cs="Times New Roman"/>
          <w:color w:val="auto"/>
          <w:sz w:val="44"/>
          <w:szCs w:val="44"/>
          <w:lang w:val="en-US" w:eastAsia="zh-CN"/>
        </w:rPr>
        <w:t>法治政府建设</w:t>
      </w:r>
      <w:r>
        <w:rPr>
          <w:rFonts w:hint="default" w:ascii="Times New Roman" w:hAnsi="Times New Roman" w:eastAsia="方正小标宋简体" w:cs="Times New Roman"/>
          <w:color w:val="auto"/>
          <w:sz w:val="44"/>
          <w:szCs w:val="44"/>
          <w:lang w:eastAsia="zh-CN"/>
        </w:rPr>
        <w:t>情况的</w:t>
      </w:r>
      <w:r>
        <w:rPr>
          <w:rFonts w:hint="eastAsia" w:ascii="Times New Roman" w:hAnsi="Times New Roman" w:eastAsia="方正小标宋简体" w:cs="Times New Roman"/>
          <w:color w:val="auto"/>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b w:val="0"/>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县委：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根据县委依法治县办发《关于认真做好2022年法治政府建设情况报告的通知》文件要求，现将</w:t>
      </w:r>
      <w:r>
        <w:rPr>
          <w:rFonts w:hint="default" w:ascii="Times New Roman" w:hAnsi="Times New Roman" w:eastAsia="仿宋_GB2312" w:cs="Times New Roman"/>
          <w:sz w:val="32"/>
          <w:szCs w:val="32"/>
        </w:rPr>
        <w:t>我乡</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年法治政府建设情况随文呈上，请审阅。</w:t>
      </w:r>
    </w:p>
    <w:p>
      <w:pPr>
        <w:pStyle w:val="1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rPr>
      </w:pPr>
    </w:p>
    <w:p>
      <w:pPr>
        <w:pStyle w:val="1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val="0"/>
          <w:bCs/>
          <w:color w:val="000000"/>
          <w:kern w:val="2"/>
          <w:sz w:val="32"/>
          <w:szCs w:val="32"/>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 xml:space="preserve">                      </w:t>
      </w:r>
      <w:r>
        <w:rPr>
          <w:rFonts w:hint="default" w:ascii="Times New Roman" w:hAnsi="Times New Roman" w:eastAsia="仿宋_GB2312" w:cs="Times New Roman"/>
          <w:b w:val="0"/>
          <w:bCs/>
          <w:color w:val="000000"/>
          <w:kern w:val="2"/>
          <w:sz w:val="32"/>
          <w:szCs w:val="32"/>
          <w:lang w:val="en-US" w:eastAsia="zh-CN" w:bidi="ar-SA"/>
        </w:rPr>
        <w:t>麻黄山乡</w:t>
      </w:r>
      <w:r>
        <w:rPr>
          <w:rFonts w:hint="eastAsia" w:ascii="Times New Roman" w:hAnsi="Times New Roman" w:eastAsia="仿宋_GB2312" w:cs="Times New Roman"/>
          <w:b w:val="0"/>
          <w:bCs/>
          <w:color w:val="000000"/>
          <w:kern w:val="2"/>
          <w:sz w:val="32"/>
          <w:szCs w:val="32"/>
          <w:lang w:val="en-US" w:eastAsia="zh-CN" w:bidi="ar-SA"/>
        </w:rPr>
        <w:t>人民政府</w:t>
      </w:r>
    </w:p>
    <w:p>
      <w:pPr>
        <w:pStyle w:val="1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 xml:space="preserve">                      </w:t>
      </w:r>
      <w:r>
        <w:rPr>
          <w:rFonts w:hint="default" w:ascii="Times New Roman" w:hAnsi="Times New Roman" w:eastAsia="仿宋_GB2312" w:cs="Times New Roman"/>
          <w:b w:val="0"/>
          <w:bCs/>
          <w:color w:val="000000"/>
          <w:kern w:val="2"/>
          <w:sz w:val="32"/>
          <w:szCs w:val="32"/>
          <w:lang w:val="en-US" w:eastAsia="zh-CN" w:bidi="ar-SA"/>
        </w:rPr>
        <w:t>202</w:t>
      </w:r>
      <w:r>
        <w:rPr>
          <w:rFonts w:hint="eastAsia" w:ascii="Times New Roman" w:hAnsi="Times New Roman" w:eastAsia="仿宋_GB2312" w:cs="Times New Roman"/>
          <w:b w:val="0"/>
          <w:bCs/>
          <w:color w:val="000000"/>
          <w:kern w:val="2"/>
          <w:sz w:val="32"/>
          <w:szCs w:val="32"/>
          <w:lang w:val="en-US" w:eastAsia="zh-CN" w:bidi="ar-SA"/>
        </w:rPr>
        <w:t>3</w:t>
      </w:r>
      <w:r>
        <w:rPr>
          <w:rFonts w:hint="default" w:ascii="Times New Roman" w:hAnsi="Times New Roman" w:eastAsia="仿宋_GB2312" w:cs="Times New Roman"/>
          <w:b w:val="0"/>
          <w:bCs/>
          <w:color w:val="000000"/>
          <w:kern w:val="2"/>
          <w:sz w:val="32"/>
          <w:szCs w:val="32"/>
          <w:lang w:val="en-US" w:eastAsia="zh-CN" w:bidi="ar-SA"/>
        </w:rPr>
        <w:t>年</w:t>
      </w:r>
      <w:r>
        <w:rPr>
          <w:rFonts w:hint="eastAsia" w:ascii="Times New Roman" w:hAnsi="Times New Roman" w:eastAsia="仿宋_GB2312" w:cs="Times New Roman"/>
          <w:b w:val="0"/>
          <w:bCs/>
          <w:color w:val="000000"/>
          <w:kern w:val="2"/>
          <w:sz w:val="32"/>
          <w:szCs w:val="32"/>
          <w:lang w:val="en-US" w:eastAsia="zh-CN" w:bidi="ar-SA"/>
        </w:rPr>
        <w:t>1</w:t>
      </w:r>
      <w:r>
        <w:rPr>
          <w:rFonts w:hint="default" w:ascii="Times New Roman" w:hAnsi="Times New Roman" w:eastAsia="仿宋_GB2312" w:cs="Times New Roman"/>
          <w:b w:val="0"/>
          <w:bCs/>
          <w:color w:val="000000"/>
          <w:kern w:val="2"/>
          <w:sz w:val="32"/>
          <w:szCs w:val="32"/>
          <w:lang w:val="en-US" w:eastAsia="zh-CN" w:bidi="ar-SA"/>
        </w:rPr>
        <w:t>月1</w:t>
      </w:r>
      <w:r>
        <w:rPr>
          <w:rFonts w:hint="eastAsia" w:ascii="Times New Roman" w:hAnsi="Times New Roman" w:eastAsia="仿宋_GB2312" w:cs="Times New Roman"/>
          <w:b w:val="0"/>
          <w:bCs/>
          <w:color w:val="000000"/>
          <w:kern w:val="2"/>
          <w:sz w:val="32"/>
          <w:szCs w:val="32"/>
          <w:lang w:val="en-US" w:eastAsia="zh-CN" w:bidi="ar-SA"/>
        </w:rPr>
        <w:t>0</w:t>
      </w:r>
      <w:r>
        <w:rPr>
          <w:rFonts w:hint="default" w:ascii="Times New Roman" w:hAnsi="Times New Roman" w:eastAsia="仿宋_GB2312" w:cs="Times New Roman"/>
          <w:b w:val="0"/>
          <w:bCs/>
          <w:color w:val="000000"/>
          <w:kern w:val="2"/>
          <w:sz w:val="32"/>
          <w:szCs w:val="32"/>
          <w:lang w:val="en-US" w:eastAsia="zh-CN" w:bidi="ar-SA"/>
        </w:rPr>
        <w:t>日</w:t>
      </w:r>
    </w:p>
    <w:p>
      <w:pPr>
        <w:pStyle w:val="13"/>
        <w:keepNext w:val="0"/>
        <w:keepLines w:val="0"/>
        <w:pageBreakBefore w:val="0"/>
        <w:widowControl w:val="0"/>
        <w:kinsoku/>
        <w:wordWrap/>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pStyle w:val="13"/>
        <w:keepNext w:val="0"/>
        <w:keepLines w:val="0"/>
        <w:pageBreakBefore w:val="0"/>
        <w:kinsoku/>
        <w:overflowPunct/>
        <w:topLinePunct w:val="0"/>
        <w:bidi w:val="0"/>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after="0" w:line="580" w:lineRule="exact"/>
        <w:ind w:firstLine="280"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58420</wp:posOffset>
                </wp:positionV>
                <wp:extent cx="561594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15940" cy="0"/>
                        </a:xfrm>
                        <a:prstGeom prst="straightConnector1">
                          <a:avLst/>
                        </a:prstGeom>
                        <a:noFill/>
                        <a:ln w="9525" cap="flat" cmpd="sng" algn="ctr">
                          <a:solidFill>
                            <a:srgbClr val="000000">
                              <a:shade val="95000"/>
                              <a:satMod val="105000"/>
                            </a:srgbClr>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5pt;margin-top:4.6pt;height:0pt;width:442.2pt;z-index:251661312;mso-width-relative:page;mso-height-relative:page;" filled="f" stroked="t" coordsize="21600,21600" o:gfxdata="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6uEal&#10;1AAAAAUBAAAPAAAAAAAAAAEAIAAAACIAAABkcnMvZG93bnJldi54bWxQSwECFAAUAAAACACHTuJA&#10;jSu4aSUCAABJBAAADgAAAAAAAAABACAAAAAjAQAAZHJzL2Uyb0RvYy54bWxQSwUGAAAAAAYABgBZ&#10;AQAAug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lang w:eastAsia="zh-CN"/>
        </w:rPr>
        <w:t>抄送</w:t>
      </w:r>
      <w:r>
        <w:rPr>
          <w:rFonts w:hint="default" w:ascii="Times New Roman" w:hAnsi="Times New Roman" w:eastAsia="仿宋_GB2312" w:cs="Times New Roman"/>
          <w:sz w:val="28"/>
          <w:szCs w:val="28"/>
        </w:rPr>
        <w:t>：县</w:t>
      </w:r>
      <w:r>
        <w:rPr>
          <w:rFonts w:hint="eastAsia" w:ascii="Times New Roman" w:hAnsi="Times New Roman" w:eastAsia="仿宋_GB2312" w:cs="Times New Roman"/>
          <w:sz w:val="28"/>
          <w:szCs w:val="28"/>
          <w:lang w:val="en-US" w:eastAsia="zh-CN"/>
        </w:rPr>
        <w:t>人民政府、县委依法治县办</w:t>
      </w:r>
    </w:p>
    <w:p>
      <w:pPr>
        <w:keepNext w:val="0"/>
        <w:keepLines w:val="0"/>
        <w:pageBreakBefore w:val="0"/>
        <w:widowControl w:val="0"/>
        <w:kinsoku/>
        <w:wordWrap/>
        <w:overflowPunct/>
        <w:topLinePunct w:val="0"/>
        <w:bidi w:val="0"/>
        <w:spacing w:line="580" w:lineRule="exact"/>
        <w:ind w:firstLine="280" w:firstLineChars="100"/>
        <w:textAlignment w:val="auto"/>
        <w:rPr>
          <w:rFonts w:hint="default" w:ascii="Times New Roman" w:hAnsi="Times New Roman" w:eastAsia="仿宋_GB2312" w:cs="Times New Roman"/>
          <w:sz w:val="28"/>
          <w:szCs w:val="28"/>
          <w:lang w:eastAsia="zh-CN"/>
        </w:rPr>
        <w:sectPr>
          <w:footerReference r:id="rId3" w:type="default"/>
          <w:pgSz w:w="11906" w:h="16838"/>
          <w:pgMar w:top="1417" w:right="1474" w:bottom="1417" w:left="1587" w:header="851" w:footer="992" w:gutter="0"/>
          <w:pgNumType w:fmt="decimal"/>
          <w:cols w:space="425" w:num="1"/>
          <w:docGrid w:type="lines" w:linePitch="312" w:charSpace="0"/>
        </w:sectPr>
      </w:pPr>
      <w:r>
        <w:rPr>
          <w:rFonts w:hint="default" w:ascii="Times New Roman" w:hAnsi="Times New Roman" w:eastAsia="仿宋_GB2312" w:cs="Times New Roman"/>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46990</wp:posOffset>
                </wp:positionV>
                <wp:extent cx="561594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85pt;margin-top:3.7pt;height:0pt;width:442.2pt;z-index:251662336;mso-width-relative:page;mso-height-relative:page;" filled="f" stroked="t" coordsize="21600,21600" o:gfxdata="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LKd7tMAAAAFAQAADwAAAAAAAAABACAAAAAiAAAAZHJzL2Rvd25y&#10;ZXYueG1sUEsBAhQAFAAAAAgAh07iQFy9jKwDAgAA+gMAAA4AAAAAAAAAAQAgAAAAIg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398780</wp:posOffset>
                </wp:positionV>
                <wp:extent cx="561594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15940" cy="0"/>
                        </a:xfrm>
                        <a:prstGeom prst="straightConnector1">
                          <a:avLst/>
                        </a:prstGeom>
                        <a:noFill/>
                        <a:ln w="9525" cap="flat" cmpd="sng" algn="ctr">
                          <a:solidFill>
                            <a:srgbClr val="000000">
                              <a:shade val="95000"/>
                              <a:satMod val="105000"/>
                            </a:srgbClr>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9pt;margin-top:31.4pt;height:0pt;width:442.2pt;z-index:251660288;mso-width-relative:page;mso-height-relative:page;" filled="f" stroked="t" coordsize="21600,21600" o:gfxdata="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NAmH&#10;1AAAAAcBAAAPAAAAAAAAAAEAIAAAACIAAABkcnMvZG93bnJldi54bWxQSwECFAAUAAAACACHTuJA&#10;lv4rVyUCAABJBAAADgAAAAAAAAABACAAAAAjAQAAZHJzL2Uyb0RvYy54bWxQSwUGAAAAAAYABgBZ&#10;AQAAug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lang w:val="en-US" w:eastAsia="zh-CN"/>
        </w:rPr>
        <w:t>麻黄山乡综合办公室</w:t>
      </w: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日印发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eastAsia" w:ascii="Times New Roman" w:hAnsi="Times New Roman" w:eastAsia="方正小标宋简体" w:cs="Times New Roman"/>
          <w:sz w:val="44"/>
          <w:szCs w:val="52"/>
          <w:lang w:val="en-US" w:eastAsia="zh-CN"/>
        </w:rPr>
        <w:t>麻黄山乡人民政府</w:t>
      </w:r>
      <w:r>
        <w:rPr>
          <w:rFonts w:hint="default" w:ascii="Times New Roman" w:hAnsi="Times New Roman" w:eastAsia="方正小标宋简体" w:cs="Times New Roman"/>
          <w:sz w:val="44"/>
          <w:szCs w:val="52"/>
        </w:rPr>
        <w:t>关于2022年度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法治政府建设情况的报告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2022年，麻黄山乡坚持以习近平新时代中国特色社会主义思想为指导，深入学习习近平法治思想，</w:t>
      </w:r>
      <w:r>
        <w:rPr>
          <w:rFonts w:hint="default" w:ascii="Times New Roman" w:hAnsi="Times New Roman" w:eastAsia="仿宋_GB2312" w:cs="Times New Roman"/>
          <w:sz w:val="32"/>
          <w:szCs w:val="32"/>
          <w:lang w:val="en-US" w:eastAsia="zh-CN"/>
        </w:rPr>
        <w:t>积极贯彻落实党的十九届历次全会和二十大精神，</w:t>
      </w:r>
      <w:r>
        <w:rPr>
          <w:rFonts w:hint="default" w:ascii="Times New Roman" w:hAnsi="Times New Roman" w:eastAsia="仿宋_GB2312" w:cs="Times New Roman"/>
          <w:kern w:val="0"/>
          <w:sz w:val="32"/>
          <w:szCs w:val="32"/>
          <w:lang w:val="en-US" w:eastAsia="zh-CN" w:bidi="ar"/>
        </w:rPr>
        <w:t>立足新发展阶段，贯彻新发展理念，带领麻黄山乡领导班子</w:t>
      </w:r>
      <w:r>
        <w:rPr>
          <w:rFonts w:hint="default" w:ascii="Times New Roman" w:hAnsi="Times New Roman" w:eastAsia="仿宋_GB2312" w:cs="Times New Roman"/>
          <w:sz w:val="32"/>
          <w:szCs w:val="32"/>
          <w:lang w:val="en-US" w:eastAsia="zh-CN"/>
        </w:rPr>
        <w:t>，在县委、县政府的坚强领导下，高度重视、狠抓落实，扎实推进我乡法治建设规范化、精细化、高效化，麻黄山乡法治政府建设实现新进步、迈上新台阶。</w:t>
      </w:r>
      <w:r>
        <w:rPr>
          <w:rFonts w:hint="default" w:ascii="Times New Roman" w:hAnsi="Times New Roman" w:eastAsia="仿宋_GB2312" w:cs="Times New Roman"/>
          <w:kern w:val="0"/>
          <w:sz w:val="32"/>
          <w:szCs w:val="32"/>
          <w:lang w:val="en-US" w:eastAsia="zh-CN" w:bidi="ar"/>
        </w:rPr>
        <w:t>现将有关情况报告如下：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督查整改落实情况</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坚持目标导向、问题导向、结果导向，及时成</w:t>
      </w:r>
      <w:r>
        <w:rPr>
          <w:rFonts w:hint="default" w:ascii="Times New Roman" w:hAnsi="Times New Roman" w:eastAsia="仿宋_GB2312" w:cs="Times New Roman"/>
          <w:sz w:val="32"/>
          <w:szCs w:val="32"/>
          <w:lang w:val="en-US" w:eastAsia="zh-CN"/>
        </w:rPr>
        <w:t>立及时整改工作领导小组，制定整改工作方案，明确工作目标，落实工作任务。乡党委书记、政府乡长严格履行推进法制建设第一责任人职责，及时召开专题会议研究部署推进法治建设督查整改工作，紧紧围绕区市县督导反馈的具体问题，应改尽改，以点带面，以问题整改促工作，全面推进法治政府建设。对中</w:t>
      </w:r>
      <w:r>
        <w:rPr>
          <w:rFonts w:hint="default" w:ascii="Times New Roman" w:hAnsi="Times New Roman" w:eastAsia="仿宋_GB2312" w:cs="Times New Roman"/>
          <w:kern w:val="0"/>
          <w:sz w:val="32"/>
          <w:szCs w:val="32"/>
          <w:lang w:val="en-US" w:eastAsia="zh-CN" w:bidi="ar"/>
        </w:rPr>
        <w:t>央依法治国办实地督查、自治区党委全面依法治区委员会督查、自治区中期督导、自治区依法治区办督查、县委依法治县办督导检查均已全部整改完成，我乡将继续深入开展法治政府建设，提升依法行政能力，促进麻黄山乡各项事业更好更快发展。</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二、主要举措和成效</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（一）完善制度，学深悟透习近平法治思想。</w:t>
      </w:r>
      <w:r>
        <w:rPr>
          <w:rFonts w:hint="default" w:ascii="Times New Roman" w:hAnsi="Times New Roman" w:eastAsia="仿宋_GB2312" w:cs="Times New Roman"/>
          <w:kern w:val="0"/>
          <w:sz w:val="32"/>
          <w:szCs w:val="32"/>
          <w:lang w:val="en-US" w:eastAsia="zh-CN" w:bidi="ar"/>
        </w:rPr>
        <w:t>麻黄山乡将深入学习贯彻习近平法治思想作为重要政治任务，纳入全乡工作规划，</w:t>
      </w:r>
      <w:r>
        <w:rPr>
          <w:rFonts w:hint="default" w:ascii="Times New Roman" w:hAnsi="Times New Roman" w:eastAsia="仿宋_GB2312" w:cs="Times New Roman"/>
          <w:b/>
          <w:bCs/>
          <w:kern w:val="0"/>
          <w:sz w:val="32"/>
          <w:szCs w:val="32"/>
          <w:lang w:val="en-US" w:eastAsia="zh-CN" w:bidi="ar"/>
        </w:rPr>
        <w:t>一是</w:t>
      </w:r>
      <w:r>
        <w:rPr>
          <w:rFonts w:hint="default" w:ascii="Times New Roman" w:hAnsi="Times New Roman" w:eastAsia="仿宋_GB2312" w:cs="Times New Roman"/>
          <w:kern w:val="0"/>
          <w:sz w:val="32"/>
          <w:szCs w:val="32"/>
          <w:lang w:val="en-US" w:eastAsia="zh-CN" w:bidi="ar"/>
        </w:rPr>
        <w:t>聚焦领导干部这个“关键少数”，积极落实党委理论学习中心组学法制度，制定学法清单，根据《2022年麻黄山乡党委理论学习中心组学习计划》，开展学习4次，不断加强习近平法治思想的学习宣传和研究阐释。</w:t>
      </w:r>
      <w:r>
        <w:rPr>
          <w:rFonts w:hint="default" w:ascii="Times New Roman" w:hAnsi="Times New Roman" w:eastAsia="仿宋_GB2312" w:cs="Times New Roman"/>
          <w:b/>
          <w:bCs/>
          <w:kern w:val="0"/>
          <w:sz w:val="32"/>
          <w:szCs w:val="32"/>
          <w:lang w:val="en-US" w:eastAsia="zh-CN" w:bidi="ar"/>
        </w:rPr>
        <w:t>二是</w:t>
      </w:r>
      <w:r>
        <w:rPr>
          <w:rFonts w:hint="default" w:ascii="Times New Roman" w:hAnsi="Times New Roman" w:eastAsia="仿宋_GB2312" w:cs="Times New Roman"/>
          <w:kern w:val="0"/>
          <w:sz w:val="32"/>
          <w:szCs w:val="32"/>
          <w:lang w:val="en-US" w:eastAsia="zh-CN" w:bidi="ar"/>
        </w:rPr>
        <w:t>多批次全覆盖组织全乡党员机关干部学习培训，将习近平法治思想的学习列入乡干部理论学习的重点内容和全乡干部年度培训计划，探索实行“月学习、季讨论、年总结”机制，推进学法用法工作规范化、常态化、长效化。</w:t>
      </w:r>
      <w:r>
        <w:rPr>
          <w:rFonts w:hint="default" w:ascii="Times New Roman" w:hAnsi="Times New Roman" w:eastAsia="仿宋_GB2312" w:cs="Times New Roman"/>
          <w:b/>
          <w:bCs/>
          <w:kern w:val="0"/>
          <w:sz w:val="32"/>
          <w:szCs w:val="32"/>
          <w:lang w:val="en-US" w:eastAsia="zh-CN" w:bidi="ar"/>
        </w:rPr>
        <w:t>三是</w:t>
      </w:r>
      <w:r>
        <w:rPr>
          <w:rFonts w:hint="default" w:ascii="Times New Roman" w:hAnsi="Times New Roman" w:eastAsia="仿宋_GB2312" w:cs="Times New Roman"/>
          <w:kern w:val="0"/>
          <w:sz w:val="32"/>
          <w:szCs w:val="32"/>
          <w:lang w:val="en-US" w:eastAsia="zh-CN" w:bidi="ar"/>
        </w:rPr>
        <w:t>利用法治思维改善执政方式，提高执政能力，切实把科学思想转化为法治建设的实际成效，</w:t>
      </w:r>
      <w:r>
        <w:rPr>
          <w:rFonts w:hint="default" w:ascii="Times New Roman" w:hAnsi="Times New Roman" w:eastAsia="仿宋_GB2312" w:cs="Times New Roman"/>
          <w:sz w:val="32"/>
          <w:szCs w:val="32"/>
          <w:lang w:val="en-US" w:eastAsia="zh-CN"/>
        </w:rPr>
        <w:t>严格落实普法责任制“四清单一办法”，扎实推进“谁执法谁普法、谁主管谁普法、谁服务谁普法”</w:t>
      </w:r>
      <w:r>
        <w:rPr>
          <w:rFonts w:hint="default" w:ascii="Times New Roman" w:hAnsi="Times New Roman" w:eastAsia="仿宋_GB2312" w:cs="Times New Roman"/>
          <w:kern w:val="0"/>
          <w:sz w:val="32"/>
          <w:szCs w:val="32"/>
          <w:lang w:val="en-US" w:eastAsia="zh-CN" w:bidi="ar"/>
        </w:rPr>
        <w:t>，进一步教育引导广大党员干部带头尊崇法治、敬畏法律，了解法律、掌握法律，不断提高运用法治思维和法治方式推动发展、应对风险的能力，做尊法学法守法用法的模范。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512" w:firstLineChars="200"/>
        <w:jc w:val="both"/>
        <w:textAlignment w:val="auto"/>
        <w:rPr>
          <w:rFonts w:hint="default" w:ascii="Times New Roman" w:hAnsi="Times New Roman" w:eastAsia="仿宋_GB2312" w:cs="Times New Roman"/>
          <w:kern w:val="0"/>
          <w:sz w:val="32"/>
          <w:szCs w:val="32"/>
          <w:lang w:val="en-US" w:eastAsia="zh-CN" w:bidi="ar"/>
        </w:rPr>
      </w:pPr>
      <w:r>
        <w:rPr>
          <w:rStyle w:val="11"/>
          <w:rFonts w:hint="default" w:ascii="Times New Roman" w:hAnsi="Times New Roman" w:eastAsia="Microsoft YaHei UI" w:cs="Times New Roman"/>
          <w:i w:val="0"/>
          <w:iCs w:val="0"/>
          <w:caps w:val="0"/>
          <w:color w:val="222222"/>
          <w:spacing w:val="8"/>
          <w:sz w:val="24"/>
          <w:szCs w:val="24"/>
          <w:shd w:val="clear" w:fill="FFFFFF"/>
        </w:rPr>
        <w:t>  </w:t>
      </w:r>
      <w:r>
        <w:rPr>
          <w:rStyle w:val="11"/>
          <w:rFonts w:hint="default" w:ascii="Times New Roman" w:hAnsi="Times New Roman" w:eastAsia="楷体_GB2312" w:cs="Times New Roman"/>
          <w:kern w:val="0"/>
          <w:sz w:val="32"/>
          <w:szCs w:val="32"/>
          <w:lang w:val="en-US" w:eastAsia="zh-CN" w:bidi="ar"/>
        </w:rPr>
        <w:t>（二）高点定位，夯实组织基础。</w:t>
      </w:r>
      <w:r>
        <w:rPr>
          <w:rFonts w:hint="default" w:ascii="Times New Roman" w:hAnsi="Times New Roman" w:eastAsia="仿宋_GB2312" w:cs="Times New Roman"/>
          <w:kern w:val="0"/>
          <w:sz w:val="32"/>
          <w:szCs w:val="32"/>
          <w:lang w:val="en-US" w:eastAsia="zh-CN" w:bidi="ar"/>
        </w:rPr>
        <w:t>将法治政府建设纳入全乡的年度工作规划和年度经济发展计划，将履行第一责任人情况列入年终述职内容，将法治建设纳入绩效考核目标，纳入党委重要议程，亲自参与研究部署，亲自推动工作落实。组织召开专题党委会、全乡干部会议，严格落实法治政府建设报告制度，研究法治建设工作，及时解决法治建设工作中的实际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Style w:val="11"/>
          <w:rFonts w:hint="default" w:ascii="Times New Roman" w:hAnsi="Times New Roman" w:eastAsia="楷体_GB2312" w:cs="Times New Roman"/>
          <w:kern w:val="0"/>
          <w:sz w:val="32"/>
          <w:szCs w:val="32"/>
          <w:lang w:val="en-US" w:eastAsia="zh-CN" w:bidi="ar"/>
        </w:rPr>
        <w:t>（三）健全机制，依法依规决策。</w:t>
      </w:r>
      <w:r>
        <w:rPr>
          <w:rFonts w:hint="default" w:ascii="Times New Roman" w:hAnsi="Times New Roman" w:eastAsia="仿宋_GB2312" w:cs="Times New Roman"/>
          <w:kern w:val="0"/>
          <w:sz w:val="32"/>
          <w:szCs w:val="32"/>
          <w:lang w:val="en-US" w:eastAsia="zh-CN" w:bidi="ar"/>
        </w:rPr>
        <w:t>落实普法责任制，制定《麻黄山乡2022年“谁执法谁普法”责任清单》。落实法律顾问制度，扎实推进重大事项合法性审核工作，将重大行政决策、规范性文件、重大涉法涉诉事项、合同协议等纳入审核范围，做到应审尽审。加强法治工作队伍建设，选优配强</w:t>
      </w:r>
      <w:r>
        <w:rPr>
          <w:rFonts w:hint="eastAsia" w:ascii="Times New Roman" w:hAnsi="Times New Roman" w:eastAsia="仿宋_GB2312" w:cs="Times New Roman"/>
          <w:kern w:val="0"/>
          <w:sz w:val="32"/>
          <w:szCs w:val="32"/>
          <w:lang w:val="en-US" w:eastAsia="zh-CN" w:bidi="ar"/>
        </w:rPr>
        <w:t>行政执法</w:t>
      </w:r>
      <w:r>
        <w:rPr>
          <w:rFonts w:hint="default" w:ascii="Times New Roman" w:hAnsi="Times New Roman" w:eastAsia="仿宋_GB2312" w:cs="Times New Roman"/>
          <w:kern w:val="0"/>
          <w:sz w:val="32"/>
          <w:szCs w:val="32"/>
          <w:lang w:val="en-US" w:eastAsia="zh-CN" w:bidi="ar"/>
        </w:rPr>
        <w:t>干部队伍，鼓励干部职工积极参加法律职业资格考试，每年组织全乡60多名领导干部职工学法、考法，全面落实行政机关负责人出庭应诉制度，并定期组织机关干部观摩庭审3次，不断推进法治队伍正规化、专业化、职业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（四）依法行政，加速法治建设。</w:t>
      </w:r>
      <w:r>
        <w:rPr>
          <w:rFonts w:hint="default" w:ascii="Times New Roman" w:hAnsi="Times New Roman" w:eastAsia="仿宋_GB2312" w:cs="Times New Roman"/>
          <w:kern w:val="0"/>
          <w:sz w:val="32"/>
          <w:szCs w:val="32"/>
          <w:lang w:val="en-US" w:eastAsia="zh-CN" w:bidi="ar"/>
        </w:rPr>
        <w:t>落实政府法律顾问制度，司法所所长和法律顾问参加党政联席会，将重大行政决策、规范性文件、重大涉法涉诉事项、合同协议等纳入审核范围，做到应审尽审。严格执行《宁夏回族自治区行政规范性文件制定和备案办法》和行政规范性文件“三统一”和有效期制度等相关规定。加强法治工作队伍建设，选优配强</w:t>
      </w:r>
      <w:r>
        <w:rPr>
          <w:rFonts w:hint="eastAsia" w:ascii="Times New Roman" w:hAnsi="Times New Roman" w:eastAsia="仿宋_GB2312" w:cs="Times New Roman"/>
          <w:kern w:val="0"/>
          <w:sz w:val="32"/>
          <w:szCs w:val="32"/>
          <w:lang w:val="en-US" w:eastAsia="zh-CN" w:bidi="ar"/>
        </w:rPr>
        <w:t>行政执法</w:t>
      </w:r>
      <w:r>
        <w:rPr>
          <w:rFonts w:hint="default" w:ascii="Times New Roman" w:hAnsi="Times New Roman" w:eastAsia="仿宋_GB2312" w:cs="Times New Roman"/>
          <w:kern w:val="0"/>
          <w:sz w:val="32"/>
          <w:szCs w:val="32"/>
          <w:lang w:val="en-US" w:eastAsia="zh-CN" w:bidi="ar"/>
        </w:rPr>
        <w:t>干部队伍，推进法治队伍正规化、专业化、职业化，保障全乡法治建设工作正常开展。自觉接受人大监督的同时，更加注重接受社会舆论和人民群众的监督。加强政务公开，不断完善群众举报投诉制度，拓宽群众监督渠道，推动政府工作在法治轨道上高效运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（五）全民普法，筑实法治根基。</w:t>
      </w:r>
      <w:r>
        <w:rPr>
          <w:rFonts w:hint="default" w:ascii="Times New Roman" w:hAnsi="Times New Roman" w:eastAsia="仿宋_GB2312" w:cs="Times New Roman"/>
          <w:kern w:val="0"/>
          <w:sz w:val="32"/>
          <w:szCs w:val="32"/>
          <w:lang w:val="en-US" w:eastAsia="zh-CN" w:bidi="ar"/>
        </w:rPr>
        <w:t>突出抓好民法典和与人民群众生产生活密切相关的常用法律法规的宣传学习，结合重要节点，在村乡和集市开展宣传，到麻黄山乡小学、唐平庄工委旧址、李塬畔村等地开展普法活动等。创作一批优秀的法治文艺作品，通过“百姓大舞台”等方式展现给老百姓。同时通过借助“互联网+”的东风，打造普法新格局，线上利用微信群、公众号等不定期推送法律内容，增强了群众的法治意识。配备一村一法律顾问，全乡法律顾问共为村重大决策、企业项目合同等提供法律意见20余次，为村提供法律意见100条，群众提供法律咨询200人次。开展“两所共建”，不断实现法律服务普及化、一体化、精准化。力推进社会治理法治化。全面推开“法治带头人”“法律明白人”培养工程，2022年麻黄山乡共培育法治带头人13人，法律明白人119人，充分发挥他们的示范引领作用，</w:t>
      </w:r>
    </w:p>
    <w:p>
      <w:pPr>
        <w:keepNext w:val="0"/>
        <w:keepLines w:val="0"/>
        <w:pageBreakBefore w:val="0"/>
        <w:widowControl/>
        <w:suppressLineNumbers w:val="0"/>
        <w:kinsoku/>
        <w:wordWrap/>
        <w:overflowPunct/>
        <w:topLinePunct w:val="0"/>
        <w:autoSpaceDE/>
        <w:autoSpaceDN/>
        <w:bidi w:val="0"/>
        <w:adjustRightInd/>
        <w:spacing w:line="58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kern w:val="0"/>
          <w:sz w:val="32"/>
          <w:szCs w:val="32"/>
          <w:lang w:val="en-US" w:eastAsia="zh-CN" w:bidi="ar"/>
        </w:rPr>
        <w:t>（六）多管齐下，规范行政执法行为。</w:t>
      </w:r>
      <w:r>
        <w:rPr>
          <w:rFonts w:hint="eastAsia" w:ascii="仿宋_GB2312" w:hAnsi="仿宋_GB2312" w:eastAsia="仿宋_GB2312" w:cs="仿宋_GB2312"/>
          <w:sz w:val="32"/>
          <w:szCs w:val="32"/>
        </w:rPr>
        <w:t>一是强化“三项制度”学习宣传。进一步巩固现行的宣传教育形式和效果，继续深入组织学习项制度，切实做到对项制度人人皆知、个个熟知。积极安排</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干部参加有关部门组织的专门教育培训，增强干部职工遵守“三项制度”的自觉性和主动性，要求进一步明确各职能岗位和工作岗位职责，切实推进三项制度工作的落实。二是认真学习落实《盐池县行政执法三项制度实施办法》《盐池县全面推行公示制度执法全过程记录制度重大执法决定法制审核重大实施方案》。明确行政执法信息公示的范围、内容、载体、程序等，构建分工明确、职责明晰、便捷高效的行政执法信息公示运行机制。三是按照执法全过程记录要求，配备照相机、摄像机、录音笔等执法全过程记录设备。</w:t>
      </w:r>
      <w:r>
        <w:rPr>
          <w:rFonts w:hint="default" w:ascii="Times New Roman" w:hAnsi="Times New Roman" w:eastAsia="仿宋_GB2312" w:cs="Times New Roman"/>
          <w:b w:val="0"/>
          <w:bCs w:val="0"/>
          <w:kern w:val="2"/>
          <w:sz w:val="32"/>
          <w:szCs w:val="32"/>
          <w:lang w:val="en-US" w:eastAsia="zh-CN" w:bidi="ar"/>
        </w:rPr>
        <w:t>常态</w:t>
      </w:r>
      <w:r>
        <w:rPr>
          <w:rFonts w:hint="default" w:ascii="Times New Roman" w:hAnsi="Times New Roman" w:eastAsia="仿宋_GB2312" w:cs="Times New Roman"/>
          <w:sz w:val="32"/>
          <w:szCs w:val="32"/>
          <w:lang w:val="en-US" w:eastAsia="zh-CN"/>
        </w:rPr>
        <w:t>化开展行政执法人员年度培训和执法岗位练兵活动，建立法制审核人员定期培训制度，积极推行“互联网+培训”、案例教学等多种培训方式，不断提高法制审核人员的法律素养和业务能力。现乡综合执法岗配备执法人员</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个，</w:t>
      </w:r>
      <w:r>
        <w:rPr>
          <w:rFonts w:hint="eastAsia" w:ascii="Times New Roman" w:hAnsi="Times New Roman" w:eastAsia="仿宋_GB2312" w:cs="Times New Roman"/>
          <w:sz w:val="32"/>
          <w:szCs w:val="32"/>
          <w:lang w:val="en-US" w:eastAsia="zh-CN"/>
        </w:rPr>
        <w:t>行政处罚19次</w:t>
      </w:r>
      <w:r>
        <w:rPr>
          <w:rFonts w:hint="default"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 xml:space="preserve">三、党政主要负责人履行推进法治建设第一责任人职责， </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加强法治政府建设的有关情况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（一）加强落实党政主要负责人“述法”工作。</w:t>
      </w:r>
      <w:r>
        <w:rPr>
          <w:rFonts w:hint="default" w:ascii="Times New Roman" w:hAnsi="Times New Roman" w:eastAsia="仿宋_GB2312" w:cs="Times New Roman"/>
          <w:kern w:val="0"/>
          <w:sz w:val="32"/>
          <w:szCs w:val="32"/>
          <w:lang w:val="en-US" w:eastAsia="zh-CN" w:bidi="ar"/>
        </w:rPr>
        <w:t>将“党政主要负责人履行推进法治建设第一责任人职责情况”纳入绩效考核指标体系，党政主要负责人及其班子成员法治建设情况以书面形式向县委依法治县办进行报告，推动述法工作常态化。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bCs/>
          <w:kern w:val="0"/>
          <w:sz w:val="32"/>
          <w:szCs w:val="32"/>
          <w:lang w:val="en-US" w:eastAsia="zh-CN" w:bidi="ar"/>
        </w:rPr>
      </w:pPr>
      <w:r>
        <w:rPr>
          <w:rFonts w:hint="default" w:ascii="Times New Roman" w:hAnsi="Times New Roman" w:eastAsia="楷体_GB2312" w:cs="Times New Roman"/>
          <w:b/>
          <w:bCs/>
          <w:kern w:val="0"/>
          <w:sz w:val="32"/>
          <w:szCs w:val="32"/>
          <w:lang w:val="en-US" w:eastAsia="zh-CN" w:bidi="ar"/>
        </w:rPr>
        <w:t>（二）建立健全法律顾问制度。</w:t>
      </w:r>
      <w:r>
        <w:rPr>
          <w:rFonts w:hint="default" w:ascii="Times New Roman" w:hAnsi="Times New Roman" w:eastAsia="仿宋_GB2312" w:cs="Times New Roman"/>
          <w:kern w:val="0"/>
          <w:sz w:val="32"/>
          <w:szCs w:val="32"/>
          <w:lang w:val="en-US" w:eastAsia="zh-CN" w:bidi="ar"/>
        </w:rPr>
        <w:t>与律师事务所签订专项法律服务协议，由律所团队参与全乡“三重一大”及疑难复杂事项的决策研究，进而协助全乡建立规范化、标准化、程序化的“三重一大”及疑难复杂事项处理体系，有效落实“三重一大”及疑难复杂事项的法律审查、法律研究、依法决策，做好法律风险防范，提高决策效率，规范决策行为，确保正确履职。在协调条线工作及处理群众来信来访事项时，严格按照法律法规办事，切实做到公开、公平、公正。落实行政应诉突出问题专项治理工作</w:t>
      </w:r>
      <w:r>
        <w:rPr>
          <w:rFonts w:hint="eastAsia" w:ascii="Times New Roman" w:hAnsi="Times New Roman" w:eastAsia="仿宋_GB2312" w:cs="Times New Roman"/>
          <w:kern w:val="0"/>
          <w:sz w:val="32"/>
          <w:szCs w:val="32"/>
          <w:lang w:val="en-US" w:eastAsia="zh-CN" w:bidi="ar"/>
        </w:rPr>
        <w:t>，</w:t>
      </w:r>
      <w:r>
        <w:rPr>
          <w:rFonts w:hint="eastAsia" w:ascii="仿宋_GB2312" w:eastAsia="仿宋_GB2312"/>
          <w:color w:val="000000"/>
          <w:sz w:val="32"/>
          <w:szCs w:val="32"/>
          <w:shd w:val="clear" w:color="auto" w:fill="FFFFFF"/>
          <w:lang w:val="en-US" w:eastAsia="zh-CN"/>
        </w:rPr>
        <w:t>及时制定工作方案，召开行政应诉突出问题专项治理部署会，部署我乡行政应诉专项治理工作，2022年，我乡未发生行政应诉案件。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楷体_GB2312" w:cs="Times New Roman"/>
          <w:b/>
          <w:bCs/>
          <w:kern w:val="0"/>
          <w:sz w:val="32"/>
          <w:szCs w:val="32"/>
          <w:lang w:val="en-US" w:eastAsia="zh-CN" w:bidi="ar"/>
        </w:rPr>
        <w:t>（</w:t>
      </w:r>
      <w:r>
        <w:rPr>
          <w:rFonts w:hint="default" w:ascii="Times New Roman" w:hAnsi="Times New Roman" w:eastAsia="楷体_GB2312" w:cs="Times New Roman"/>
          <w:b/>
          <w:bCs/>
          <w:kern w:val="0"/>
          <w:sz w:val="32"/>
          <w:szCs w:val="32"/>
          <w:lang w:val="en-US" w:eastAsia="zh-CN" w:bidi="ar"/>
        </w:rPr>
        <w:t>三）落实法治建设决策部署。</w:t>
      </w:r>
      <w:r>
        <w:rPr>
          <w:rFonts w:hint="default" w:ascii="Times New Roman" w:hAnsi="Times New Roman" w:eastAsia="仿宋_GB2312" w:cs="Times New Roman"/>
          <w:kern w:val="0"/>
          <w:sz w:val="32"/>
          <w:szCs w:val="32"/>
          <w:lang w:val="en-US" w:eastAsia="zh-CN" w:bidi="ar"/>
        </w:rPr>
        <w:t>坚决贯彻落实《法治政府建设实施纲要（2021－2025年）》等文件精神，对法治建设重要工作亲自部署、重大问题亲自过问、重点环节亲自依法协调、重要任务亲自依法依规督办，在法治政府建设中践行责任担当。会同班子成员，对全乡的依法行政工作及时提要求、及时督促，切实把法治建设的各项要求体现到业务工作和日常管理中，积极为推进法治建设提供保障、创造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四、存在的问题及下一步工作思路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2022年麻黄山乡法治工作虽然取得了一定成效，但还存在不足和薄弱环节：</w:t>
      </w:r>
      <w:r>
        <w:rPr>
          <w:rFonts w:hint="default" w:ascii="Times New Roman" w:hAnsi="Times New Roman" w:eastAsia="楷体_GB2312" w:cs="Times New Roman"/>
          <w:b/>
          <w:bCs/>
          <w:kern w:val="0"/>
          <w:sz w:val="32"/>
          <w:szCs w:val="32"/>
          <w:lang w:val="en-US" w:eastAsia="zh-CN" w:bidi="ar"/>
        </w:rPr>
        <w:t>一是专业机构和人员配备不足。</w:t>
      </w:r>
      <w:r>
        <w:rPr>
          <w:rFonts w:hint="default" w:ascii="Times New Roman" w:hAnsi="Times New Roman" w:eastAsia="仿宋_GB2312" w:cs="Times New Roman"/>
          <w:kern w:val="0"/>
          <w:sz w:val="32"/>
          <w:szCs w:val="32"/>
          <w:lang w:val="en-US" w:eastAsia="zh-CN" w:bidi="ar"/>
        </w:rPr>
        <w:t>法律专业人才相对匮乏，人员短缺，难以为广大群众提供面面俱到的法律服务。“法治带头人”“法律明白人”对法律知识掌握不足，不能很好的运用法律知识解决突发性应急事件。</w:t>
      </w:r>
      <w:r>
        <w:rPr>
          <w:rFonts w:hint="default" w:ascii="Times New Roman" w:hAnsi="Times New Roman" w:eastAsia="楷体_GB2312" w:cs="Times New Roman"/>
          <w:b/>
          <w:bCs/>
          <w:kern w:val="0"/>
          <w:sz w:val="32"/>
          <w:szCs w:val="32"/>
          <w:lang w:val="en-US" w:eastAsia="zh-CN" w:bidi="ar"/>
        </w:rPr>
        <w:t>二是普法阵地相对薄弱。</w:t>
      </w:r>
      <w:r>
        <w:rPr>
          <w:rFonts w:hint="default" w:ascii="Times New Roman" w:hAnsi="Times New Roman" w:eastAsia="仿宋_GB2312" w:cs="Times New Roman"/>
          <w:kern w:val="0"/>
          <w:sz w:val="32"/>
          <w:szCs w:val="32"/>
          <w:lang w:val="en-US" w:eastAsia="zh-CN" w:bidi="ar"/>
        </w:rPr>
        <w:t>虽然达到法治阵地全覆盖，但是无亮点和代表性，从有形覆盖到有效覆盖有待加强。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bidi="ar"/>
        </w:rPr>
        <w:t>下一步，麻黄山乡将始终聚焦问题导向，进一步提高政治站位，深入学习领会把握习近平法治思想的精髓要义，围绕更好地发挥法治固根本、稳预期、利长远的保障作用，扎实把严格执法、公正司法、全民守法等重点工作推向纵深。</w:t>
      </w:r>
      <w:r>
        <w:rPr>
          <w:rFonts w:hint="default" w:ascii="Times New Roman" w:hAnsi="Times New Roman" w:eastAsia="楷体_GB2312" w:cs="Times New Roman"/>
          <w:b/>
          <w:bCs/>
          <w:kern w:val="0"/>
          <w:sz w:val="32"/>
          <w:szCs w:val="32"/>
          <w:lang w:val="en-US" w:eastAsia="zh-CN" w:bidi="ar"/>
        </w:rPr>
        <w:t>一是进一步加强领导，强化理论学习。</w:t>
      </w:r>
      <w:r>
        <w:rPr>
          <w:rFonts w:hint="default" w:ascii="Times New Roman" w:hAnsi="Times New Roman" w:eastAsia="仿宋_GB2312" w:cs="Times New Roman"/>
          <w:kern w:val="0"/>
          <w:sz w:val="32"/>
          <w:szCs w:val="32"/>
          <w:lang w:val="en-US" w:eastAsia="zh-CN" w:bidi="ar"/>
        </w:rPr>
        <w:t>严格履行推进法治政府第一责任人的职责，将理论学习纳入领导干部评先树优的标准之一。定期举办学习培训班，让干部们上台讲成为常态。</w:t>
      </w:r>
      <w:r>
        <w:rPr>
          <w:rFonts w:hint="default" w:ascii="Times New Roman" w:hAnsi="Times New Roman" w:eastAsia="楷体_GB2312" w:cs="Times New Roman"/>
          <w:b/>
          <w:bCs/>
          <w:kern w:val="0"/>
          <w:sz w:val="32"/>
          <w:szCs w:val="32"/>
          <w:lang w:val="en-US" w:eastAsia="zh-CN" w:bidi="ar"/>
        </w:rPr>
        <w:t>二是实施高品质法治阵地打造工程。</w:t>
      </w:r>
      <w:r>
        <w:rPr>
          <w:rFonts w:hint="default" w:ascii="Times New Roman" w:hAnsi="Times New Roman" w:eastAsia="仿宋_GB2312" w:cs="Times New Roman"/>
          <w:kern w:val="0"/>
          <w:sz w:val="32"/>
          <w:szCs w:val="32"/>
          <w:lang w:val="en-US" w:eastAsia="zh-CN" w:bidi="ar"/>
        </w:rPr>
        <w:t>大力实施法治文化阵地提升，助力实现精准普法，进一步明确法治阵地形式，内容要素、量化指标，推动法治文化阵地示范点创建工作。</w:t>
      </w:r>
      <w:r>
        <w:rPr>
          <w:rFonts w:hint="default" w:ascii="Times New Roman" w:hAnsi="Times New Roman" w:eastAsia="楷体_GB2312" w:cs="Times New Roman"/>
          <w:b/>
          <w:bCs/>
          <w:kern w:val="0"/>
          <w:sz w:val="32"/>
          <w:szCs w:val="32"/>
          <w:lang w:val="en-US" w:eastAsia="zh-CN" w:bidi="ar"/>
        </w:rPr>
        <w:t>三是加快法治队伍建设。</w:t>
      </w:r>
      <w:r>
        <w:rPr>
          <w:rFonts w:hint="default" w:ascii="Times New Roman" w:hAnsi="Times New Roman" w:eastAsia="仿宋_GB2312" w:cs="Times New Roman"/>
          <w:kern w:val="0"/>
          <w:sz w:val="32"/>
          <w:szCs w:val="32"/>
          <w:lang w:val="en-US" w:eastAsia="zh-CN" w:bidi="ar"/>
        </w:rPr>
        <w:t>把加强法治队伍建设作为本年重点工作之一，多举措、多维度、多渠道提升法治队伍素质。</w:t>
      </w:r>
    </w:p>
    <w:p>
      <w:pPr>
        <w:pStyle w:val="4"/>
        <w:rPr>
          <w:rFonts w:hint="default"/>
        </w:rPr>
      </w:pPr>
    </w:p>
    <w:sectPr>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0F1DE"/>
    <w:multiLevelType w:val="singleLevel"/>
    <w:tmpl w:val="9880F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MjU0ZTU3OWM4ZmNhZDkyZjEwM2YzZjIyZDUxODAifQ=="/>
  </w:docVars>
  <w:rsids>
    <w:rsidRoot w:val="00000000"/>
    <w:rsid w:val="0BE44271"/>
    <w:rsid w:val="14FF3185"/>
    <w:rsid w:val="18C43019"/>
    <w:rsid w:val="1A1A55E6"/>
    <w:rsid w:val="1A725422"/>
    <w:rsid w:val="1FB846FA"/>
    <w:rsid w:val="216F6566"/>
    <w:rsid w:val="24F90C3F"/>
    <w:rsid w:val="29C70BBB"/>
    <w:rsid w:val="2BEC2737"/>
    <w:rsid w:val="2EB603D8"/>
    <w:rsid w:val="2F210593"/>
    <w:rsid w:val="32FF4683"/>
    <w:rsid w:val="33462B51"/>
    <w:rsid w:val="37B24C58"/>
    <w:rsid w:val="3B0B3820"/>
    <w:rsid w:val="3D3D5949"/>
    <w:rsid w:val="4B87434A"/>
    <w:rsid w:val="56AC44F2"/>
    <w:rsid w:val="5F1F4CBC"/>
    <w:rsid w:val="604A6A3F"/>
    <w:rsid w:val="63822E81"/>
    <w:rsid w:val="640F3876"/>
    <w:rsid w:val="67380427"/>
    <w:rsid w:val="708567F1"/>
    <w:rsid w:val="78CB6CBB"/>
    <w:rsid w:val="79A04DCC"/>
    <w:rsid w:val="7C80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napToGrid w:val="0"/>
      <w:spacing w:line="480" w:lineRule="exact"/>
      <w:jc w:val="center"/>
    </w:pPr>
    <w:rPr>
      <w:sz w:val="28"/>
      <w:szCs w:val="20"/>
    </w:rPr>
  </w:style>
  <w:style w:type="paragraph" w:styleId="4">
    <w:name w:val="Plain Text"/>
    <w:basedOn w:val="1"/>
    <w:qFormat/>
    <w:uiPriority w:val="0"/>
    <w:rPr>
      <w:rFonts w:ascii="宋体" w:hAnsi="Courier New"/>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99"/>
    <w:pPr>
      <w:spacing w:before="240" w:after="60"/>
      <w:jc w:val="center"/>
      <w:outlineLvl w:val="0"/>
    </w:pPr>
    <w:rPr>
      <w:rFonts w:ascii="Cambria" w:hAnsi="Cambria" w:eastAsia="宋体"/>
      <w:b/>
      <w:bCs/>
    </w:rPr>
  </w:style>
  <w:style w:type="character" w:styleId="11">
    <w:name w:val="Strong"/>
    <w:basedOn w:val="10"/>
    <w:qFormat/>
    <w:uiPriority w:val="0"/>
    <w:rPr>
      <w:b/>
    </w:rPr>
  </w:style>
  <w:style w:type="paragraph" w:customStyle="1" w:styleId="12">
    <w:name w:val="_Style 1"/>
    <w:basedOn w:val="1"/>
    <w:next w:val="1"/>
    <w:unhideWhenUsed/>
    <w:qFormat/>
    <w:uiPriority w:val="0"/>
    <w:pPr>
      <w:tabs>
        <w:tab w:val="right" w:pos="-2120"/>
      </w:tabs>
      <w:snapToGrid w:val="0"/>
    </w:pPr>
    <w:rPr>
      <w:rFonts w:hint="eastAsia"/>
    </w:rPr>
  </w:style>
  <w:style w:type="paragraph" w:customStyle="1" w:styleId="13">
    <w:name w:val="Default"/>
    <w:qFormat/>
    <w:uiPriority w:val="0"/>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3592</Words>
  <Characters>3652</Characters>
  <Lines>0</Lines>
  <Paragraphs>0</Paragraphs>
  <TotalTime>1</TotalTime>
  <ScaleCrop>false</ScaleCrop>
  <LinksUpToDate>false</LinksUpToDate>
  <CharactersWithSpaces>3742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2021-11-08T11:15:00Z</dcterms:created>
  <dc:creator>Administrator</dc:creator>
  <cp:lastModifiedBy>湫</cp:lastModifiedBy>
  <cp:lastPrinted>2022-12-22T02:33:00Z</cp:lastPrinted>
  <dcterms:modified xsi:type="dcterms:W3CDTF">2023-01-13T02:15:45Z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F55BE525E57A402B96F15F56C51ABA9B</vt:lpwstr>
  </property>
</Properties>
</file>