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rPr>
          <w:rFonts w:ascii="Times New Roman" w:hAnsi="Times New Roman" w:eastAsia="方正姚体" w:cs="Times New Roman"/>
          <w:color w:val="FF0000"/>
          <w:sz w:val="48"/>
          <w:szCs w:val="48"/>
        </w:rPr>
      </w:pPr>
    </w:p>
    <w:p>
      <w:pPr>
        <w:ind w:left="-6" w:leftChars="-3" w:right="-153" w:rightChars="-73"/>
        <w:rPr>
          <w:rFonts w:ascii="Times New Roman" w:hAnsi="Times New Roman" w:eastAsia="方正小标宋简体" w:cs="Times New Roman"/>
          <w:color w:val="FF0000"/>
          <w:spacing w:val="-44"/>
          <w:w w:val="60"/>
          <w:sz w:val="106"/>
          <w:szCs w:val="106"/>
        </w:rPr>
      </w:pPr>
      <w:r>
        <w:rPr>
          <w:rFonts w:ascii="Times New Roman" w:hAnsi="Times New Roman" w:eastAsia="方正小标宋简体" w:cs="Times New Roman"/>
          <w:color w:val="FF0000"/>
          <w:spacing w:val="-44"/>
          <w:w w:val="60"/>
          <w:sz w:val="114"/>
          <w:szCs w:val="106"/>
        </w:rPr>
        <w:t>盐池县人力资源和社会保障局文件</w:t>
      </w:r>
    </w:p>
    <w:p>
      <w:pPr>
        <w:tabs>
          <w:tab w:val="left" w:pos="7560"/>
        </w:tabs>
        <w:jc w:val="center"/>
        <w:rPr>
          <w:rFonts w:ascii="Times New Roman" w:hAnsi="Times New Roman" w:eastAsia="仿宋_GB2312" w:cs="Times New Roman"/>
          <w:sz w:val="32"/>
          <w:szCs w:val="32"/>
        </w:rPr>
      </w:pPr>
    </w:p>
    <w:p>
      <w:pPr>
        <w:tabs>
          <w:tab w:val="left" w:pos="7560"/>
        </w:tabs>
        <w:jc w:val="center"/>
        <w:rPr>
          <w:rFonts w:ascii="Times New Roman" w:hAnsi="Times New Roman" w:eastAsia="方正小标宋简体" w:cs="Times New Roman"/>
          <w:sz w:val="44"/>
          <w:szCs w:val="44"/>
        </w:rPr>
      </w:pPr>
      <w:r>
        <w:rPr>
          <w:rFonts w:ascii="Times New Roman" w:hAnsi="Times New Roman" w:eastAsia="仿宋_GB2312" w:cs="Times New Roman"/>
          <w:sz w:val="32"/>
          <w:szCs w:val="32"/>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386080</wp:posOffset>
                </wp:positionV>
                <wp:extent cx="5715000" cy="0"/>
                <wp:effectExtent l="0" t="13970" r="0" b="24130"/>
                <wp:wrapNone/>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30.4pt;height:0pt;width:450pt;z-index:251706368;mso-width-relative:page;mso-height-relative:page;" filled="f" stroked="t" coordsize="21600,21600" o:gfxdata="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YO3SH0wAAAAYBAAAPAAAAAAAAAAEAIAAAADgAAABkcnMvZG93bnJldi54bWxQSwEC&#10;FAAUAAAACACHTuJAp2Ims+MBAACoAwAADgAAAAAAAAABACAAAAA4AQAAZHJzL2Uyb0RvYy54bWxQ&#10;SwUGAAAAAAYABgBZAQAAjQUAAAAA&#10;">
                <v:fill on="f" focussize="0,0"/>
                <v:stroke weight="2.25pt" color="#FF0000" joinstyle="round"/>
                <v:imagedata o:title=""/>
                <o:lock v:ext="edit" aspectratio="f"/>
              </v:line>
            </w:pict>
          </mc:Fallback>
        </mc:AlternateContent>
      </w:r>
      <w:r>
        <w:rPr>
          <w:rFonts w:ascii="Times New Roman" w:hAnsi="Times New Roman" w:eastAsia="仿宋_GB2312" w:cs="Times New Roman"/>
          <w:sz w:val="32"/>
          <w:szCs w:val="32"/>
        </w:rPr>
        <w:t>盐人社发〔</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号</w:t>
      </w:r>
      <w:r>
        <w:rPr>
          <w:rFonts w:ascii="Times New Roman" w:hAnsi="Times New Roman" w:eastAsia="方正小标宋简体" w:cs="Times New Roman"/>
          <w:sz w:val="44"/>
          <w:szCs w:val="44"/>
        </w:rPr>
        <w:t xml:space="preserve"> </w:t>
      </w:r>
    </w:p>
    <w:p>
      <w:pPr>
        <w:spacing w:line="600" w:lineRule="exact"/>
        <w:rPr>
          <w:rFonts w:ascii="方正小标宋简体" w:hAnsi="方正小标宋简体" w:eastAsia="方正小标宋简体" w:cs="方正小标宋简体"/>
          <w:sz w:val="44"/>
          <w:szCs w:val="44"/>
        </w:rPr>
      </w:pPr>
    </w:p>
    <w:p>
      <w:pPr>
        <w:pStyle w:val="2"/>
        <w:jc w:val="both"/>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方正小标宋简体" w:cs="Times New Roman"/>
          <w:sz w:val="44"/>
          <w:szCs w:val="44"/>
          <w:lang w:val="en" w:eastAsia="zh-CN"/>
        </w:rPr>
      </w:pPr>
      <w:r>
        <w:rPr>
          <w:rFonts w:hint="eastAsia" w:ascii="Times New Roman" w:hAnsi="Times New Roman" w:eastAsia="方正小标宋简体" w:cs="Times New Roman"/>
          <w:sz w:val="44"/>
          <w:szCs w:val="44"/>
          <w:lang w:val="en" w:eastAsia="zh-CN"/>
        </w:rPr>
        <w:t>盐池县人力资源和社会保障</w:t>
      </w:r>
      <w:r>
        <w:rPr>
          <w:rFonts w:hint="default" w:ascii="Times New Roman" w:hAnsi="Times New Roman" w:eastAsia="方正小标宋简体" w:cs="Times New Roman"/>
          <w:sz w:val="44"/>
          <w:szCs w:val="44"/>
          <w:lang w:val="en" w:eastAsia="zh-CN"/>
        </w:rPr>
        <w:t>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w:t>
      </w:r>
      <w:r>
        <w:rPr>
          <w:rFonts w:hint="default" w:ascii="Times New Roman" w:hAnsi="Times New Roman" w:eastAsia="方正小标宋简体" w:cs="Times New Roman"/>
          <w:sz w:val="44"/>
          <w:szCs w:val="44"/>
          <w:lang w:val="en" w:eastAsia="zh-CN"/>
        </w:rPr>
        <w:t>4</w:t>
      </w:r>
      <w:r>
        <w:rPr>
          <w:rFonts w:hint="default" w:ascii="Times New Roman" w:hAnsi="Times New Roman" w:eastAsia="方正小标宋简体" w:cs="Times New Roman"/>
          <w:sz w:val="44"/>
          <w:szCs w:val="44"/>
          <w:lang w:val="en-US" w:eastAsia="zh-CN"/>
        </w:rPr>
        <w:t>年法治政府建设</w:t>
      </w:r>
      <w:r>
        <w:rPr>
          <w:rFonts w:hint="eastAsia" w:ascii="Times New Roman" w:hAnsi="Times New Roman" w:eastAsia="方正小标宋简体" w:cs="Times New Roman"/>
          <w:sz w:val="44"/>
          <w:szCs w:val="44"/>
          <w:lang w:val="en-US" w:eastAsia="zh-CN"/>
        </w:rPr>
        <w:t>年度</w:t>
      </w:r>
      <w:r>
        <w:rPr>
          <w:rFonts w:hint="default" w:ascii="Times New Roman" w:hAnsi="Times New Roman" w:eastAsia="方正小标宋简体" w:cs="Times New Roman"/>
          <w:sz w:val="44"/>
          <w:szCs w:val="44"/>
          <w:lang w:val="en-US" w:eastAsia="zh-CN"/>
        </w:rPr>
        <w:t>报告</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left"/>
        <w:textAlignment w:val="auto"/>
        <w:rPr>
          <w:rFonts w:hint="default" w:ascii="Times New Roman" w:hAnsi="Times New Roman" w:cs="Times New Roman"/>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0" w:firstLineChars="0"/>
        <w:jc w:val="left"/>
        <w:textAlignment w:val="auto"/>
        <w:rPr>
          <w:rFonts w:hint="default"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中共盐池县委</w:t>
      </w:r>
      <w:r>
        <w:rPr>
          <w:rFonts w:hint="default" w:ascii="Times New Roman" w:hAnsi="Times New Roman" w:eastAsia="仿宋_GB2312" w:cs="Times New Roman"/>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pacing w:val="-6"/>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202</w:t>
      </w:r>
      <w:r>
        <w:rPr>
          <w:rFonts w:hint="eastAsia" w:ascii="Times New Roman" w:hAnsi="Times New Roman" w:eastAsia="仿宋_GB2312" w:cs="Times New Roman"/>
          <w:kern w:val="0"/>
          <w:sz w:val="32"/>
          <w:szCs w:val="32"/>
          <w:lang w:val="en-US" w:eastAsia="zh-CN" w:bidi="ar"/>
        </w:rPr>
        <w:t>4</w:t>
      </w:r>
      <w:r>
        <w:rPr>
          <w:rFonts w:hint="default" w:ascii="Times New Roman" w:hAnsi="Times New Roman" w:eastAsia="仿宋_GB2312" w:cs="Times New Roman"/>
          <w:kern w:val="0"/>
          <w:sz w:val="32"/>
          <w:szCs w:val="32"/>
          <w:lang w:val="en-US" w:eastAsia="zh-CN" w:bidi="ar"/>
        </w:rPr>
        <w:t>年，我局坚持以习近平新时代中国特色社会主义思想为指导，认真贯彻落实习近平法治思想，深入学习贯彻党的二十大精神。我局严格按照县委、县政府以及县委全面依法治县委员会办公室关于建设法治政府的工作部署，结合人社工作实际，以实现法治人社建设为目标，不断提高人力资源和社会</w:t>
      </w:r>
      <w:r>
        <w:rPr>
          <w:rFonts w:hint="default" w:ascii="Times New Roman" w:hAnsi="Times New Roman" w:eastAsia="仿宋_GB2312" w:cs="Times New Roman"/>
          <w:spacing w:val="-6"/>
          <w:kern w:val="0"/>
          <w:sz w:val="32"/>
          <w:szCs w:val="32"/>
          <w:lang w:val="en-US" w:eastAsia="zh-CN" w:bidi="ar"/>
        </w:rPr>
        <w:t>保障工作依法行政水平，取得了积极成效</w:t>
      </w:r>
      <w:r>
        <w:rPr>
          <w:rFonts w:hint="eastAsia" w:ascii="Times New Roman" w:hAnsi="Times New Roman" w:eastAsia="仿宋_GB2312" w:cs="Times New Roman"/>
          <w:spacing w:val="-6"/>
          <w:kern w:val="0"/>
          <w:sz w:val="32"/>
          <w:szCs w:val="32"/>
          <w:lang w:val="en-US" w:eastAsia="zh-CN" w:bidi="ar"/>
        </w:rPr>
        <w:t>，</w:t>
      </w:r>
      <w:r>
        <w:rPr>
          <w:rFonts w:hint="default" w:ascii="Times New Roman" w:hAnsi="Times New Roman" w:eastAsia="仿宋_GB2312" w:cs="Times New Roman"/>
          <w:spacing w:val="-6"/>
          <w:kern w:val="0"/>
          <w:sz w:val="32"/>
          <w:szCs w:val="32"/>
          <w:lang w:val="en-US" w:eastAsia="zh-CN" w:bidi="ar"/>
        </w:rPr>
        <w:t>现将有关情况汇报如下。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outlineLvl w:val="9"/>
        <w:rPr>
          <w:rFonts w:hint="default" w:ascii="Times New Roman" w:hAnsi="Times New Roman" w:eastAsia="黑体" w:cs="Times New Roman"/>
          <w:b w:val="0"/>
          <w:bCs w:val="0"/>
          <w:color w:val="000000"/>
          <w:sz w:val="32"/>
          <w:szCs w:val="32"/>
          <w:lang w:val="en-US" w:eastAsia="zh-CN"/>
        </w:rPr>
      </w:pPr>
      <w:r>
        <w:rPr>
          <w:rFonts w:hint="eastAsia" w:ascii="Times New Roman" w:hAnsi="Times New Roman" w:eastAsia="黑体" w:cs="Times New Roman"/>
          <w:b w:val="0"/>
          <w:bCs w:val="0"/>
          <w:color w:val="000000"/>
          <w:sz w:val="32"/>
          <w:szCs w:val="32"/>
          <w:lang w:val="en-US" w:eastAsia="zh-CN"/>
        </w:rPr>
        <w:t>一</w:t>
      </w:r>
      <w:r>
        <w:rPr>
          <w:rFonts w:hint="default" w:ascii="Times New Roman" w:hAnsi="Times New Roman" w:eastAsia="黑体" w:cs="Times New Roman"/>
          <w:b w:val="0"/>
          <w:bCs w:val="0"/>
          <w:color w:val="000000"/>
          <w:sz w:val="32"/>
          <w:szCs w:val="32"/>
          <w:lang w:val="en-US" w:eastAsia="zh-CN"/>
        </w:rPr>
        <w:t>、主要措施及成效</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600" w:lineRule="exact"/>
        <w:ind w:left="0" w:leftChars="0" w:firstLine="642" w:firstLineChars="200"/>
        <w:jc w:val="both"/>
        <w:textAlignment w:val="auto"/>
        <w:rPr>
          <w:rFonts w:hint="default" w:ascii="Times New Roman" w:hAnsi="Times New Roman" w:eastAsia="仿宋_GB2312" w:cs="Times New Roman"/>
          <w:kern w:val="0"/>
          <w:sz w:val="32"/>
          <w:szCs w:val="32"/>
          <w:lang w:val="en-US" w:eastAsia="zh-CN" w:bidi="ar"/>
        </w:rPr>
      </w:pPr>
      <w:r>
        <w:rPr>
          <w:rStyle w:val="17"/>
          <w:rFonts w:hint="default" w:ascii="Times New Roman" w:hAnsi="Times New Roman" w:eastAsia="楷体_GB2312" w:cs="Times New Roman"/>
          <w:color w:val="000000"/>
          <w:sz w:val="32"/>
          <w:szCs w:val="32"/>
          <w:lang w:val="en-US" w:eastAsia="zh-CN"/>
        </w:rPr>
        <w:t>（一）学习宣传习近平法治思想情况。</w:t>
      </w:r>
      <w:r>
        <w:rPr>
          <w:rFonts w:hint="default" w:ascii="Times New Roman" w:hAnsi="Times New Roman" w:eastAsia="仿宋_GB2312" w:cs="Times New Roman"/>
          <w:kern w:val="0"/>
          <w:sz w:val="32"/>
          <w:szCs w:val="32"/>
          <w:lang w:val="en-US" w:eastAsia="zh-CN" w:bidi="ar"/>
        </w:rPr>
        <w:t>坚持第一议题学习，将习近平法治思想列为“八五”普法重要内容，采取理论中心组、党组会、干部理论学等形式开展学习60余次。先后对行政执法人员进行了《</w:t>
      </w:r>
      <w:r>
        <w:rPr>
          <w:rFonts w:hint="eastAsia" w:ascii="Times New Roman" w:hAnsi="Times New Roman" w:eastAsia="仿宋_GB2312" w:cs="Times New Roman"/>
          <w:kern w:val="0"/>
          <w:sz w:val="32"/>
          <w:szCs w:val="32"/>
          <w:lang w:val="en-US" w:eastAsia="zh-CN" w:bidi="ar"/>
        </w:rPr>
        <w:t>中华人民共和国</w:t>
      </w:r>
      <w:r>
        <w:rPr>
          <w:rFonts w:hint="default" w:ascii="Times New Roman" w:hAnsi="Times New Roman" w:eastAsia="仿宋_GB2312" w:cs="Times New Roman"/>
          <w:kern w:val="0"/>
          <w:sz w:val="32"/>
          <w:szCs w:val="32"/>
          <w:lang w:val="en-US" w:eastAsia="zh-CN" w:bidi="ar"/>
        </w:rPr>
        <w:t>劳动法》《</w:t>
      </w:r>
      <w:r>
        <w:rPr>
          <w:rFonts w:hint="eastAsia" w:ascii="Times New Roman" w:hAnsi="Times New Roman" w:eastAsia="仿宋_GB2312" w:cs="Times New Roman"/>
          <w:kern w:val="0"/>
          <w:sz w:val="32"/>
          <w:szCs w:val="32"/>
          <w:lang w:val="en-US" w:eastAsia="zh-CN" w:bidi="ar"/>
        </w:rPr>
        <w:t>中华人民共和国</w:t>
      </w:r>
      <w:r>
        <w:rPr>
          <w:rFonts w:hint="default" w:ascii="Times New Roman" w:hAnsi="Times New Roman" w:eastAsia="仿宋_GB2312" w:cs="Times New Roman"/>
          <w:kern w:val="0"/>
          <w:sz w:val="32"/>
          <w:szCs w:val="32"/>
          <w:lang w:val="en-US" w:eastAsia="zh-CN" w:bidi="ar"/>
        </w:rPr>
        <w:t>社会保险法》《保障农民工工资支付</w:t>
      </w:r>
      <w:r>
        <w:rPr>
          <w:rFonts w:hint="eastAsia" w:ascii="Times New Roman" w:hAnsi="Times New Roman" w:eastAsia="仿宋_GB2312" w:cs="Times New Roman"/>
          <w:kern w:val="0"/>
          <w:sz w:val="32"/>
          <w:szCs w:val="32"/>
          <w:lang w:val="en-US" w:eastAsia="zh-CN" w:bidi="ar"/>
        </w:rPr>
        <w:t>条例</w:t>
      </w:r>
      <w:r>
        <w:rPr>
          <w:rFonts w:hint="default" w:ascii="Times New Roman" w:hAnsi="Times New Roman" w:eastAsia="仿宋_GB2312" w:cs="Times New Roman"/>
          <w:kern w:val="0"/>
          <w:sz w:val="32"/>
          <w:szCs w:val="32"/>
          <w:lang w:val="en-US" w:eastAsia="zh-CN" w:bidi="ar"/>
        </w:rPr>
        <w:t>》等法律法规的学习培训，并对全局干部职工进行了通用法律知识的学习培训。组织</w:t>
      </w:r>
      <w:r>
        <w:rPr>
          <w:rFonts w:hint="eastAsia" w:ascii="Times New Roman" w:hAnsi="Times New Roman" w:eastAsia="仿宋_GB2312" w:cs="Times New Roman"/>
          <w:kern w:val="0"/>
          <w:sz w:val="32"/>
          <w:szCs w:val="32"/>
          <w:lang w:val="en-US" w:eastAsia="zh-CN" w:bidi="ar"/>
        </w:rPr>
        <w:t>全局</w:t>
      </w:r>
      <w:r>
        <w:rPr>
          <w:rFonts w:hint="eastAsia" w:ascii="Times New Roman" w:hAnsi="Times New Roman" w:eastAsia="仿宋_GB2312" w:cs="Times New Roman"/>
          <w:kern w:val="0"/>
          <w:sz w:val="32"/>
          <w:szCs w:val="32"/>
          <w:highlight w:val="none"/>
          <w:lang w:val="en-US" w:eastAsia="zh-CN" w:bidi="ar"/>
        </w:rPr>
        <w:t>25</w:t>
      </w:r>
      <w:r>
        <w:rPr>
          <w:rFonts w:hint="eastAsia" w:ascii="Times New Roman" w:hAnsi="Times New Roman" w:eastAsia="仿宋_GB2312" w:cs="Times New Roman"/>
          <w:kern w:val="0"/>
          <w:sz w:val="32"/>
          <w:szCs w:val="32"/>
          <w:lang w:val="en-US" w:eastAsia="zh-CN" w:bidi="ar"/>
        </w:rPr>
        <w:t>名在编</w:t>
      </w:r>
      <w:r>
        <w:rPr>
          <w:rFonts w:hint="default" w:ascii="Times New Roman" w:hAnsi="Times New Roman" w:eastAsia="仿宋_GB2312" w:cs="Times New Roman"/>
          <w:kern w:val="0"/>
          <w:sz w:val="32"/>
          <w:szCs w:val="32"/>
          <w:lang w:val="en-US" w:eastAsia="zh-CN" w:bidi="ar"/>
        </w:rPr>
        <w:t>干部职工参加行政执法资格考试，实现了全员持证、依法行政的良好执法格局，从思想上植根党领导法治</w:t>
      </w:r>
      <w:r>
        <w:rPr>
          <w:rFonts w:hint="default" w:ascii="Times New Roman" w:hAnsi="Times New Roman" w:eastAsia="仿宋_GB2312" w:cs="Times New Roman"/>
          <w:spacing w:val="-11"/>
          <w:kern w:val="0"/>
          <w:sz w:val="32"/>
          <w:szCs w:val="32"/>
          <w:lang w:val="en-US" w:eastAsia="zh-CN" w:bidi="ar"/>
        </w:rPr>
        <w:t>建设工作的理念，确保我局法治建设始终围绕习近平法治思想开展。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2" w:firstLineChars="200"/>
        <w:jc w:val="left"/>
        <w:textAlignment w:val="auto"/>
        <w:rPr>
          <w:rFonts w:hint="default" w:ascii="Times New Roman" w:hAnsi="Times New Roman" w:eastAsia="仿宋_GB2312" w:cs="Times New Roman"/>
          <w:kern w:val="0"/>
          <w:sz w:val="32"/>
          <w:szCs w:val="32"/>
          <w:lang w:val="en-US" w:eastAsia="zh-CN" w:bidi="ar"/>
        </w:rPr>
      </w:pPr>
      <w:r>
        <w:rPr>
          <w:rStyle w:val="17"/>
          <w:rFonts w:hint="default" w:ascii="Times New Roman" w:hAnsi="Times New Roman" w:eastAsia="楷体_GB2312" w:cs="Times New Roman"/>
          <w:sz w:val="32"/>
          <w:szCs w:val="32"/>
          <w:lang w:val="en-US" w:eastAsia="zh-CN"/>
        </w:rPr>
        <w:t>（二）依法履行职能情况。</w:t>
      </w:r>
      <w:r>
        <w:rPr>
          <w:rFonts w:hint="default" w:ascii="Times New Roman" w:hAnsi="Times New Roman" w:eastAsia="仿宋_GB2312" w:cs="Times New Roman"/>
          <w:b/>
          <w:bCs/>
          <w:kern w:val="0"/>
          <w:sz w:val="32"/>
          <w:szCs w:val="32"/>
          <w:lang w:val="en-US" w:eastAsia="zh-CN" w:bidi="ar"/>
        </w:rPr>
        <w:t>一是</w:t>
      </w:r>
      <w:r>
        <w:rPr>
          <w:rFonts w:hint="default" w:ascii="Times New Roman" w:hAnsi="Times New Roman" w:eastAsia="仿宋_GB2312" w:cs="Times New Roman"/>
          <w:kern w:val="0"/>
          <w:sz w:val="32"/>
          <w:szCs w:val="32"/>
          <w:lang w:val="en-US" w:eastAsia="zh-CN" w:bidi="ar"/>
        </w:rPr>
        <w:t>依法明确职能定位。坚持合法行政、合理行政、程序正当、高效便民、诚实守信、权责统一的基本原则，明确人社部门的职能定位，切实把应由我局牵头落实的任务分工落实到位。</w:t>
      </w:r>
      <w:r>
        <w:rPr>
          <w:rFonts w:hint="default" w:ascii="Times New Roman" w:hAnsi="Times New Roman" w:eastAsia="仿宋_GB2312" w:cs="Times New Roman"/>
          <w:b/>
          <w:bCs/>
          <w:kern w:val="0"/>
          <w:sz w:val="32"/>
          <w:szCs w:val="32"/>
          <w:lang w:val="en-US" w:eastAsia="zh-CN" w:bidi="ar"/>
        </w:rPr>
        <w:t>二是</w:t>
      </w:r>
      <w:r>
        <w:rPr>
          <w:rFonts w:hint="default" w:ascii="Times New Roman" w:hAnsi="Times New Roman" w:eastAsia="仿宋_GB2312" w:cs="Times New Roman"/>
          <w:kern w:val="0"/>
          <w:sz w:val="32"/>
          <w:szCs w:val="32"/>
          <w:lang w:val="en-US" w:eastAsia="zh-CN" w:bidi="ar"/>
        </w:rPr>
        <w:t>落实权责清单制度。认真梳理我局的权责清单，明确法律依据，明确责任事项，并在盐池县人民政府网站上公开公示。</w:t>
      </w:r>
      <w:r>
        <w:rPr>
          <w:rFonts w:hint="default" w:ascii="Times New Roman" w:hAnsi="Times New Roman" w:eastAsia="仿宋_GB2312" w:cs="Times New Roman"/>
          <w:b/>
          <w:bCs/>
          <w:kern w:val="0"/>
          <w:sz w:val="32"/>
          <w:szCs w:val="32"/>
          <w:lang w:val="en-US" w:eastAsia="zh-CN" w:bidi="ar"/>
        </w:rPr>
        <w:t>三是</w:t>
      </w:r>
      <w:r>
        <w:rPr>
          <w:rFonts w:hint="default" w:ascii="Times New Roman" w:hAnsi="Times New Roman" w:eastAsia="仿宋_GB2312" w:cs="Times New Roman"/>
          <w:kern w:val="0"/>
          <w:sz w:val="32"/>
          <w:szCs w:val="32"/>
          <w:lang w:val="en-US" w:eastAsia="zh-CN" w:bidi="ar"/>
        </w:rPr>
        <w:t>全面推进政务公开。通过盐池县人民政府网站对我局的各项法定主动公开内容等进行公开公示，包括主要职责内设机构和人员编制情况、工作动态、人社政策等需要公开的信息。</w:t>
      </w:r>
      <w:r>
        <w:rPr>
          <w:rFonts w:hint="eastAsia" w:ascii="Times New Roman" w:hAnsi="Times New Roman" w:eastAsia="仿宋_GB2312" w:cs="Times New Roman"/>
          <w:kern w:val="0"/>
          <w:sz w:val="32"/>
          <w:szCs w:val="32"/>
          <w:lang w:val="en-US" w:eastAsia="zh-CN" w:bidi="ar"/>
        </w:rPr>
        <w:t>公示各类信息57条。</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600" w:lineRule="exact"/>
        <w:ind w:left="0" w:leftChars="0" w:firstLine="642" w:firstLineChars="200"/>
        <w:jc w:val="both"/>
        <w:textAlignment w:val="auto"/>
        <w:rPr>
          <w:rFonts w:hint="default" w:ascii="Times New Roman" w:hAnsi="Times New Roman" w:eastAsia="仿宋_GB2312" w:cs="Times New Roman"/>
          <w:kern w:val="0"/>
          <w:sz w:val="32"/>
          <w:szCs w:val="32"/>
          <w:lang w:val="en-US" w:eastAsia="zh-CN" w:bidi="ar"/>
        </w:rPr>
      </w:pPr>
      <w:r>
        <w:rPr>
          <w:rStyle w:val="17"/>
          <w:rFonts w:hint="default" w:ascii="Times New Roman" w:hAnsi="Times New Roman" w:eastAsia="楷体_GB2312" w:cs="Times New Roman"/>
          <w:kern w:val="2"/>
          <w:sz w:val="32"/>
          <w:szCs w:val="32"/>
          <w:lang w:val="en-US" w:eastAsia="zh-CN" w:bidi="ar-SA"/>
        </w:rPr>
        <w:t>（三）</w:t>
      </w:r>
      <w:r>
        <w:rPr>
          <w:rStyle w:val="17"/>
          <w:rFonts w:hint="eastAsia" w:ascii="Times New Roman" w:hAnsi="Times New Roman" w:eastAsia="楷体_GB2312" w:cs="Times New Roman"/>
          <w:kern w:val="2"/>
          <w:sz w:val="32"/>
          <w:szCs w:val="32"/>
          <w:lang w:val="en-US" w:eastAsia="zh-CN" w:bidi="ar-SA"/>
        </w:rPr>
        <w:t>规范</w:t>
      </w:r>
      <w:r>
        <w:rPr>
          <w:rStyle w:val="17"/>
          <w:rFonts w:hint="default" w:ascii="Times New Roman" w:hAnsi="Times New Roman" w:eastAsia="楷体_GB2312" w:cs="Times New Roman"/>
          <w:kern w:val="2"/>
          <w:sz w:val="32"/>
          <w:szCs w:val="32"/>
          <w:lang w:val="en-US" w:eastAsia="zh-CN" w:bidi="ar-SA"/>
        </w:rPr>
        <w:t>重大行政决策情况。</w:t>
      </w:r>
      <w:r>
        <w:rPr>
          <w:rFonts w:hint="default" w:ascii="Times New Roman" w:hAnsi="Times New Roman" w:eastAsia="仿宋_GB2312" w:cs="Times New Roman"/>
          <w:kern w:val="0"/>
          <w:sz w:val="32"/>
          <w:szCs w:val="32"/>
          <w:lang w:val="en-US" w:eastAsia="zh-CN" w:bidi="ar"/>
        </w:rPr>
        <w:t>我局严格按照《重大行政决策程序暂行条例》，认真贯彻民主集中制原则，注重运用法治思维和法治方式开展工作，切实做到依法决策、科学决策、民主决策</w:t>
      </w:r>
      <w:r>
        <w:rPr>
          <w:rFonts w:hint="eastAsia" w:ascii="Times New Roman" w:hAnsi="Times New Roman" w:eastAsia="仿宋_GB2312" w:cs="Times New Roman"/>
          <w:color w:val="auto"/>
          <w:sz w:val="32"/>
          <w:szCs w:val="32"/>
          <w:highlight w:val="none"/>
          <w:lang w:val="en-US" w:eastAsia="zh-CN"/>
        </w:rPr>
        <w:t>，组织召开21次党组会议，涉及“三重一大”事项，坚持会议集体研究决定，严格落实班子议事决策、末位表态等制度，邀请派驻第五纪检监察组全程监督。</w:t>
      </w:r>
      <w:r>
        <w:rPr>
          <w:rFonts w:hint="default" w:ascii="Times New Roman" w:hAnsi="Times New Roman" w:eastAsia="仿宋_GB2312" w:cs="Times New Roman"/>
          <w:kern w:val="0"/>
          <w:sz w:val="32"/>
          <w:szCs w:val="32"/>
          <w:lang w:val="en-US" w:eastAsia="zh-CN" w:bidi="ar"/>
        </w:rPr>
        <w:t>在重大行政决策制定中征求</w:t>
      </w:r>
      <w:r>
        <w:rPr>
          <w:rFonts w:hint="eastAsia" w:ascii="Times New Roman" w:hAnsi="Times New Roman" w:eastAsia="仿宋_GB2312" w:cs="Times New Roman"/>
          <w:kern w:val="0"/>
          <w:sz w:val="32"/>
          <w:szCs w:val="32"/>
          <w:lang w:val="en-US" w:eastAsia="zh-CN" w:bidi="ar"/>
        </w:rPr>
        <w:t>法律顾问</w:t>
      </w:r>
      <w:r>
        <w:rPr>
          <w:rFonts w:hint="default" w:ascii="Times New Roman" w:hAnsi="Times New Roman" w:eastAsia="仿宋_GB2312" w:cs="Times New Roman"/>
          <w:kern w:val="0"/>
          <w:sz w:val="32"/>
          <w:szCs w:val="32"/>
          <w:lang w:val="en-US" w:eastAsia="zh-CN" w:bidi="ar"/>
        </w:rPr>
        <w:t>意见，在行政复议、行政诉讼中</w:t>
      </w:r>
      <w:r>
        <w:rPr>
          <w:rFonts w:hint="eastAsia" w:ascii="Times New Roman" w:hAnsi="Times New Roman" w:eastAsia="仿宋_GB2312" w:cs="Times New Roman"/>
          <w:kern w:val="0"/>
          <w:sz w:val="32"/>
          <w:szCs w:val="32"/>
          <w:lang w:val="en-US" w:eastAsia="zh-CN" w:bidi="ar"/>
        </w:rPr>
        <w:t>安排法律顾问</w:t>
      </w:r>
      <w:r>
        <w:rPr>
          <w:rFonts w:hint="default" w:ascii="Times New Roman" w:hAnsi="Times New Roman" w:eastAsia="仿宋_GB2312" w:cs="Times New Roman"/>
          <w:kern w:val="0"/>
          <w:sz w:val="32"/>
          <w:szCs w:val="32"/>
          <w:lang w:val="en-US" w:eastAsia="zh-CN" w:bidi="ar"/>
        </w:rPr>
        <w:t>出庭，坚决杜绝法律顾问</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聘而不用</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的情形发生。</w:t>
      </w:r>
      <w:r>
        <w:rPr>
          <w:rFonts w:hint="eastAsia" w:ascii="Times New Roman" w:hAnsi="Times New Roman" w:eastAsia="仿宋_GB2312" w:cs="Times New Roman"/>
          <w:kern w:val="0"/>
          <w:sz w:val="32"/>
          <w:szCs w:val="32"/>
          <w:lang w:val="en-US" w:eastAsia="zh-CN" w:bidi="ar"/>
        </w:rPr>
        <w:t>全年法律顾问参加一审出庭9次，二审出庭5次，参与行政复议4次，对3起工亡及15起疑难工伤认定案件征求法律顾问意见。</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600" w:lineRule="exact"/>
        <w:ind w:left="0" w:leftChars="0" w:firstLine="642" w:firstLineChars="200"/>
        <w:jc w:val="left"/>
        <w:textAlignment w:val="auto"/>
        <w:rPr>
          <w:rFonts w:hint="default" w:ascii="Times New Roman" w:hAnsi="Times New Roman" w:eastAsia="仿宋_GB2312" w:cs="Times New Roman"/>
          <w:sz w:val="32"/>
          <w:szCs w:val="32"/>
          <w:lang w:val="en-US" w:eastAsia="zh-CN"/>
        </w:rPr>
      </w:pPr>
      <w:r>
        <w:rPr>
          <w:rStyle w:val="17"/>
          <w:rFonts w:hint="default" w:ascii="Times New Roman" w:hAnsi="Times New Roman" w:eastAsia="楷体_GB2312" w:cs="Times New Roman"/>
          <w:kern w:val="2"/>
          <w:sz w:val="32"/>
          <w:szCs w:val="32"/>
          <w:lang w:val="en-US" w:eastAsia="zh-CN" w:bidi="ar-SA"/>
        </w:rPr>
        <w:t>（四）规范性文件制定管理情况。</w:t>
      </w:r>
      <w:r>
        <w:rPr>
          <w:rFonts w:hint="default" w:ascii="Times New Roman" w:hAnsi="Times New Roman" w:eastAsia="仿宋_GB2312" w:cs="Times New Roman"/>
          <w:sz w:val="32"/>
          <w:szCs w:val="32"/>
          <w:lang w:val="en-US" w:eastAsia="zh-CN"/>
        </w:rPr>
        <w:t>加强规范性文件管理，安排专人对规范性文件进行梳理</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z w:val="32"/>
          <w:szCs w:val="32"/>
          <w:lang w:val="en-US" w:eastAsia="zh-CN"/>
        </w:rPr>
        <w:t>严格落实相关文件要求，</w:t>
      </w:r>
      <w:r>
        <w:rPr>
          <w:rFonts w:hint="default" w:ascii="Times New Roman" w:hAnsi="Times New Roman" w:eastAsia="仿宋_GB2312" w:cs="Times New Roman"/>
          <w:sz w:val="32"/>
          <w:szCs w:val="32"/>
        </w:rPr>
        <w:t>对不符合法律法规规章规定或者不适应经济社会发展的规范性文件</w:t>
      </w:r>
      <w:r>
        <w:rPr>
          <w:rFonts w:hint="default" w:ascii="Times New Roman" w:hAnsi="Times New Roman" w:eastAsia="仿宋_GB2312" w:cs="Times New Roman"/>
          <w:sz w:val="32"/>
          <w:szCs w:val="32"/>
          <w:lang w:eastAsia="zh-CN"/>
        </w:rPr>
        <w:t>和政策性文件</w:t>
      </w:r>
      <w:r>
        <w:rPr>
          <w:rFonts w:hint="default" w:ascii="Times New Roman" w:hAnsi="Times New Roman" w:eastAsia="仿宋_GB2312" w:cs="Times New Roman"/>
          <w:sz w:val="32"/>
          <w:szCs w:val="32"/>
        </w:rPr>
        <w:t>，及时予以废止</w:t>
      </w:r>
      <w:r>
        <w:rPr>
          <w:rFonts w:hint="default" w:ascii="Times New Roman" w:hAnsi="Times New Roman" w:eastAsia="仿宋_GB2312" w:cs="Times New Roman"/>
          <w:sz w:val="32"/>
          <w:szCs w:val="32"/>
          <w:lang w:eastAsia="zh-CN"/>
        </w:rPr>
        <w:t>和清理。</w:t>
      </w:r>
    </w:p>
    <w:p>
      <w:pPr>
        <w:pStyle w:val="12"/>
        <w:keepNext w:val="0"/>
        <w:keepLines w:val="0"/>
        <w:pageBreakBefore w:val="0"/>
        <w:widowControl w:val="0"/>
        <w:suppressLineNumbers w:val="0"/>
        <w:shd w:val="clear" w:color="auto" w:fill="FFFFFF"/>
        <w:kinsoku/>
        <w:wordWrap/>
        <w:overflowPunct/>
        <w:topLinePunct w:val="0"/>
        <w:autoSpaceDE/>
        <w:autoSpaceDN/>
        <w:bidi w:val="0"/>
        <w:spacing w:beforeAutospacing="0" w:afterAutospacing="0" w:line="600" w:lineRule="exact"/>
        <w:ind w:left="0" w:leftChars="0" w:right="0" w:firstLine="642"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Style w:val="17"/>
          <w:rFonts w:hint="default" w:ascii="Times New Roman" w:hAnsi="Times New Roman" w:eastAsia="楷体_GB2312" w:cs="Times New Roman"/>
          <w:kern w:val="2"/>
          <w:sz w:val="32"/>
          <w:szCs w:val="32"/>
          <w:lang w:val="en-US" w:eastAsia="zh-CN" w:bidi="ar-SA"/>
        </w:rPr>
        <w:t>（五）严格规范公正文明执法情况。</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贯彻落实行政执法责任制。</w:t>
      </w:r>
      <w:r>
        <w:rPr>
          <w:rFonts w:hint="eastAsia" w:ascii="Times New Roman" w:hAnsi="Times New Roman" w:eastAsia="仿宋_GB2312" w:cs="Times New Roman"/>
          <w:b w:val="0"/>
          <w:bCs w:val="0"/>
          <w:color w:val="auto"/>
          <w:sz w:val="32"/>
          <w:szCs w:val="32"/>
          <w:lang w:val="en-US" w:eastAsia="zh-CN"/>
        </w:rPr>
        <w:t>2024年，在盐池县人民政府门户网站政务公开栏公布《行政执法事项清单》《宁夏人力资源社会保障领域行政裁量权基准细化表（2023年版）》《宁夏人力资源社会保障领域包容免罚清单（2023年版）》，并及时进行动态调整，确保行政执法</w:t>
      </w:r>
      <w:r>
        <w:rPr>
          <w:rFonts w:hint="default" w:ascii="Times New Roman" w:hAnsi="Times New Roman" w:eastAsia="仿宋_GB2312" w:cs="Times New Roman"/>
          <w:b w:val="0"/>
          <w:bCs w:val="0"/>
          <w:color w:val="auto"/>
          <w:sz w:val="32"/>
          <w:szCs w:val="32"/>
          <w:lang w:val="en-US" w:eastAsia="zh-CN"/>
        </w:rPr>
        <w:t>权责明确、行为规范、监督有效、保障有力</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严格</w:t>
      </w:r>
      <w:r>
        <w:rPr>
          <w:rFonts w:hint="eastAsia" w:ascii="Times New Roman" w:hAnsi="Times New Roman" w:eastAsia="仿宋_GB2312" w:cs="Times New Roman"/>
          <w:b w:val="0"/>
          <w:bCs w:val="0"/>
          <w:color w:val="auto"/>
          <w:sz w:val="32"/>
          <w:szCs w:val="32"/>
          <w:lang w:val="en-US" w:eastAsia="zh-CN"/>
        </w:rPr>
        <w:t>落实行政执法三项制度。</w:t>
      </w:r>
      <w:r>
        <w:rPr>
          <w:rFonts w:hint="default" w:ascii="Times New Roman" w:hAnsi="Times New Roman" w:eastAsia="仿宋_GB2312" w:cs="Times New Roman"/>
          <w:b w:val="0"/>
          <w:bCs w:val="0"/>
          <w:color w:val="auto"/>
          <w:sz w:val="32"/>
          <w:szCs w:val="32"/>
          <w:lang w:val="en-US" w:eastAsia="zh-CN"/>
        </w:rPr>
        <w:t>在执法过程中做到主体合法，程序合法，适用法律正确。在重点案件查处、重点领域监督检查、重大信访案件协调中，实行执法记录仪全程拍摄，严格落实行政执法全过程电子记录制度。</w:t>
      </w:r>
      <w:r>
        <w:rPr>
          <w:rFonts w:hint="default" w:ascii="Times New Roman" w:hAnsi="Times New Roman" w:eastAsia="仿宋_GB2312" w:cs="Times New Roman"/>
          <w:spacing w:val="-6"/>
          <w:kern w:val="2"/>
          <w:sz w:val="32"/>
          <w:szCs w:val="32"/>
          <w:highlight w:val="none"/>
          <w:lang w:val="en-US" w:eastAsia="zh-CN" w:bidi="ar-SA"/>
        </w:rPr>
        <w:t>对149家（个）重点企业（项目）进行全覆盖排查，核查疑点数据220余条，发放督办函5份，对21个在建项目下达《限期整改指令文书》，行政处罚企业2家。</w:t>
      </w:r>
      <w:r>
        <w:rPr>
          <w:rFonts w:hint="eastAsia"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lang w:eastAsia="zh-CN"/>
        </w:rPr>
        <w:t>是</w:t>
      </w:r>
      <w:r>
        <w:rPr>
          <w:rFonts w:hint="default" w:ascii="Times New Roman" w:hAnsi="Times New Roman" w:eastAsia="仿宋_GB2312" w:cs="Times New Roman"/>
          <w:b w:val="0"/>
          <w:bCs w:val="0"/>
          <w:color w:val="auto"/>
          <w:sz w:val="32"/>
          <w:szCs w:val="32"/>
          <w:lang w:val="en-US" w:eastAsia="zh-CN"/>
        </w:rPr>
        <w:t>健全工伤认定申请工作，</w:t>
      </w:r>
      <w:r>
        <w:rPr>
          <w:rFonts w:hint="eastAsia" w:ascii="Times New Roman" w:hAnsi="Times New Roman" w:eastAsia="仿宋_GB2312" w:cs="Times New Roman"/>
          <w:b w:val="0"/>
          <w:bCs w:val="0"/>
          <w:color w:val="auto"/>
          <w:sz w:val="32"/>
          <w:szCs w:val="32"/>
          <w:lang w:val="en-US" w:eastAsia="zh-CN"/>
        </w:rPr>
        <w:t>依法</w:t>
      </w:r>
      <w:r>
        <w:rPr>
          <w:rFonts w:hint="default" w:ascii="Times New Roman" w:hAnsi="Times New Roman" w:eastAsia="仿宋_GB2312" w:cs="Times New Roman"/>
          <w:b w:val="0"/>
          <w:bCs w:val="0"/>
          <w:color w:val="auto"/>
          <w:sz w:val="32"/>
          <w:szCs w:val="32"/>
          <w:lang w:val="en-US" w:eastAsia="zh-CN"/>
        </w:rPr>
        <w:t>保护劳动者合法权益。</w:t>
      </w:r>
      <w:r>
        <w:rPr>
          <w:rFonts w:hint="default" w:ascii="Times New Roman" w:hAnsi="Times New Roman" w:eastAsia="仿宋_GB2312" w:cs="Times New Roman"/>
          <w:b w:val="0"/>
          <w:bCs w:val="0"/>
          <w:color w:val="auto"/>
          <w:sz w:val="32"/>
          <w:szCs w:val="32"/>
          <w:highlight w:val="none"/>
          <w:lang w:val="en" w:eastAsia="zh-CN"/>
        </w:rPr>
        <w:t>2024</w:t>
      </w:r>
      <w:r>
        <w:rPr>
          <w:rFonts w:hint="default" w:ascii="Times New Roman" w:hAnsi="Times New Roman" w:eastAsia="仿宋_GB2312" w:cs="Times New Roman"/>
          <w:b w:val="0"/>
          <w:bCs w:val="0"/>
          <w:color w:val="auto"/>
          <w:sz w:val="32"/>
          <w:szCs w:val="32"/>
          <w:highlight w:val="none"/>
          <w:lang w:val="en-US" w:eastAsia="zh-CN"/>
        </w:rPr>
        <w:t>年我局共收到工伤认定申请</w:t>
      </w:r>
      <w:r>
        <w:rPr>
          <w:rFonts w:hint="eastAsia" w:ascii="Times New Roman" w:hAnsi="Times New Roman" w:eastAsia="仿宋_GB2312" w:cs="Times New Roman"/>
          <w:b w:val="0"/>
          <w:bCs w:val="0"/>
          <w:color w:val="auto"/>
          <w:sz w:val="32"/>
          <w:szCs w:val="32"/>
          <w:highlight w:val="none"/>
          <w:lang w:val="en-US" w:eastAsia="zh-CN"/>
        </w:rPr>
        <w:t>146件</w:t>
      </w:r>
      <w:r>
        <w:rPr>
          <w:rFonts w:hint="default" w:ascii="Times New Roman" w:hAnsi="Times New Roman" w:eastAsia="仿宋_GB2312" w:cs="Times New Roman"/>
          <w:b w:val="0"/>
          <w:bCs w:val="0"/>
          <w:color w:val="auto"/>
          <w:sz w:val="32"/>
          <w:szCs w:val="32"/>
          <w:highlight w:val="none"/>
          <w:lang w:val="en-US" w:eastAsia="zh-CN"/>
        </w:rPr>
        <w:t>，其中认定12</w:t>
      </w:r>
      <w:r>
        <w:rPr>
          <w:rFonts w:hint="eastAsia" w:ascii="Times New Roman" w:hAnsi="Times New Roman" w:eastAsia="仿宋_GB2312" w:cs="Times New Roman"/>
          <w:b w:val="0"/>
          <w:bCs w:val="0"/>
          <w:color w:val="auto"/>
          <w:sz w:val="32"/>
          <w:szCs w:val="32"/>
          <w:highlight w:val="none"/>
          <w:lang w:val="en-US" w:eastAsia="zh-CN"/>
        </w:rPr>
        <w:t>7件</w:t>
      </w:r>
      <w:r>
        <w:rPr>
          <w:rFonts w:hint="default" w:ascii="Times New Roman" w:hAnsi="Times New Roman" w:eastAsia="仿宋_GB2312" w:cs="Times New Roman"/>
          <w:b w:val="0"/>
          <w:bCs w:val="0"/>
          <w:color w:val="auto"/>
          <w:sz w:val="32"/>
          <w:szCs w:val="32"/>
          <w:highlight w:val="none"/>
          <w:lang w:val="en-US" w:eastAsia="zh-CN"/>
        </w:rPr>
        <w:t>，不予认定工伤</w:t>
      </w:r>
      <w:r>
        <w:rPr>
          <w:rFonts w:hint="eastAsia" w:ascii="Times New Roman" w:hAnsi="Times New Roman" w:eastAsia="仿宋_GB2312" w:cs="Times New Roman"/>
          <w:b w:val="0"/>
          <w:bCs w:val="0"/>
          <w:color w:val="auto"/>
          <w:sz w:val="32"/>
          <w:szCs w:val="32"/>
          <w:highlight w:val="none"/>
          <w:lang w:val="en-US" w:eastAsia="zh-CN"/>
        </w:rPr>
        <w:t>5件</w:t>
      </w:r>
      <w:r>
        <w:rPr>
          <w:rFonts w:hint="default" w:ascii="Times New Roman" w:hAnsi="Times New Roman" w:eastAsia="仿宋_GB2312" w:cs="Times New Roman"/>
          <w:b w:val="0"/>
          <w:bCs w:val="0"/>
          <w:color w:val="auto"/>
          <w:sz w:val="32"/>
          <w:szCs w:val="32"/>
          <w:highlight w:val="none"/>
          <w:lang w:val="en-US" w:eastAsia="zh-CN"/>
        </w:rPr>
        <w:t>，撤销</w:t>
      </w:r>
      <w:r>
        <w:rPr>
          <w:rFonts w:hint="eastAsia" w:ascii="Times New Roman" w:hAnsi="Times New Roman" w:eastAsia="仿宋_GB2312" w:cs="Times New Roman"/>
          <w:b w:val="0"/>
          <w:bCs w:val="0"/>
          <w:color w:val="auto"/>
          <w:sz w:val="32"/>
          <w:szCs w:val="32"/>
          <w:highlight w:val="none"/>
          <w:lang w:val="en-US" w:eastAsia="zh-CN"/>
        </w:rPr>
        <w:t>13件</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lang w:val="en-US" w:eastAsia="zh-CN"/>
        </w:rPr>
        <w:t>是</w:t>
      </w:r>
      <w:r>
        <w:rPr>
          <w:rFonts w:hint="eastAsia" w:ascii="Times New Roman" w:hAnsi="Times New Roman" w:eastAsia="仿宋_GB2312" w:cs="Times New Roman"/>
          <w:b w:val="0"/>
          <w:bCs w:val="0"/>
          <w:color w:val="auto"/>
          <w:sz w:val="32"/>
          <w:szCs w:val="32"/>
          <w:lang w:val="en-US" w:eastAsia="zh-CN"/>
        </w:rPr>
        <w:t>规范涉企领域执法检查</w:t>
      </w:r>
      <w:r>
        <w:rPr>
          <w:rFonts w:hint="default" w:ascii="Times New Roman" w:hAnsi="Times New Roman" w:eastAsia="仿宋_GB2312" w:cs="Times New Roman"/>
          <w:color w:val="000000"/>
          <w:sz w:val="32"/>
          <w:szCs w:val="32"/>
        </w:rPr>
        <w:t>。积极开展日常排查、定期巡视检查工作，并迅速及时到事发现场处理信访突发事件。</w:t>
      </w:r>
      <w:r>
        <w:rPr>
          <w:rFonts w:hint="default" w:ascii="Times New Roman" w:hAnsi="Times New Roman" w:eastAsia="仿宋_GB2312" w:cs="Times New Roman"/>
          <w:b w:val="0"/>
          <w:bCs w:val="0"/>
          <w:color w:val="000000"/>
          <w:sz w:val="32"/>
          <w:szCs w:val="32"/>
          <w:lang w:val="en" w:eastAsia="zh-CN"/>
        </w:rPr>
        <w:t>2024</w:t>
      </w:r>
      <w:r>
        <w:rPr>
          <w:rFonts w:hint="default" w:ascii="Times New Roman" w:hAnsi="Times New Roman" w:eastAsia="仿宋_GB2312" w:cs="Times New Roman"/>
          <w:b w:val="0"/>
          <w:bCs w:val="0"/>
          <w:color w:val="000000"/>
          <w:sz w:val="32"/>
          <w:szCs w:val="32"/>
          <w:lang w:val="en-US" w:eastAsia="zh-CN"/>
        </w:rPr>
        <w:t>年我局共检查用人单位</w:t>
      </w:r>
      <w:r>
        <w:rPr>
          <w:rFonts w:hint="default" w:ascii="Times New Roman" w:hAnsi="Times New Roman" w:eastAsia="仿宋_GB2312" w:cs="Times New Roman"/>
          <w:b w:val="0"/>
          <w:bCs w:val="0"/>
          <w:color w:val="000000"/>
          <w:sz w:val="32"/>
          <w:szCs w:val="32"/>
          <w:lang w:val="en" w:eastAsia="zh-CN"/>
        </w:rPr>
        <w:t>91</w:t>
      </w:r>
      <w:r>
        <w:rPr>
          <w:rFonts w:hint="default" w:ascii="Times New Roman" w:hAnsi="Times New Roman" w:eastAsia="仿宋_GB2312" w:cs="Times New Roman"/>
          <w:b w:val="0"/>
          <w:bCs w:val="0"/>
          <w:color w:val="000000"/>
          <w:sz w:val="32"/>
          <w:szCs w:val="32"/>
          <w:lang w:val="en-US" w:eastAsia="zh-CN"/>
        </w:rPr>
        <w:t>家，涉及劳动者人数</w:t>
      </w:r>
      <w:r>
        <w:rPr>
          <w:rFonts w:hint="default" w:ascii="Times New Roman" w:hAnsi="Times New Roman" w:eastAsia="仿宋_GB2312" w:cs="Times New Roman"/>
          <w:b w:val="0"/>
          <w:bCs w:val="0"/>
          <w:color w:val="auto"/>
          <w:sz w:val="32"/>
          <w:szCs w:val="32"/>
          <w:lang w:val="en" w:eastAsia="zh-CN"/>
        </w:rPr>
        <w:t>2207</w:t>
      </w:r>
      <w:r>
        <w:rPr>
          <w:rFonts w:hint="default" w:ascii="Times New Roman" w:hAnsi="Times New Roman" w:eastAsia="仿宋_GB2312" w:cs="Times New Roman"/>
          <w:b w:val="0"/>
          <w:bCs w:val="0"/>
          <w:color w:val="auto"/>
          <w:sz w:val="32"/>
          <w:szCs w:val="32"/>
          <w:lang w:val="en-US" w:eastAsia="zh-CN"/>
        </w:rPr>
        <w:t>人；受理举报投诉案件</w:t>
      </w:r>
      <w:r>
        <w:rPr>
          <w:rFonts w:hint="eastAsia" w:ascii="Times New Roman" w:hAnsi="Times New Roman" w:eastAsia="仿宋_GB2312" w:cs="Times New Roman"/>
          <w:b w:val="0"/>
          <w:bCs w:val="0"/>
          <w:color w:val="auto"/>
          <w:sz w:val="32"/>
          <w:szCs w:val="32"/>
          <w:lang w:val="en-US" w:eastAsia="zh-CN"/>
        </w:rPr>
        <w:t>1482件</w:t>
      </w:r>
      <w:r>
        <w:rPr>
          <w:rFonts w:hint="default" w:ascii="Times New Roman" w:hAnsi="Times New Roman" w:eastAsia="仿宋_GB2312" w:cs="Times New Roman"/>
          <w:b w:val="0"/>
          <w:bCs w:val="0"/>
          <w:color w:val="auto"/>
          <w:sz w:val="32"/>
          <w:szCs w:val="32"/>
          <w:lang w:val="en-US" w:eastAsia="zh-CN"/>
        </w:rPr>
        <w:t>，涉及人数</w:t>
      </w:r>
      <w:r>
        <w:rPr>
          <w:rFonts w:hint="eastAsia" w:ascii="Times New Roman" w:hAnsi="Times New Roman" w:eastAsia="仿宋_GB2312" w:cs="Times New Roman"/>
          <w:b w:val="0"/>
          <w:bCs w:val="0"/>
          <w:color w:val="auto"/>
          <w:sz w:val="32"/>
          <w:szCs w:val="32"/>
          <w:lang w:val="en-US" w:eastAsia="zh-CN"/>
        </w:rPr>
        <w:t>2084</w:t>
      </w:r>
      <w:r>
        <w:rPr>
          <w:rFonts w:hint="default" w:ascii="Times New Roman" w:hAnsi="Times New Roman" w:eastAsia="仿宋_GB2312" w:cs="Times New Roman"/>
          <w:b w:val="0"/>
          <w:bCs w:val="0"/>
          <w:color w:val="auto"/>
          <w:sz w:val="32"/>
          <w:szCs w:val="32"/>
          <w:lang w:val="en-US" w:eastAsia="zh-CN"/>
        </w:rPr>
        <w:t>人，为劳动者追回劳动报酬</w:t>
      </w:r>
      <w:r>
        <w:rPr>
          <w:rFonts w:hint="eastAsia" w:ascii="Times New Roman" w:hAnsi="Times New Roman" w:eastAsia="仿宋_GB2312" w:cs="Times New Roman"/>
          <w:b w:val="0"/>
          <w:bCs w:val="0"/>
          <w:color w:val="auto"/>
          <w:sz w:val="32"/>
          <w:szCs w:val="32"/>
          <w:lang w:val="en-US" w:eastAsia="zh-CN"/>
        </w:rPr>
        <w:t>3128.44</w:t>
      </w:r>
      <w:r>
        <w:rPr>
          <w:rFonts w:hint="default" w:ascii="Times New Roman" w:hAnsi="Times New Roman" w:eastAsia="仿宋_GB2312" w:cs="Times New Roman"/>
          <w:b w:val="0"/>
          <w:bCs w:val="0"/>
          <w:color w:val="auto"/>
          <w:sz w:val="32"/>
          <w:szCs w:val="32"/>
          <w:lang w:val="en-US" w:eastAsia="zh-CN"/>
        </w:rPr>
        <w:t>万元。</w:t>
      </w:r>
      <w:r>
        <w:rPr>
          <w:rFonts w:hint="default" w:ascii="Times New Roman" w:hAnsi="Times New Roman" w:eastAsia="仿宋_GB2312" w:cs="Times New Roman"/>
          <w:color w:val="000000"/>
          <w:sz w:val="32"/>
          <w:szCs w:val="32"/>
        </w:rPr>
        <w:t>积极配合信访部门做好上访问题的现场解答和矛盾纠纷化解工作，</w:t>
      </w:r>
      <w:r>
        <w:rPr>
          <w:rFonts w:hint="default" w:ascii="Times New Roman" w:hAnsi="Times New Roman" w:eastAsia="仿宋_GB2312" w:cs="Times New Roman"/>
          <w:color w:val="000000"/>
          <w:sz w:val="32"/>
          <w:szCs w:val="32"/>
          <w:lang w:val="en"/>
        </w:rPr>
        <w:t>2024</w:t>
      </w:r>
      <w:r>
        <w:rPr>
          <w:rFonts w:hint="default" w:ascii="Times New Roman" w:hAnsi="Times New Roman" w:eastAsia="仿宋_GB2312" w:cs="Times New Roman"/>
          <w:color w:val="000000"/>
          <w:sz w:val="32"/>
          <w:szCs w:val="32"/>
        </w:rPr>
        <w:t>年办理信访件共</w:t>
      </w:r>
      <w:r>
        <w:rPr>
          <w:rFonts w:hint="eastAsia" w:ascii="Times New Roman" w:hAnsi="Times New Roman" w:eastAsia="仿宋_GB2312" w:cs="Times New Roman"/>
          <w:color w:val="000000"/>
          <w:sz w:val="32"/>
          <w:szCs w:val="32"/>
          <w:lang w:val="en-US" w:eastAsia="zh-CN"/>
        </w:rPr>
        <w:t>29</w:t>
      </w:r>
      <w:r>
        <w:rPr>
          <w:rFonts w:hint="default" w:ascii="Times New Roman" w:hAnsi="Times New Roman" w:eastAsia="仿宋_GB2312" w:cs="Times New Roman"/>
          <w:color w:val="000000"/>
          <w:sz w:val="32"/>
          <w:szCs w:val="32"/>
        </w:rPr>
        <w:t>件。</w:t>
      </w:r>
      <w:r>
        <w:rPr>
          <w:rFonts w:hint="eastAsia" w:ascii="Times New Roman" w:hAnsi="Times New Roman" w:eastAsia="仿宋_GB2312" w:cs="Times New Roman"/>
          <w:b/>
          <w:bCs/>
          <w:color w:val="000000"/>
          <w:sz w:val="32"/>
          <w:szCs w:val="32"/>
          <w:lang w:eastAsia="zh-CN"/>
        </w:rPr>
        <w:t>五</w:t>
      </w:r>
      <w:r>
        <w:rPr>
          <w:rFonts w:hint="default" w:ascii="Times New Roman" w:hAnsi="Times New Roman" w:eastAsia="仿宋_GB2312" w:cs="Times New Roman"/>
          <w:b/>
          <w:bCs/>
          <w:color w:val="000000"/>
          <w:sz w:val="32"/>
          <w:szCs w:val="32"/>
        </w:rPr>
        <w:t>是</w:t>
      </w:r>
      <w:r>
        <w:rPr>
          <w:rFonts w:hint="default" w:ascii="Times New Roman" w:hAnsi="Times New Roman" w:eastAsia="仿宋_GB2312" w:cs="Times New Roman"/>
          <w:color w:val="000000"/>
          <w:sz w:val="32"/>
          <w:szCs w:val="32"/>
        </w:rPr>
        <w:t>加强劳动争议调解工作。完善调解、仲裁等矛盾纠纷解决机制，严格按照法定程序开展工作。</w:t>
      </w:r>
      <w:r>
        <w:rPr>
          <w:rFonts w:hint="default" w:ascii="Times New Roman" w:hAnsi="Times New Roman" w:eastAsia="仿宋_GB2312" w:cs="Times New Roman"/>
          <w:color w:val="000000"/>
          <w:sz w:val="32"/>
          <w:szCs w:val="32"/>
          <w:lang w:val="en"/>
        </w:rPr>
        <w:t>2024</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eastAsia="zh-CN"/>
        </w:rPr>
        <w:t>劳动人事争议仲裁委员会</w:t>
      </w:r>
      <w:r>
        <w:rPr>
          <w:rFonts w:hint="default" w:ascii="Times New Roman" w:hAnsi="Times New Roman" w:eastAsia="仿宋_GB2312" w:cs="Times New Roman"/>
          <w:color w:val="000000"/>
          <w:sz w:val="32"/>
          <w:szCs w:val="32"/>
        </w:rPr>
        <w:t>共受理</w:t>
      </w:r>
      <w:r>
        <w:rPr>
          <w:rFonts w:hint="eastAsia" w:ascii="Times New Roman" w:hAnsi="Times New Roman" w:eastAsia="仿宋_GB2312" w:cs="Times New Roman"/>
          <w:color w:val="000000"/>
          <w:sz w:val="32"/>
          <w:szCs w:val="32"/>
          <w:lang w:eastAsia="zh-CN"/>
        </w:rPr>
        <w:t>劳动争议</w:t>
      </w:r>
      <w:r>
        <w:rPr>
          <w:rFonts w:hint="default" w:ascii="Times New Roman" w:hAnsi="Times New Roman" w:eastAsia="仿宋_GB2312" w:cs="Times New Roman"/>
          <w:color w:val="000000"/>
          <w:sz w:val="32"/>
          <w:szCs w:val="32"/>
        </w:rPr>
        <w:t>案件</w:t>
      </w:r>
      <w:r>
        <w:rPr>
          <w:rFonts w:hint="eastAsia" w:ascii="Times New Roman" w:hAnsi="Times New Roman" w:eastAsia="仿宋_GB2312" w:cs="Times New Roman"/>
          <w:color w:val="000000"/>
          <w:sz w:val="32"/>
          <w:szCs w:val="32"/>
          <w:lang w:val="en-US" w:eastAsia="zh-CN"/>
        </w:rPr>
        <w:t>118</w:t>
      </w:r>
      <w:r>
        <w:rPr>
          <w:rFonts w:hint="default" w:ascii="Times New Roman" w:hAnsi="Times New Roman" w:eastAsia="仿宋_GB2312" w:cs="Times New Roman"/>
          <w:color w:val="000000"/>
          <w:sz w:val="32"/>
          <w:szCs w:val="32"/>
        </w:rPr>
        <w:t>宗，涉案人数</w:t>
      </w:r>
      <w:r>
        <w:rPr>
          <w:rFonts w:hint="default" w:ascii="Times New Roman" w:hAnsi="Times New Roman" w:eastAsia="仿宋_GB2312" w:cs="Times New Roman"/>
          <w:color w:val="000000"/>
          <w:sz w:val="32"/>
          <w:szCs w:val="32"/>
          <w:lang w:val="en-US" w:eastAsia="zh-CN"/>
        </w:rPr>
        <w:t>16</w:t>
      </w: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人，涉案金额</w:t>
      </w:r>
      <w:r>
        <w:rPr>
          <w:rFonts w:hint="eastAsia" w:ascii="Times New Roman" w:hAnsi="Times New Roman" w:eastAsia="仿宋_GB2312" w:cs="Times New Roman"/>
          <w:color w:val="000000"/>
          <w:sz w:val="32"/>
          <w:szCs w:val="32"/>
          <w:lang w:val="en-US" w:eastAsia="zh-CN"/>
        </w:rPr>
        <w:t>470.55</w:t>
      </w:r>
      <w:r>
        <w:rPr>
          <w:rFonts w:hint="default" w:ascii="Times New Roman" w:hAnsi="Times New Roman" w:eastAsia="仿宋_GB2312" w:cs="Times New Roman"/>
          <w:color w:val="000000"/>
          <w:sz w:val="32"/>
          <w:szCs w:val="32"/>
        </w:rPr>
        <w:t>万元。</w:t>
      </w:r>
    </w:p>
    <w:p>
      <w:pPr>
        <w:pStyle w:val="13"/>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2" w:firstLineChars="200"/>
        <w:jc w:val="left"/>
        <w:textAlignment w:val="auto"/>
        <w:rPr>
          <w:rFonts w:hint="default" w:ascii="Times New Roman" w:hAnsi="Times New Roman" w:eastAsia="仿宋_GB2312" w:cs="Times New Roman"/>
          <w:sz w:val="32"/>
          <w:szCs w:val="32"/>
          <w:lang w:val="en-US" w:eastAsia="zh-CN"/>
        </w:rPr>
      </w:pPr>
      <w:r>
        <w:rPr>
          <w:rStyle w:val="17"/>
          <w:rFonts w:hint="default" w:ascii="Times New Roman" w:hAnsi="Times New Roman" w:eastAsia="楷体_GB2312" w:cs="Times New Roman"/>
          <w:kern w:val="2"/>
          <w:sz w:val="32"/>
          <w:szCs w:val="32"/>
          <w:lang w:val="en-US" w:eastAsia="zh-CN" w:bidi="ar-SA"/>
        </w:rPr>
        <w:t>（六）行政应诉突出问题专项治理情况。</w:t>
      </w:r>
      <w:r>
        <w:rPr>
          <w:rFonts w:hint="default" w:ascii="Times New Roman" w:hAnsi="Times New Roman" w:eastAsia="仿宋_GB2312" w:cs="Times New Roman"/>
          <w:sz w:val="32"/>
          <w:szCs w:val="32"/>
          <w:lang w:val="en-US" w:eastAsia="zh-CN"/>
        </w:rPr>
        <w:t>成立了单位主要负责人为组长的行政应诉专项治理领导小组，制定《关于开展行政应诉突出问题专项治理工作方案》，明确总体要求、任务措施、整改要求和责任岗位。</w:t>
      </w:r>
      <w:r>
        <w:rPr>
          <w:rFonts w:hint="default" w:ascii="Times New Roman" w:hAnsi="Times New Roman" w:eastAsia="仿宋_GB2312" w:cs="Times New Roman"/>
          <w:sz w:val="32"/>
          <w:szCs w:val="32"/>
          <w:lang w:val="en" w:eastAsia="zh-CN"/>
        </w:rPr>
        <w:t>2024</w:t>
      </w:r>
      <w:r>
        <w:rPr>
          <w:rFonts w:hint="default" w:ascii="Times New Roman" w:hAnsi="Times New Roman" w:eastAsia="仿宋_GB2312" w:cs="Times New Roman"/>
          <w:sz w:val="32"/>
          <w:szCs w:val="32"/>
          <w:lang w:val="en-US" w:eastAsia="zh-CN"/>
        </w:rPr>
        <w:t>年，我局共处理行政诉讼案件</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件；处理行政复议案件</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outlineLvl w:val="9"/>
        <w:rPr>
          <w:rFonts w:hint="default" w:ascii="Times New Roman" w:hAnsi="Times New Roman" w:eastAsia="黑体" w:cs="Times New Roman"/>
          <w:b w:val="0"/>
          <w:bCs w:val="0"/>
          <w:color w:val="000000"/>
          <w:sz w:val="32"/>
          <w:szCs w:val="32"/>
          <w:lang w:val="en-US" w:eastAsia="zh-CN"/>
        </w:rPr>
      </w:pPr>
      <w:r>
        <w:rPr>
          <w:rFonts w:hint="eastAsia" w:ascii="Times New Roman" w:hAnsi="Times New Roman" w:eastAsia="黑体" w:cs="Times New Roman"/>
          <w:b w:val="0"/>
          <w:bCs w:val="0"/>
          <w:color w:val="000000"/>
          <w:sz w:val="32"/>
          <w:szCs w:val="32"/>
          <w:lang w:val="en-US" w:eastAsia="zh-CN"/>
        </w:rPr>
        <w:t>二</w:t>
      </w:r>
      <w:r>
        <w:rPr>
          <w:rFonts w:hint="default" w:ascii="Times New Roman" w:hAnsi="Times New Roman" w:eastAsia="黑体" w:cs="Times New Roman"/>
          <w:b w:val="0"/>
          <w:bCs w:val="0"/>
          <w:color w:val="000000"/>
          <w:sz w:val="32"/>
          <w:szCs w:val="32"/>
          <w:lang w:val="en-US" w:eastAsia="zh-CN"/>
        </w:rPr>
        <w:t>、党政主要负责人履行推进法治建设第一责任人职责，加强法治政府建设的有关情况</w:t>
      </w:r>
    </w:p>
    <w:p>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
        </w:rPr>
        <w:t>2024</w:t>
      </w:r>
      <w:r>
        <w:rPr>
          <w:rFonts w:hint="default" w:ascii="Times New Roman" w:hAnsi="Times New Roman" w:eastAsia="仿宋_GB2312" w:cs="Times New Roman"/>
          <w:sz w:val="32"/>
          <w:szCs w:val="32"/>
        </w:rPr>
        <w:t>年，我局主要负责人深入学习宣传贯彻党的二十大精神、习近平法治思想和中央全面依法治国工作会议精神，严格落实《党政主要负责人履行推进法治建设第一责任人职责规定》，充分发挥以上率下的示范引领作用。</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加强领导督导。我局主要负责人切实履行推进法治建设第一责任人职责，充分发挥党组统揽全局、协调各方的作用，做到部署及时、措施有效、指导有力、督促到位，督促领导班子其他成员依法行政</w:t>
      </w:r>
      <w:r>
        <w:rPr>
          <w:rFonts w:hint="eastAsia" w:ascii="Times New Roman" w:hAnsi="Times New Roman" w:eastAsia="仿宋_GB2312" w:cs="Times New Roman"/>
          <w:sz w:val="32"/>
          <w:szCs w:val="32"/>
          <w:lang w:eastAsia="zh-CN"/>
        </w:rPr>
        <w:t>、依法履职</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b w:val="0"/>
          <w:bCs w:val="0"/>
          <w:sz w:val="32"/>
          <w:szCs w:val="32"/>
        </w:rPr>
        <w:t>领导干部带头学法用法。建立党组中心组学习制度和领导干部学法用法制度，将学法纳入党组中心组必学内容，充分发挥领导干部带头学法用法作用</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2024年，采取理论中心组、党组会、干部理论学等形式开展学习60余次</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bCs/>
          <w:sz w:val="32"/>
          <w:szCs w:val="32"/>
        </w:rPr>
        <w:t>三是</w:t>
      </w:r>
      <w:r>
        <w:rPr>
          <w:rFonts w:hint="eastAsia" w:ascii="Times New Roman" w:hAnsi="Times New Roman" w:eastAsia="仿宋_GB2312" w:cs="Times New Roman"/>
          <w:b/>
          <w:bCs/>
          <w:sz w:val="32"/>
          <w:szCs w:val="32"/>
          <w:lang w:eastAsia="zh-CN"/>
        </w:rPr>
        <w:t>积极履行法治政府建设职责。</w:t>
      </w:r>
      <w:r>
        <w:rPr>
          <w:rFonts w:hint="eastAsia" w:ascii="Times New Roman" w:hAnsi="Times New Roman" w:eastAsia="仿宋_GB2312" w:cs="Times New Roman"/>
          <w:color w:val="auto"/>
          <w:sz w:val="32"/>
          <w:szCs w:val="32"/>
          <w:lang w:val="en-US" w:eastAsia="zh-CN"/>
        </w:rPr>
        <w:t>抓实抓好县人大常委会《保障农民工工资支付条例》贯彻落实情况监督工作，</w:t>
      </w:r>
      <w:r>
        <w:rPr>
          <w:rFonts w:hint="eastAsia" w:ascii="Times New Roman" w:hAnsi="Times New Roman" w:eastAsia="仿宋_GB2312" w:cs="Times New Roman"/>
          <w:b w:val="0"/>
          <w:bCs w:val="0"/>
          <w:color w:val="000000"/>
          <w:kern w:val="2"/>
          <w:sz w:val="32"/>
          <w:szCs w:val="32"/>
          <w:lang w:val="en-US" w:eastAsia="zh-CN" w:bidi="ar-SA"/>
        </w:rPr>
        <w:t>共收到检察院移送的检察建议书3件，现已将办理结果报至检察院；承办人大议案建议和政协提案共计4件，其中主办件1件、协办件3件，目前均已办结。</w:t>
      </w:r>
      <w:r>
        <w:rPr>
          <w:rFonts w:hint="eastAsia" w:ascii="Times New Roman" w:hAnsi="Times New Roman" w:eastAsia="仿宋_GB2312" w:cs="Times New Roman"/>
          <w:b/>
          <w:bCs/>
          <w:sz w:val="32"/>
          <w:szCs w:val="32"/>
          <w:lang w:val="en-US" w:eastAsia="zh-CN"/>
        </w:rPr>
        <w:t>四是扎实开展群众身边不正之风和腐败问题集中整治工作。</w:t>
      </w:r>
      <w:r>
        <w:rPr>
          <w:rFonts w:hint="eastAsia" w:ascii="Times New Roman" w:hAnsi="Times New Roman" w:eastAsia="仿宋_GB2312" w:cs="Times New Roman"/>
          <w:color w:val="auto"/>
          <w:sz w:val="32"/>
          <w:szCs w:val="32"/>
          <w:lang w:val="en-US" w:eastAsia="zh-CN"/>
        </w:rPr>
        <w:t>受理欠薪案件939件，办结871件，整体办结率为92.76%，累计为1209人追讨工资1580.2028万元，</w:t>
      </w:r>
      <w:r>
        <w:rPr>
          <w:rFonts w:hint="default" w:ascii="Times New Roman" w:hAnsi="Times New Roman" w:eastAsia="仿宋_GB2312" w:cs="Times New Roman"/>
          <w:i w:val="0"/>
          <w:iCs w:val="0"/>
          <w:caps w:val="0"/>
          <w:spacing w:val="8"/>
          <w:sz w:val="32"/>
          <w:szCs w:val="32"/>
          <w:lang w:eastAsia="zh-CN"/>
        </w:rPr>
        <w:t>向</w:t>
      </w:r>
      <w:r>
        <w:rPr>
          <w:rFonts w:hint="default" w:ascii="Times New Roman" w:hAnsi="Times New Roman" w:eastAsia="仿宋_GB2312" w:cs="Times New Roman"/>
          <w:i w:val="0"/>
          <w:iCs w:val="0"/>
          <w:caps w:val="0"/>
          <w:spacing w:val="8"/>
          <w:sz w:val="32"/>
          <w:szCs w:val="32"/>
          <w:lang w:val="en" w:eastAsia="zh-CN"/>
        </w:rPr>
        <w:t>县</w:t>
      </w:r>
      <w:r>
        <w:rPr>
          <w:rFonts w:hint="default" w:ascii="Times New Roman" w:hAnsi="Times New Roman" w:eastAsia="仿宋_GB2312" w:cs="Times New Roman"/>
          <w:i w:val="0"/>
          <w:iCs w:val="0"/>
          <w:caps w:val="0"/>
          <w:spacing w:val="8"/>
          <w:sz w:val="32"/>
          <w:szCs w:val="32"/>
          <w:lang w:eastAsia="zh-CN"/>
        </w:rPr>
        <w:t>纪委监委移送</w:t>
      </w:r>
      <w:r>
        <w:rPr>
          <w:rFonts w:hint="eastAsia" w:ascii="Times New Roman" w:hAnsi="Times New Roman" w:eastAsia="仿宋_GB2312" w:cs="Times New Roman"/>
          <w:i w:val="0"/>
          <w:iCs w:val="0"/>
          <w:caps w:val="0"/>
          <w:spacing w:val="8"/>
          <w:sz w:val="32"/>
          <w:szCs w:val="32"/>
          <w:lang w:eastAsia="zh-CN"/>
        </w:rPr>
        <w:t>问题</w:t>
      </w:r>
      <w:r>
        <w:rPr>
          <w:rFonts w:hint="default" w:ascii="Times New Roman" w:hAnsi="Times New Roman" w:eastAsia="仿宋_GB2312" w:cs="Times New Roman"/>
          <w:i w:val="0"/>
          <w:iCs w:val="0"/>
          <w:caps w:val="0"/>
          <w:spacing w:val="8"/>
          <w:sz w:val="32"/>
          <w:szCs w:val="32"/>
          <w:lang w:val="en" w:eastAsia="zh-CN"/>
        </w:rPr>
        <w:t>线索3</w:t>
      </w:r>
      <w:r>
        <w:rPr>
          <w:rFonts w:hint="default" w:ascii="Times New Roman" w:hAnsi="Times New Roman" w:eastAsia="仿宋_GB2312" w:cs="Times New Roman"/>
          <w:i w:val="0"/>
          <w:iCs w:val="0"/>
          <w:caps w:val="0"/>
          <w:spacing w:val="8"/>
          <w:sz w:val="32"/>
          <w:szCs w:val="32"/>
          <w:lang w:val="en-US" w:eastAsia="zh-CN"/>
        </w:rPr>
        <w:t>起</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b w:val="0"/>
          <w:bCs w:val="0"/>
          <w:sz w:val="32"/>
          <w:szCs w:val="32"/>
          <w:lang w:val="en-US" w:eastAsia="zh-CN"/>
        </w:rPr>
        <w:t>发现54人违规领取社保基金55.93万元，其中双重户籍重复领取养老金23人、死亡人员多领养老金10人、服刑人员违规领取养老金21人，已收回违规领取养老金31人40.55万元。</w:t>
      </w:r>
    </w:p>
    <w:p>
      <w:pPr>
        <w:pStyle w:val="13"/>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left"/>
        <w:textAlignment w:val="auto"/>
        <w:rPr>
          <w:rFonts w:hint="default" w:ascii="Times New Roman" w:hAnsi="Times New Roman" w:eastAsia="黑体" w:cs="Times New Roman"/>
          <w:b w:val="0"/>
          <w:bCs w:val="0"/>
          <w:color w:val="000000"/>
          <w:kern w:val="2"/>
          <w:sz w:val="32"/>
          <w:szCs w:val="32"/>
          <w:lang w:val="en-US" w:eastAsia="zh-CN" w:bidi="ar-SA"/>
        </w:rPr>
      </w:pPr>
      <w:r>
        <w:rPr>
          <w:rFonts w:hint="eastAsia" w:ascii="Times New Roman" w:hAnsi="Times New Roman" w:eastAsia="黑体" w:cs="Times New Roman"/>
          <w:b w:val="0"/>
          <w:bCs w:val="0"/>
          <w:color w:val="000000"/>
          <w:kern w:val="2"/>
          <w:sz w:val="32"/>
          <w:szCs w:val="32"/>
          <w:lang w:val="en-US" w:eastAsia="zh-CN" w:bidi="ar-SA"/>
        </w:rPr>
        <w:t>三</w:t>
      </w:r>
      <w:r>
        <w:rPr>
          <w:rFonts w:hint="default" w:ascii="Times New Roman" w:hAnsi="Times New Roman" w:eastAsia="黑体" w:cs="Times New Roman"/>
          <w:b w:val="0"/>
          <w:bCs w:val="0"/>
          <w:color w:val="000000"/>
          <w:kern w:val="2"/>
          <w:sz w:val="32"/>
          <w:szCs w:val="32"/>
          <w:lang w:val="en-US" w:eastAsia="zh-CN" w:bidi="ar-SA"/>
        </w:rPr>
        <w:t>、存在的主要问题</w:t>
      </w:r>
    </w:p>
    <w:p>
      <w:pPr>
        <w:pStyle w:val="13"/>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600" w:lineRule="exact"/>
        <w:ind w:left="0" w:leftChars="0" w:right="0" w:rightChars="0" w:firstLine="642" w:firstLineChars="200"/>
        <w:jc w:val="left"/>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b w:val="0"/>
          <w:bCs w:val="0"/>
          <w:sz w:val="32"/>
          <w:szCs w:val="32"/>
          <w:lang w:eastAsia="zh-CN"/>
        </w:rPr>
        <w:t>思想认识需要进一步提高。</w:t>
      </w:r>
      <w:r>
        <w:rPr>
          <w:rFonts w:hint="default" w:ascii="Times New Roman" w:hAnsi="Times New Roman" w:eastAsia="仿宋_GB2312" w:cs="Times New Roman"/>
          <w:b w:val="0"/>
          <w:bCs w:val="0"/>
          <w:sz w:val="32"/>
          <w:szCs w:val="32"/>
          <w:lang w:val="en"/>
        </w:rPr>
        <w:t>在理论学习上还不够主动，理论学习缺乏系统性、自觉性，理解和把握不够全面。</w:t>
      </w:r>
      <w:r>
        <w:rPr>
          <w:rFonts w:hint="default" w:ascii="Times New Roman" w:hAnsi="Times New Roman" w:eastAsia="仿宋_GB2312" w:cs="Times New Roman"/>
          <w:b/>
          <w:bCs/>
          <w:sz w:val="32"/>
          <w:szCs w:val="32"/>
          <w:lang w:val="en"/>
        </w:rPr>
        <w:t>二是</w:t>
      </w:r>
      <w:r>
        <w:rPr>
          <w:rFonts w:hint="default" w:ascii="Times New Roman" w:hAnsi="Times New Roman" w:eastAsia="仿宋_GB2312" w:cs="Times New Roman"/>
          <w:b w:val="0"/>
          <w:bCs w:val="0"/>
          <w:sz w:val="32"/>
          <w:szCs w:val="32"/>
          <w:lang w:val="en" w:eastAsia="zh-CN"/>
        </w:rPr>
        <w:t>普法宣传需要进一步加强。</w:t>
      </w:r>
      <w:r>
        <w:rPr>
          <w:rFonts w:hint="default" w:ascii="Times New Roman" w:hAnsi="Times New Roman" w:eastAsia="仿宋_GB2312" w:cs="Times New Roman"/>
          <w:b w:val="0"/>
          <w:bCs w:val="0"/>
          <w:sz w:val="32"/>
          <w:szCs w:val="32"/>
          <w:lang w:val="en"/>
        </w:rPr>
        <w:t>在抓普法宣传工作中，宣传教育不够深入，不够广泛，形式较单一，创新意识方面需要加强</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bCs/>
          <w:sz w:val="32"/>
          <w:szCs w:val="32"/>
          <w:lang w:eastAsia="zh-CN"/>
        </w:rPr>
        <w:t>三是</w:t>
      </w:r>
      <w:r>
        <w:rPr>
          <w:rFonts w:hint="default" w:ascii="Times New Roman" w:hAnsi="Times New Roman" w:eastAsia="仿宋_GB2312" w:cs="Times New Roman"/>
          <w:b w:val="0"/>
          <w:bCs w:val="0"/>
          <w:sz w:val="32"/>
          <w:szCs w:val="32"/>
          <w:lang w:eastAsia="zh-CN"/>
        </w:rPr>
        <w:t>法治基础需要进一步夯实。劳动保障监察人员配备的现状还不能完全适应工作发展的需要，法制机构队伍建设有待进一步加强。</w:t>
      </w:r>
    </w:p>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default" w:ascii="Times New Roman" w:hAnsi="Times New Roman" w:eastAsia="黑体" w:cs="Times New Roman"/>
          <w:b w:val="0"/>
          <w:bCs w:val="0"/>
          <w:color w:val="000000"/>
          <w:kern w:val="2"/>
          <w:sz w:val="32"/>
          <w:szCs w:val="32"/>
          <w:lang w:val="en-US" w:eastAsia="zh-CN" w:bidi="ar-SA"/>
        </w:rPr>
      </w:pPr>
      <w:r>
        <w:rPr>
          <w:rFonts w:hint="eastAsia" w:ascii="Times New Roman" w:hAnsi="Times New Roman" w:eastAsia="黑体" w:cs="Times New Roman"/>
          <w:b w:val="0"/>
          <w:bCs w:val="0"/>
          <w:color w:val="000000"/>
          <w:kern w:val="2"/>
          <w:sz w:val="32"/>
          <w:szCs w:val="32"/>
          <w:lang w:val="en-US" w:eastAsia="zh-CN" w:bidi="ar-SA"/>
        </w:rPr>
        <w:t>四、</w:t>
      </w:r>
      <w:r>
        <w:rPr>
          <w:rFonts w:hint="default" w:ascii="Times New Roman" w:hAnsi="Times New Roman" w:eastAsia="黑体" w:cs="Times New Roman"/>
          <w:b w:val="0"/>
          <w:bCs w:val="0"/>
          <w:color w:val="000000"/>
          <w:kern w:val="2"/>
          <w:sz w:val="32"/>
          <w:szCs w:val="32"/>
          <w:lang w:val="en-US" w:eastAsia="zh-CN" w:bidi="ar-SA"/>
        </w:rPr>
        <w:t>下一步工作思路</w:t>
      </w:r>
    </w:p>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年，我局将严格按照县委全面依法治县委员会的总体部署，以党的二十大</w:t>
      </w:r>
      <w:r>
        <w:rPr>
          <w:rFonts w:hint="eastAsia" w:ascii="Times New Roman" w:hAnsi="Times New Roman" w:eastAsia="仿宋_GB2312" w:cs="Times New Roman"/>
          <w:sz w:val="32"/>
          <w:szCs w:val="32"/>
          <w:lang w:eastAsia="zh-CN"/>
        </w:rPr>
        <w:t>及二十届三中全会</w:t>
      </w:r>
      <w:r>
        <w:rPr>
          <w:rFonts w:hint="default" w:ascii="Times New Roman" w:hAnsi="Times New Roman" w:eastAsia="仿宋_GB2312" w:cs="Times New Roman"/>
          <w:sz w:val="32"/>
          <w:szCs w:val="32"/>
          <w:lang w:eastAsia="zh-CN"/>
        </w:rPr>
        <w:t>精神为指导，以服务民生为宗旨，认真贯彻落实有关文件精神，主动适应经济发展新常态、谋求新突破。全力推动人力资源和社会保障事业新发展。</w:t>
      </w:r>
    </w:p>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0" w:leftChars="0" w:firstLine="642"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rPr>
        <w:t>（一）加强</w:t>
      </w:r>
      <w:r>
        <w:rPr>
          <w:rFonts w:hint="eastAsia" w:ascii="Times New Roman" w:hAnsi="Times New Roman" w:eastAsia="楷体_GB2312" w:cs="Times New Roman"/>
          <w:b/>
          <w:bCs/>
          <w:sz w:val="32"/>
          <w:szCs w:val="32"/>
          <w:lang w:eastAsia="zh-CN"/>
        </w:rPr>
        <w:t>法制</w:t>
      </w:r>
      <w:r>
        <w:rPr>
          <w:rFonts w:hint="default" w:ascii="Times New Roman" w:hAnsi="Times New Roman" w:eastAsia="楷体_GB2312" w:cs="Times New Roman"/>
          <w:b/>
          <w:bCs/>
          <w:sz w:val="32"/>
          <w:szCs w:val="32"/>
          <w:lang w:eastAsia="zh-CN"/>
        </w:rPr>
        <w:t>队伍建设。</w:t>
      </w:r>
      <w:r>
        <w:rPr>
          <w:rFonts w:hint="default" w:ascii="Times New Roman" w:hAnsi="Times New Roman" w:eastAsia="仿宋_GB2312" w:cs="Times New Roman"/>
          <w:sz w:val="32"/>
          <w:szCs w:val="32"/>
          <w:lang w:eastAsia="zh-CN"/>
        </w:rPr>
        <w:t>加强</w:t>
      </w:r>
      <w:r>
        <w:rPr>
          <w:rFonts w:hint="eastAsia"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lang w:eastAsia="zh-CN"/>
        </w:rPr>
        <w:t>执法人员</w:t>
      </w:r>
      <w:r>
        <w:rPr>
          <w:rFonts w:hint="eastAsia" w:ascii="Times New Roman" w:hAnsi="Times New Roman" w:eastAsia="仿宋_GB2312" w:cs="Times New Roman"/>
          <w:sz w:val="32"/>
          <w:szCs w:val="32"/>
          <w:lang w:eastAsia="zh-CN"/>
        </w:rPr>
        <w:t>教育</w:t>
      </w:r>
      <w:r>
        <w:rPr>
          <w:rFonts w:hint="default" w:ascii="Times New Roman" w:hAnsi="Times New Roman" w:eastAsia="仿宋_GB2312" w:cs="Times New Roman"/>
          <w:sz w:val="32"/>
          <w:szCs w:val="32"/>
          <w:lang w:eastAsia="zh-CN"/>
        </w:rPr>
        <w:t>培训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提高干部执法水平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开阔行政执法视野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完善依法行政考核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将依法行政</w:t>
      </w:r>
      <w:r>
        <w:rPr>
          <w:rFonts w:hint="eastAsia" w:ascii="Times New Roman" w:hAnsi="Times New Roman" w:eastAsia="仿宋_GB2312" w:cs="Times New Roman"/>
          <w:sz w:val="32"/>
          <w:szCs w:val="32"/>
          <w:lang w:eastAsia="zh-CN"/>
        </w:rPr>
        <w:t>进展</w:t>
      </w:r>
      <w:r>
        <w:rPr>
          <w:rFonts w:hint="default" w:ascii="Times New Roman" w:hAnsi="Times New Roman" w:eastAsia="仿宋_GB2312" w:cs="Times New Roman"/>
          <w:sz w:val="32"/>
          <w:szCs w:val="32"/>
          <w:lang w:eastAsia="zh-CN"/>
        </w:rPr>
        <w:t>情况、取得的主要成效、解决存在突出问题等工作纳入</w:t>
      </w:r>
      <w:r>
        <w:rPr>
          <w:rFonts w:hint="eastAsia" w:ascii="Times New Roman" w:hAnsi="Times New Roman" w:eastAsia="仿宋_GB2312" w:cs="Times New Roman"/>
          <w:sz w:val="32"/>
          <w:szCs w:val="32"/>
          <w:lang w:eastAsia="zh-CN"/>
        </w:rPr>
        <w:t>绩效</w:t>
      </w:r>
      <w:r>
        <w:rPr>
          <w:rFonts w:hint="default" w:ascii="Times New Roman" w:hAnsi="Times New Roman" w:eastAsia="仿宋_GB2312" w:cs="Times New Roman"/>
          <w:sz w:val="32"/>
          <w:szCs w:val="32"/>
          <w:lang w:eastAsia="zh-CN"/>
        </w:rPr>
        <w:t>考核</w:t>
      </w:r>
      <w:r>
        <w:rPr>
          <w:rFonts w:hint="eastAsia" w:ascii="Times New Roman" w:hAnsi="Times New Roman" w:eastAsia="仿宋_GB2312" w:cs="Times New Roman"/>
          <w:sz w:val="32"/>
          <w:szCs w:val="32"/>
          <w:lang w:eastAsia="zh-CN"/>
        </w:rPr>
        <w:t>和领导干部提拔录用的衡量标准，</w:t>
      </w:r>
      <w:r>
        <w:rPr>
          <w:rFonts w:hint="default" w:ascii="Times New Roman" w:hAnsi="Times New Roman" w:eastAsia="仿宋_GB2312" w:cs="Times New Roman"/>
          <w:sz w:val="32"/>
          <w:szCs w:val="32"/>
          <w:lang w:eastAsia="zh-CN"/>
        </w:rPr>
        <w:t>确保依法行政工作有序推进。</w:t>
      </w:r>
    </w:p>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0" w:leftChars="0" w:firstLine="642"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rPr>
        <w:t>（二）加大依法宣传力度。</w:t>
      </w:r>
      <w:r>
        <w:rPr>
          <w:rFonts w:hint="default" w:ascii="Times New Roman" w:hAnsi="Times New Roman" w:eastAsia="仿宋_GB2312" w:cs="Times New Roman"/>
          <w:sz w:val="32"/>
          <w:szCs w:val="32"/>
          <w:lang w:eastAsia="zh-CN"/>
        </w:rPr>
        <w:t>积极参与法制宣传，年内发放宣传资料不少于</w:t>
      </w:r>
      <w:r>
        <w:rPr>
          <w:rFonts w:hint="default" w:ascii="Times New Roman" w:hAnsi="Times New Roman" w:eastAsia="仿宋_GB2312" w:cs="Times New Roman"/>
          <w:sz w:val="32"/>
          <w:szCs w:val="32"/>
          <w:lang w:val="en-US" w:eastAsia="zh-CN"/>
        </w:rPr>
        <w:t>5000</w:t>
      </w:r>
      <w:r>
        <w:rPr>
          <w:rFonts w:hint="default" w:ascii="Times New Roman" w:hAnsi="Times New Roman" w:eastAsia="仿宋_GB2312" w:cs="Times New Roman"/>
          <w:sz w:val="32"/>
          <w:szCs w:val="32"/>
          <w:lang w:eastAsia="zh-CN"/>
        </w:rPr>
        <w:t>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坚持开展“三送五进”活动，从进企业到进村入户，使人社法律法规深入群众。针对政策性强、涉及面广的法律法规着重宣传，同时拓宽宣传渠道，采用多种宣传方式，充分利用微信等群众喜闻乐见的媒体方式进行普法宣传，潜移默化地将法律法规知识传播到千家万户。</w:t>
      </w:r>
    </w:p>
    <w:p>
      <w:pPr>
        <w:pStyle w:val="2"/>
        <w:keepNext w:val="0"/>
        <w:keepLines w:val="0"/>
        <w:pageBreakBefore w:val="0"/>
        <w:widowControl w:val="0"/>
        <w:kinsoku/>
        <w:overflowPunct/>
        <w:topLinePunct w:val="0"/>
        <w:autoSpaceDE/>
        <w:autoSpaceDN/>
        <w:bidi w:val="0"/>
        <w:adjustRightInd/>
        <w:snapToGrid/>
        <w:spacing w:beforeAutospacing="0" w:afterAutospacing="0" w:line="600" w:lineRule="exact"/>
        <w:ind w:left="0" w:leftChars="0" w:firstLine="642"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kern w:val="2"/>
          <w:sz w:val="32"/>
          <w:szCs w:val="32"/>
          <w:lang w:val="en-US" w:eastAsia="zh-CN" w:bidi="ar-SA"/>
        </w:rPr>
        <w:t>提高行政执法标准化、规范化水平。</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sz w:val="32"/>
          <w:szCs w:val="32"/>
          <w:lang w:val="en-US" w:eastAsia="zh-CN"/>
        </w:rPr>
        <w:t>落实行政裁量权基准制度。</w:t>
      </w:r>
      <w:r>
        <w:rPr>
          <w:rFonts w:hint="eastAsia" w:ascii="Times New Roman" w:hAnsi="Times New Roman" w:eastAsia="仿宋_GB2312" w:cs="Times New Roman"/>
          <w:b w:val="0"/>
          <w:bCs w:val="0"/>
          <w:sz w:val="32"/>
          <w:szCs w:val="32"/>
          <w:lang w:val="en-US" w:eastAsia="zh-CN"/>
        </w:rPr>
        <w:t>严格执行《自治区人力资源和社会保障厅关于印发&lt;自治区人力资源和社会保障系统行政裁量基准细化表&gt;》的通知，</w:t>
      </w:r>
      <w:r>
        <w:rPr>
          <w:rFonts w:hint="default" w:ascii="Times New Roman" w:hAnsi="Times New Roman" w:eastAsia="仿宋_GB2312" w:cs="Times New Roman"/>
          <w:b w:val="0"/>
          <w:bCs w:val="0"/>
          <w:sz w:val="32"/>
          <w:szCs w:val="32"/>
          <w:lang w:val="en-US" w:eastAsia="zh-CN"/>
        </w:rPr>
        <w:t>及时对现有行政执法权责进行梳理、调整，并向社会公布</w:t>
      </w:r>
      <w:r>
        <w:rPr>
          <w:rFonts w:hint="eastAsia" w:ascii="Times New Roman" w:hAnsi="Times New Roman" w:eastAsia="仿宋_GB2312" w:cs="Times New Roman"/>
          <w:b w:val="0"/>
          <w:bCs w:val="0"/>
          <w:sz w:val="32"/>
          <w:szCs w:val="32"/>
          <w:lang w:val="en-US" w:eastAsia="zh-CN"/>
        </w:rPr>
        <w:t>盐池县人力资源和社会保障局</w:t>
      </w:r>
      <w:r>
        <w:rPr>
          <w:rFonts w:hint="default" w:ascii="Times New Roman" w:hAnsi="Times New Roman" w:eastAsia="仿宋_GB2312" w:cs="Times New Roman"/>
          <w:b w:val="0"/>
          <w:bCs w:val="0"/>
          <w:sz w:val="32"/>
          <w:szCs w:val="32"/>
          <w:lang w:val="en-US" w:eastAsia="zh-CN"/>
        </w:rPr>
        <w:t>权责清单，确保职权事项的实用性、时效性和准确性。</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常态化开展执法案卷评查、抽查。</w:t>
      </w:r>
      <w:r>
        <w:rPr>
          <w:rFonts w:hint="eastAsia" w:ascii="Times New Roman" w:hAnsi="Times New Roman" w:eastAsia="仿宋_GB2312" w:cs="Times New Roman"/>
          <w:b w:val="0"/>
          <w:bCs w:val="0"/>
          <w:sz w:val="32"/>
          <w:szCs w:val="32"/>
          <w:lang w:val="en-US" w:eastAsia="zh-CN"/>
        </w:rPr>
        <w:t>积极组织</w:t>
      </w:r>
      <w:r>
        <w:rPr>
          <w:rFonts w:hint="default" w:ascii="Times New Roman" w:hAnsi="Times New Roman" w:eastAsia="仿宋_GB2312" w:cs="Times New Roman"/>
          <w:b w:val="0"/>
          <w:bCs w:val="0"/>
          <w:sz w:val="32"/>
          <w:szCs w:val="32"/>
          <w:lang w:val="en-US" w:eastAsia="zh-CN"/>
        </w:rPr>
        <w:t>开展案卷评查，在案卷评查过程中总结经验、分析问题，进行整改，进一步提升行政执法案卷的规范化、标准化、精细化水平。</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color w:val="auto"/>
          <w:spacing w:val="0"/>
          <w:sz w:val="32"/>
          <w:szCs w:val="32"/>
          <w:lang w:val="en-US" w:eastAsia="zh-CN"/>
        </w:rPr>
        <w:t>创新执法方式。</w:t>
      </w:r>
      <w:r>
        <w:rPr>
          <w:rFonts w:hint="eastAsia" w:ascii="Times New Roman" w:hAnsi="Times New Roman" w:eastAsia="仿宋_GB2312" w:cs="Times New Roman"/>
          <w:b w:val="0"/>
          <w:bCs w:val="0"/>
          <w:color w:val="auto"/>
          <w:spacing w:val="0"/>
          <w:sz w:val="32"/>
          <w:szCs w:val="32"/>
          <w:lang w:val="en-US" w:eastAsia="zh-CN"/>
        </w:rPr>
        <w:t>严格执行《自治区人力资源和社会保障厅关于印发&lt;宁夏回族自治区人力资源社会保障领域实施包容免罚清单（第一批）的通知》，</w:t>
      </w:r>
      <w:r>
        <w:rPr>
          <w:rFonts w:hint="default" w:ascii="Times New Roman" w:hAnsi="Times New Roman" w:eastAsia="仿宋_GB2312" w:cs="Times New Roman"/>
          <w:b w:val="0"/>
          <w:bCs w:val="0"/>
          <w:kern w:val="0"/>
          <w:sz w:val="32"/>
          <w:szCs w:val="32"/>
          <w:lang w:val="en-US" w:eastAsia="zh-CN" w:bidi="ar"/>
        </w:rPr>
        <w:t>积极转变执法方式，在处理劳动监察、劳动争议仲裁、信访案件等时，注重调解优先、“柔性”执法，做到执法既要有力度，更要有温度。</w:t>
      </w:r>
    </w:p>
    <w:p>
      <w:pPr>
        <w:keepNext w:val="0"/>
        <w:keepLines w:val="0"/>
        <w:pageBreakBefore w:val="0"/>
        <w:widowControl w:val="0"/>
        <w:kinsoku/>
        <w:overflowPunct/>
        <w:topLinePunct w:val="0"/>
        <w:autoSpaceDE/>
        <w:autoSpaceDN/>
        <w:bidi w:val="0"/>
        <w:spacing w:beforeAutospacing="0" w:afterAutospacing="0" w:line="600" w:lineRule="exact"/>
        <w:ind w:left="0" w:leftChars="0"/>
        <w:jc w:val="left"/>
        <w:textAlignment w:val="auto"/>
        <w:rPr>
          <w:rFonts w:hint="default" w:ascii="Times New Roman" w:hAnsi="Times New Roman" w:eastAsia="仿宋_GB2312" w:cs="Times New Roman"/>
          <w:b w:val="0"/>
          <w:bCs w:val="0"/>
          <w:kern w:val="2"/>
          <w:sz w:val="32"/>
          <w:szCs w:val="32"/>
          <w:lang w:val="en-US" w:eastAsia="zh-CN" w:bidi="ar-SA"/>
        </w:rPr>
      </w:pPr>
    </w:p>
    <w:p>
      <w:pPr>
        <w:pStyle w:val="9"/>
        <w:keepNext w:val="0"/>
        <w:keepLines w:val="0"/>
        <w:pageBreakBefore w:val="0"/>
        <w:widowControl w:val="0"/>
        <w:kinsoku/>
        <w:overflowPunct/>
        <w:topLinePunct w:val="0"/>
        <w:autoSpaceDE/>
        <w:autoSpaceDN/>
        <w:bidi w:val="0"/>
        <w:spacing w:beforeAutospacing="0" w:after="0" w:afterAutospacing="0" w:line="600" w:lineRule="exact"/>
        <w:ind w:left="0" w:leftChars="0"/>
        <w:jc w:val="left"/>
        <w:textAlignment w:val="auto"/>
        <w:rPr>
          <w:rFonts w:hint="default" w:ascii="Times New Roman" w:hAnsi="Times New Roman" w:eastAsia="仿宋_GB2312" w:cs="Times New Roman"/>
          <w:b w:val="0"/>
          <w:bCs w:val="0"/>
          <w:kern w:val="2"/>
          <w:sz w:val="32"/>
          <w:szCs w:val="32"/>
          <w:lang w:val="en-US" w:eastAsia="zh-CN" w:bidi="ar-SA"/>
        </w:rPr>
      </w:pPr>
    </w:p>
    <w:p>
      <w:pPr>
        <w:pStyle w:val="6"/>
        <w:keepNext w:val="0"/>
        <w:keepLines w:val="0"/>
        <w:pageBreakBefore w:val="0"/>
        <w:widowControl w:val="0"/>
        <w:kinsoku/>
        <w:overflowPunct/>
        <w:topLinePunct w:val="0"/>
        <w:autoSpaceDE/>
        <w:autoSpaceDN/>
        <w:bidi w:val="0"/>
        <w:spacing w:before="0" w:beforeAutospacing="0" w:after="0" w:afterAutospacing="0" w:line="600" w:lineRule="exact"/>
        <w:ind w:left="0" w:leftChars="0"/>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4160" w:firstLineChars="13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盐池县人力资源和社会保障局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120" w:firstLineChars="16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此件公开发布</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饶文志</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lang w:val="en-US" w:eastAsia="zh-CN"/>
        </w:rPr>
        <w:t>995234079</w:t>
      </w:r>
      <w:r>
        <w:rPr>
          <w:rFonts w:hint="default" w:ascii="Times New Roman" w:hAnsi="Times New Roman" w:eastAsia="仿宋_GB2312" w:cs="Times New Roman"/>
          <w:sz w:val="32"/>
          <w:szCs w:val="32"/>
        </w:rPr>
        <w:t>）</w:t>
      </w:r>
    </w:p>
    <w:p>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lang w:val="en-US" w:eastAsia="zh-CN"/>
        </w:rPr>
      </w:pPr>
    </w:p>
    <w:p>
      <w:pPr>
        <w:keepNext w:val="0"/>
        <w:keepLines w:val="0"/>
        <w:pageBreakBefore w:val="0"/>
        <w:widowControl w:val="0"/>
        <w:kinsoku/>
        <w:overflowPunct/>
        <w:topLinePunct w:val="0"/>
        <w:autoSpaceDE/>
        <w:autoSpaceDN/>
        <w:bidi w:val="0"/>
        <w:spacing w:line="600" w:lineRule="exact"/>
        <w:textAlignment w:val="auto"/>
        <w:rPr>
          <w:rFonts w:hint="default" w:ascii="Times New Roman" w:hAnsi="Times New Roman" w:cs="Times New Roman"/>
          <w:lang w:val="en-US" w:eastAsia="zh-CN"/>
        </w:rPr>
      </w:pPr>
    </w:p>
    <w:p>
      <w:pPr>
        <w:keepNext w:val="0"/>
        <w:keepLines w:val="0"/>
        <w:pageBreakBefore w:val="0"/>
        <w:widowControl w:val="0"/>
        <w:kinsoku/>
        <w:overflowPunct/>
        <w:topLinePunct w:val="0"/>
        <w:autoSpaceDE/>
        <w:autoSpaceDN/>
        <w:bidi w:val="0"/>
        <w:spacing w:line="600" w:lineRule="exact"/>
        <w:textAlignment w:val="auto"/>
        <w:rPr>
          <w:rFonts w:hint="default" w:ascii="Times New Roman" w:hAnsi="Times New Roman" w:cs="Times New Roman"/>
          <w:lang w:val="en-US" w:eastAsia="zh-CN"/>
        </w:rPr>
      </w:pPr>
    </w:p>
    <w:p>
      <w:pPr>
        <w:pStyle w:val="2"/>
        <w:keepNext w:val="0"/>
        <w:keepLines w:val="0"/>
        <w:pageBreakBefore w:val="0"/>
        <w:widowControl w:val="0"/>
        <w:kinsoku/>
        <w:overflowPunct/>
        <w:topLinePunct w:val="0"/>
        <w:autoSpaceDE/>
        <w:autoSpaceDN/>
        <w:bidi w:val="0"/>
        <w:spacing w:line="600" w:lineRule="exact"/>
        <w:textAlignment w:val="auto"/>
        <w:rPr>
          <w:rFonts w:hint="default" w:ascii="Times New Roman" w:hAnsi="Times New Roman" w:cs="Times New Roman"/>
          <w:lang w:val="en-US" w:eastAsia="zh-CN"/>
        </w:rPr>
      </w:pPr>
    </w:p>
    <w:p>
      <w:pPr>
        <w:keepNext w:val="0"/>
        <w:keepLines w:val="0"/>
        <w:pageBreakBefore w:val="0"/>
        <w:widowControl w:val="0"/>
        <w:kinsoku/>
        <w:overflowPunct/>
        <w:topLinePunct w:val="0"/>
        <w:autoSpaceDE/>
        <w:autoSpaceDN/>
        <w:bidi w:val="0"/>
        <w:spacing w:line="600" w:lineRule="exact"/>
        <w:textAlignment w:val="auto"/>
        <w:rPr>
          <w:rFonts w:hint="default" w:ascii="Times New Roman" w:hAnsi="Times New Roman" w:cs="Times New Roman"/>
          <w:lang w:val="en-US" w:eastAsia="zh-CN"/>
        </w:rPr>
      </w:pPr>
    </w:p>
    <w:p>
      <w:pPr>
        <w:pStyle w:val="2"/>
        <w:keepNext w:val="0"/>
        <w:keepLines w:val="0"/>
        <w:pageBreakBefore w:val="0"/>
        <w:widowControl w:val="0"/>
        <w:kinsoku/>
        <w:overflowPunct/>
        <w:topLinePunct w:val="0"/>
        <w:autoSpaceDE/>
        <w:autoSpaceDN/>
        <w:bidi w:val="0"/>
        <w:spacing w:line="600" w:lineRule="exact"/>
        <w:textAlignment w:val="auto"/>
        <w:rPr>
          <w:rFonts w:hint="default" w:ascii="Times New Roman" w:hAnsi="Times New Roman" w:cs="Times New Roman"/>
          <w:lang w:val="en-US" w:eastAsia="zh-CN"/>
        </w:rPr>
      </w:pPr>
    </w:p>
    <w:p>
      <w:pPr>
        <w:keepNext w:val="0"/>
        <w:keepLines w:val="0"/>
        <w:pageBreakBefore w:val="0"/>
        <w:widowControl w:val="0"/>
        <w:kinsoku/>
        <w:overflowPunct/>
        <w:topLinePunct w:val="0"/>
        <w:autoSpaceDE/>
        <w:autoSpaceDN/>
        <w:bidi w:val="0"/>
        <w:spacing w:line="600" w:lineRule="exact"/>
        <w:textAlignment w:val="auto"/>
        <w:rPr>
          <w:rFonts w:hint="default" w:ascii="Times New Roman" w:hAnsi="Times New Roman" w:cs="Times New Roman"/>
          <w:lang w:val="en-US" w:eastAsia="zh-CN"/>
        </w:rPr>
      </w:pPr>
    </w:p>
    <w:p>
      <w:pPr>
        <w:pStyle w:val="2"/>
        <w:keepNext w:val="0"/>
        <w:keepLines w:val="0"/>
        <w:pageBreakBefore w:val="0"/>
        <w:widowControl w:val="0"/>
        <w:kinsoku/>
        <w:overflowPunct/>
        <w:topLinePunct w:val="0"/>
        <w:autoSpaceDE/>
        <w:autoSpaceDN/>
        <w:bidi w:val="0"/>
        <w:spacing w:line="600" w:lineRule="exact"/>
        <w:textAlignment w:val="auto"/>
        <w:rPr>
          <w:rFonts w:hint="default" w:ascii="Times New Roman" w:hAnsi="Times New Roman" w:cs="Times New Roman"/>
          <w:lang w:val="en-US" w:eastAsia="zh-CN"/>
        </w:rPr>
      </w:pPr>
    </w:p>
    <w:p>
      <w:pPr>
        <w:keepNext w:val="0"/>
        <w:keepLines w:val="0"/>
        <w:pageBreakBefore w:val="0"/>
        <w:widowControl w:val="0"/>
        <w:kinsoku/>
        <w:overflowPunct/>
        <w:topLinePunct w:val="0"/>
        <w:autoSpaceDE/>
        <w:autoSpaceDN/>
        <w:bidi w:val="0"/>
        <w:spacing w:line="600" w:lineRule="exact"/>
        <w:textAlignment w:val="auto"/>
        <w:rPr>
          <w:rFonts w:hint="default"/>
          <w:lang w:val="en-US" w:eastAsia="zh-CN"/>
        </w:rPr>
      </w:pPr>
    </w:p>
    <w:p>
      <w:pPr>
        <w:pStyle w:val="2"/>
        <w:keepNext w:val="0"/>
        <w:keepLines w:val="0"/>
        <w:pageBreakBefore w:val="0"/>
        <w:widowControl w:val="0"/>
        <w:kinsoku/>
        <w:overflowPunct/>
        <w:topLinePunct w:val="0"/>
        <w:autoSpaceDE/>
        <w:autoSpaceDN/>
        <w:bidi w:val="0"/>
        <w:spacing w:line="600" w:lineRule="exact"/>
        <w:textAlignment w:val="auto"/>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280" w:firstLineChars="100"/>
        <w:textAlignment w:val="auto"/>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kern w:val="2"/>
          <w:sz w:val="28"/>
          <w:szCs w:val="28"/>
          <w:lang w:val="en-US" w:eastAsia="zh-CN" w:bidi="ar-SA"/>
        </w:rPr>
        <mc:AlternateContent>
          <mc:Choice Requires="wps">
            <w:drawing>
              <wp:anchor distT="0" distB="0" distL="114300" distR="114300" simplePos="0" relativeHeight="251685888" behindDoc="0" locked="0" layoutInCell="1" allowOverlap="1">
                <wp:simplePos x="0" y="0"/>
                <wp:positionH relativeFrom="column">
                  <wp:posOffset>-13335</wp:posOffset>
                </wp:positionH>
                <wp:positionV relativeFrom="paragraph">
                  <wp:posOffset>38735</wp:posOffset>
                </wp:positionV>
                <wp:extent cx="5560060" cy="4445"/>
                <wp:effectExtent l="0" t="9525" r="2540" b="14605"/>
                <wp:wrapNone/>
                <wp:docPr id="5" name="直接连接符 5"/>
                <wp:cNvGraphicFramePr/>
                <a:graphic xmlns:a="http://schemas.openxmlformats.org/drawingml/2006/main">
                  <a:graphicData uri="http://schemas.microsoft.com/office/word/2010/wordprocessingShape">
                    <wps:wsp>
                      <wps:cNvCnPr/>
                      <wps:spPr>
                        <a:xfrm flipV="true">
                          <a:off x="0" y="0"/>
                          <a:ext cx="5560060" cy="4445"/>
                        </a:xfrm>
                        <a:prstGeom prst="line">
                          <a:avLst/>
                        </a:prstGeom>
                        <a:ln w="1905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1.05pt;margin-top:3.05pt;height:0.35pt;width:437.8pt;z-index:251685888;mso-width-relative:page;mso-height-relative:page;" filled="f" stroked="t" coordsize="21600,21600" o:gfxdata="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HYK3g/UAAAABgEAAA8AAAAAAAAAAQAgAAAAOAAAAGRycy9kb3du&#10;cmV2LnhtbFBLAQIUABQAAAAIAIdO4kAp0HON7QEAALgDAAAOAAAAAAAAAAEAIAAAADkBAABkcnMv&#10;ZTJvRG9jLnhtbFBLBQYAAAAABgAGAFkBAACYBQAAAAA=&#10;">
                <v:fill on="f" focussize="0,0"/>
                <v:stroke weight="1.5pt" color="#000000" joinstyle="round"/>
                <v:imagedata o:title=""/>
                <o:lock v:ext="edit" aspectratio="f"/>
              </v:line>
            </w:pict>
          </mc:Fallback>
        </mc:AlternateContent>
      </w:r>
      <w:r>
        <w:rPr>
          <w:rFonts w:hint="default" w:ascii="Times New Roman" w:hAnsi="Times New Roman" w:eastAsia="仿宋" w:cs="Times New Roman"/>
          <w:kern w:val="2"/>
          <w:sz w:val="28"/>
          <w:szCs w:val="28"/>
          <w:lang w:val="en-US" w:eastAsia="zh-CN" w:bidi="ar-SA"/>
        </w:rPr>
        <w:t>抄报：盐池县人民政府，吴忠市</w:t>
      </w:r>
      <w:r>
        <w:rPr>
          <w:rFonts w:hint="eastAsia" w:ascii="Times New Roman" w:hAnsi="Times New Roman" w:eastAsia="仿宋" w:cs="Times New Roman"/>
          <w:kern w:val="2"/>
          <w:sz w:val="28"/>
          <w:szCs w:val="28"/>
          <w:lang w:val="en-US" w:eastAsia="zh-CN" w:bidi="ar-SA"/>
        </w:rPr>
        <w:t>人力资源和社会保障局</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280" w:firstLineChars="100"/>
        <w:textAlignment w:val="auto"/>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kern w:val="2"/>
          <w:sz w:val="28"/>
          <w:szCs w:val="28"/>
          <w:lang w:val="en-US" w:eastAsia="zh-CN" w:bidi="ar-SA"/>
        </w:rPr>
        <w:t>抄送：盐池县</w:t>
      </w:r>
      <w:r>
        <w:rPr>
          <w:rFonts w:hint="eastAsia" w:eastAsia="仿宋" w:cs="Times New Roman"/>
          <w:kern w:val="2"/>
          <w:sz w:val="28"/>
          <w:szCs w:val="28"/>
          <w:lang w:val="en-US" w:eastAsia="zh-CN" w:bidi="ar-SA"/>
        </w:rPr>
        <w:t>委</w:t>
      </w:r>
      <w:r>
        <w:rPr>
          <w:rFonts w:hint="default" w:ascii="Times New Roman" w:hAnsi="Times New Roman" w:eastAsia="仿宋" w:cs="Times New Roman"/>
          <w:kern w:val="2"/>
          <w:sz w:val="28"/>
          <w:szCs w:val="28"/>
          <w:lang w:val="en-US" w:eastAsia="zh-CN" w:bidi="ar-SA"/>
        </w:rPr>
        <w:t>全面依法治县委员会办公室</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sz w:val="28"/>
          <w:szCs w:val="28"/>
        </w:rPr>
        <mc:AlternateContent>
          <mc:Choice Requires="wps">
            <w:drawing>
              <wp:anchor distT="0" distB="0" distL="114300" distR="114300" simplePos="0" relativeHeight="251687936" behindDoc="0" locked="0" layoutInCell="1" allowOverlap="1">
                <wp:simplePos x="0" y="0"/>
                <wp:positionH relativeFrom="column">
                  <wp:posOffset>24765</wp:posOffset>
                </wp:positionH>
                <wp:positionV relativeFrom="paragraph">
                  <wp:posOffset>25400</wp:posOffset>
                </wp:positionV>
                <wp:extent cx="5560060" cy="4445"/>
                <wp:effectExtent l="0" t="9525" r="2540" b="14605"/>
                <wp:wrapNone/>
                <wp:docPr id="6" name="直接连接符 6"/>
                <wp:cNvGraphicFramePr/>
                <a:graphic xmlns:a="http://schemas.openxmlformats.org/drawingml/2006/main">
                  <a:graphicData uri="http://schemas.microsoft.com/office/word/2010/wordprocessingShape">
                    <wps:wsp>
                      <wps:cNvCnPr/>
                      <wps:spPr>
                        <a:xfrm flipV="true">
                          <a:off x="0" y="0"/>
                          <a:ext cx="5560060" cy="4445"/>
                        </a:xfrm>
                        <a:prstGeom prst="line">
                          <a:avLst/>
                        </a:prstGeom>
                        <a:ln w="1905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1.95pt;margin-top:2pt;height:0.35pt;width:437.8pt;z-index:251687936;mso-width-relative:page;mso-height-relative:page;" filled="f" stroked="t" coordsize="21600,21600" o:gfxdata="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Cc8xLvUAAAABQEAAA8AAAAAAAAAAQAgAAAAOAAAAGRycy9kb3ducmV2&#10;LnhtbFBLAQIUABQAAAAIAIdO4kAUpaFb6gEAALgDAAAOAAAAAAAAAAEAIAAAADkBAABkcnMvZTJv&#10;RG9jLnhtbFBLBQYAAAAABgAGAFkBAACVBQAAAAA=&#10;">
                <v:fill on="f" focussize="0,0"/>
                <v:stroke weight="1.5pt" color="#000000" joinstyle="round"/>
                <v:imagedata o:title=""/>
                <o:lock v:ext="edit" aspectratio="f"/>
              </v:line>
            </w:pict>
          </mc:Fallback>
        </mc:AlternateContent>
      </w:r>
      <w:r>
        <w:rPr>
          <w:rFonts w:hint="default" w:ascii="Times New Roman" w:hAnsi="Times New Roman" w:eastAsia="仿宋" w:cs="Times New Roman"/>
          <w:sz w:val="28"/>
          <w:szCs w:val="28"/>
        </w:rPr>
        <mc:AlternateContent>
          <mc:Choice Requires="wps">
            <w:drawing>
              <wp:anchor distT="0" distB="0" distL="114300" distR="114300" simplePos="0" relativeHeight="251686912" behindDoc="0" locked="0" layoutInCell="1" allowOverlap="1">
                <wp:simplePos x="0" y="0"/>
                <wp:positionH relativeFrom="column">
                  <wp:posOffset>11430</wp:posOffset>
                </wp:positionH>
                <wp:positionV relativeFrom="paragraph">
                  <wp:posOffset>413385</wp:posOffset>
                </wp:positionV>
                <wp:extent cx="5600700" cy="0"/>
                <wp:effectExtent l="0" t="9525" r="0" b="9525"/>
                <wp:wrapNone/>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9pt;margin-top:32.55pt;height:0pt;width:441pt;z-index:251686912;mso-width-relative:page;mso-height-relative:page;" filled="f" stroked="t" coordsize="21600,21600" o:gfxdata="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uvY3u0gAAAAcBAAAPAAAAAAAAAAEAIAAAADgAAABkcnMvZG93bnJldi54bWxQSwECFAAU&#10;AAAACACHTuJAL/AMJOEBAACoAwAADgAAAAAAAAABACAAAAA3AQAAZHJzL2Uyb0RvYy54bWxQSwUG&#10;AAAAAAYABgBZAQAAigUAAAAA&#10;">
                <v:fill on="f" focussize="0,0"/>
                <v:stroke weight="1.5pt" color="#000000" joinstyle="round"/>
                <v:imagedata o:title=""/>
                <o:lock v:ext="edit" aspectratio="f"/>
              </v:line>
            </w:pict>
          </mc:Fallback>
        </mc:AlternateContent>
      </w:r>
      <w:r>
        <w:rPr>
          <w:rFonts w:hint="default" w:ascii="Times New Roman" w:hAnsi="Times New Roman" w:eastAsia="仿宋" w:cs="Times New Roman"/>
          <w:sz w:val="28"/>
          <w:szCs w:val="28"/>
        </w:rPr>
        <w:t>盐池县</w:t>
      </w:r>
      <w:r>
        <w:rPr>
          <w:rFonts w:hint="eastAsia" w:ascii="Times New Roman" w:hAnsi="Times New Roman" w:eastAsia="仿宋" w:cs="Times New Roman"/>
          <w:sz w:val="28"/>
          <w:szCs w:val="28"/>
          <w:lang w:eastAsia="zh-CN"/>
        </w:rPr>
        <w:t>人力资源和社会保障</w:t>
      </w:r>
      <w:r>
        <w:rPr>
          <w:rFonts w:hint="default" w:ascii="Times New Roman" w:hAnsi="Times New Roman" w:eastAsia="仿宋" w:cs="Times New Roman"/>
          <w:sz w:val="28"/>
          <w:szCs w:val="28"/>
          <w:lang w:eastAsia="zh-CN"/>
        </w:rPr>
        <w:t>局</w:t>
      </w:r>
      <w:r>
        <w:rPr>
          <w:rFonts w:hint="default" w:ascii="Times New Roman" w:hAnsi="Times New Roman" w:eastAsia="仿宋" w:cs="Times New Roman"/>
          <w:sz w:val="28"/>
          <w:szCs w:val="28"/>
        </w:rPr>
        <w:t>办公室         20</w:t>
      </w:r>
      <w:r>
        <w:rPr>
          <w:rFonts w:hint="default"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7</w:t>
      </w:r>
      <w:r>
        <w:rPr>
          <w:rFonts w:hint="default" w:ascii="Times New Roman" w:hAnsi="Times New Roman" w:eastAsia="仿宋" w:cs="Times New Roman"/>
          <w:sz w:val="28"/>
          <w:szCs w:val="28"/>
        </w:rPr>
        <w:t>日印</w:t>
      </w:r>
      <w:r>
        <w:rPr>
          <w:rFonts w:hint="default" w:ascii="Times New Roman" w:hAnsi="Times New Roman" w:eastAsia="仿宋" w:cs="Times New Roman"/>
          <w:sz w:val="28"/>
          <w:szCs w:val="28"/>
          <w:lang w:eastAsia="zh-CN"/>
        </w:rPr>
        <w:t>发</w:t>
      </w:r>
    </w:p>
    <w:sectPr>
      <w:footerReference r:id="rId3" w:type="default"/>
      <w:pgSz w:w="11906" w:h="16838"/>
      <w:pgMar w:top="1418" w:right="1474" w:bottom="1418" w:left="1588" w:header="851" w:footer="113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方正小标宋简体">
    <w:panose1 w:val="02000000000000000000"/>
    <w:charset w:val="86"/>
    <w:family w:val="script"/>
    <w:pitch w:val="default"/>
    <w:sig w:usb0="A00002BF" w:usb1="184F6CFA" w:usb2="00000012" w:usb3="00000000" w:csb0="00040001" w:csb1="00000000"/>
  </w:font>
  <w:font w:name="方正姚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0"/>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96A36"/>
    <w:rsid w:val="000127DA"/>
    <w:rsid w:val="000266BF"/>
    <w:rsid w:val="000421B6"/>
    <w:rsid w:val="00096B35"/>
    <w:rsid w:val="000A43A0"/>
    <w:rsid w:val="00106BDB"/>
    <w:rsid w:val="0017622A"/>
    <w:rsid w:val="001762A4"/>
    <w:rsid w:val="00180574"/>
    <w:rsid w:val="001879A7"/>
    <w:rsid w:val="00194605"/>
    <w:rsid w:val="002069AD"/>
    <w:rsid w:val="003A38B3"/>
    <w:rsid w:val="003D0874"/>
    <w:rsid w:val="004242B0"/>
    <w:rsid w:val="004B51F8"/>
    <w:rsid w:val="00554F13"/>
    <w:rsid w:val="005A29F6"/>
    <w:rsid w:val="00692550"/>
    <w:rsid w:val="008F6CFE"/>
    <w:rsid w:val="009027A8"/>
    <w:rsid w:val="00904087"/>
    <w:rsid w:val="00940C18"/>
    <w:rsid w:val="00974E2C"/>
    <w:rsid w:val="00A22C94"/>
    <w:rsid w:val="00A27944"/>
    <w:rsid w:val="00A7512C"/>
    <w:rsid w:val="00AC2D97"/>
    <w:rsid w:val="00B214AC"/>
    <w:rsid w:val="00B2796D"/>
    <w:rsid w:val="00C42FB3"/>
    <w:rsid w:val="00C7115F"/>
    <w:rsid w:val="00C96E8D"/>
    <w:rsid w:val="00D154EE"/>
    <w:rsid w:val="00D169FB"/>
    <w:rsid w:val="00D675A7"/>
    <w:rsid w:val="00E03E05"/>
    <w:rsid w:val="00E1662A"/>
    <w:rsid w:val="00E344A1"/>
    <w:rsid w:val="00E426B8"/>
    <w:rsid w:val="00E47911"/>
    <w:rsid w:val="00E56AC4"/>
    <w:rsid w:val="00F67AFC"/>
    <w:rsid w:val="00FA78FB"/>
    <w:rsid w:val="00FE2826"/>
    <w:rsid w:val="1FAF3D0C"/>
    <w:rsid w:val="26B3FE11"/>
    <w:rsid w:val="2E0F2599"/>
    <w:rsid w:val="36A6B75A"/>
    <w:rsid w:val="3AFFE2C2"/>
    <w:rsid w:val="3B7B0A30"/>
    <w:rsid w:val="3CBCD5B2"/>
    <w:rsid w:val="3F5EF990"/>
    <w:rsid w:val="40996A36"/>
    <w:rsid w:val="5BDA372D"/>
    <w:rsid w:val="5DAF0891"/>
    <w:rsid w:val="5DD7EEFB"/>
    <w:rsid w:val="5FF5FF7E"/>
    <w:rsid w:val="677F85DC"/>
    <w:rsid w:val="6F999918"/>
    <w:rsid w:val="71BB9213"/>
    <w:rsid w:val="75F80024"/>
    <w:rsid w:val="77FED1B6"/>
    <w:rsid w:val="7D96E62A"/>
    <w:rsid w:val="7EE697D0"/>
    <w:rsid w:val="7F9FBC36"/>
    <w:rsid w:val="7FAFB159"/>
    <w:rsid w:val="7FF77314"/>
    <w:rsid w:val="978EDEC2"/>
    <w:rsid w:val="BFADA106"/>
    <w:rsid w:val="BFFF604B"/>
    <w:rsid w:val="D79E916B"/>
    <w:rsid w:val="DEDF2B8A"/>
    <w:rsid w:val="EBF3C17D"/>
    <w:rsid w:val="F5FE3D8C"/>
    <w:rsid w:val="F6FE4870"/>
    <w:rsid w:val="F77A91AC"/>
    <w:rsid w:val="F93BFF47"/>
    <w:rsid w:val="FB597F6E"/>
    <w:rsid w:val="FB796378"/>
    <w:rsid w:val="FECF9A6F"/>
    <w:rsid w:val="FF6D368D"/>
    <w:rsid w:val="FFB2F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Cambria" w:hAnsi="Cambria"/>
      <w:b/>
      <w:bCs/>
    </w:rPr>
  </w:style>
  <w:style w:type="paragraph" w:styleId="5">
    <w:name w:val="Normal Indent"/>
    <w:basedOn w:val="1"/>
    <w:next w:val="1"/>
    <w:qFormat/>
    <w:uiPriority w:val="0"/>
    <w:pPr>
      <w:ind w:firstLine="200" w:firstLineChars="200"/>
    </w:pPr>
    <w:rPr>
      <w:rFonts w:ascii="Times New Roman" w:hAnsi="Times New Roman" w:eastAsia="宋体" w:cs="Times New Roman"/>
    </w:rPr>
  </w:style>
  <w:style w:type="paragraph" w:styleId="6">
    <w:name w:val="Body Text"/>
    <w:basedOn w:val="1"/>
    <w:qFormat/>
    <w:uiPriority w:val="0"/>
    <w:pPr>
      <w:widowControl/>
      <w:spacing w:before="100" w:beforeAutospacing="1" w:after="100" w:afterAutospacing="1"/>
      <w:jc w:val="left"/>
    </w:pPr>
    <w:rPr>
      <w:rFonts w:cs="Times New Roman"/>
      <w:kern w:val="0"/>
      <w:sz w:val="20"/>
      <w:szCs w:val="20"/>
    </w:rPr>
  </w:style>
  <w:style w:type="paragraph" w:styleId="7">
    <w:name w:val="Body Text Indent"/>
    <w:basedOn w:val="1"/>
    <w:qFormat/>
    <w:uiPriority w:val="0"/>
    <w:pPr>
      <w:spacing w:line="351" w:lineRule="atLeast"/>
      <w:ind w:firstLine="540"/>
      <w:textAlignment w:val="baseline"/>
    </w:pPr>
    <w:rPr>
      <w:rFonts w:ascii="Times New Roman" w:hAnsi="Times New Roman" w:eastAsia="宋体" w:cs="Times New Roman"/>
      <w:color w:val="000000"/>
      <w:sz w:val="30"/>
      <w:szCs w:val="20"/>
    </w:rPr>
  </w:style>
  <w:style w:type="paragraph" w:styleId="8">
    <w:name w:val="Plain Text"/>
    <w:basedOn w:val="1"/>
    <w:qFormat/>
    <w:uiPriority w:val="99"/>
    <w:rPr>
      <w:rFonts w:ascii="宋体"/>
      <w:szCs w:val="21"/>
    </w:rPr>
  </w:style>
  <w:style w:type="paragraph" w:styleId="9">
    <w:name w:val="Body Text Indent 2"/>
    <w:basedOn w:val="1"/>
    <w:next w:val="6"/>
    <w:qFormat/>
    <w:uiPriority w:val="99"/>
    <w:pPr>
      <w:spacing w:after="120" w:line="480" w:lineRule="auto"/>
      <w:ind w:left="420" w:leftChars="200"/>
    </w:pPr>
    <w:rPr>
      <w:rFonts w:ascii="Times New Roman" w:hAnsi="Times New Roman"/>
      <w:szCs w:val="24"/>
    </w:rPr>
  </w:style>
  <w:style w:type="paragraph" w:styleId="10">
    <w:name w:val="footer"/>
    <w:basedOn w:val="1"/>
    <w:next w:val="11"/>
    <w:link w:val="19"/>
    <w:qFormat/>
    <w:uiPriority w:val="0"/>
    <w:pPr>
      <w:tabs>
        <w:tab w:val="center" w:pos="4153"/>
        <w:tab w:val="right" w:pos="8306"/>
      </w:tabs>
      <w:snapToGrid w:val="0"/>
      <w:jc w:val="left"/>
    </w:pPr>
    <w:rPr>
      <w:sz w:val="18"/>
      <w:szCs w:val="18"/>
    </w:rPr>
  </w:style>
  <w:style w:type="paragraph" w:styleId="11">
    <w:name w:val="header"/>
    <w:basedOn w:val="1"/>
    <w:next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2"/>
    <w:basedOn w:val="7"/>
    <w:qFormat/>
    <w:uiPriority w:val="0"/>
    <w:pPr>
      <w:spacing w:afterLines="0"/>
      <w:ind w:left="420" w:leftChars="200" w:firstLine="210"/>
    </w:pPr>
    <w:rPr>
      <w:rFonts w:ascii="Times New Roman" w:hAnsi="Times New Roman" w:eastAsia="方正小标宋简体" w:cs="Times New Roman"/>
    </w:rPr>
  </w:style>
  <w:style w:type="character" w:styleId="17">
    <w:name w:val="Strong"/>
    <w:basedOn w:val="16"/>
    <w:qFormat/>
    <w:uiPriority w:val="0"/>
    <w:rPr>
      <w:b/>
    </w:rPr>
  </w:style>
  <w:style w:type="character" w:customStyle="1" w:styleId="18">
    <w:name w:val="页眉 Char"/>
    <w:basedOn w:val="16"/>
    <w:link w:val="11"/>
    <w:qFormat/>
    <w:uiPriority w:val="0"/>
    <w:rPr>
      <w:rFonts w:asciiTheme="minorHAnsi" w:hAnsiTheme="minorHAnsi" w:eastAsiaTheme="minorEastAsia" w:cstheme="minorBidi"/>
      <w:kern w:val="2"/>
      <w:sz w:val="18"/>
      <w:szCs w:val="18"/>
    </w:rPr>
  </w:style>
  <w:style w:type="character" w:customStyle="1" w:styleId="19">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市人力资源和社会保障局</Company>
  <Pages>2</Pages>
  <Words>129</Words>
  <Characters>740</Characters>
  <Lines>6</Lines>
  <Paragraphs>1</Paragraphs>
  <TotalTime>2</TotalTime>
  <ScaleCrop>false</ScaleCrop>
  <LinksUpToDate>false</LinksUpToDate>
  <CharactersWithSpaces>868</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2020-07-30T17:54:00Z</dcterms:created>
  <dc:creator>(๑乛◡乛๑)</dc:creator>
  <cp:lastModifiedBy>ycak</cp:lastModifiedBy>
  <cp:lastPrinted>2024-01-20T06:44:00Z</cp:lastPrinted>
  <dcterms:modified xsi:type="dcterms:W3CDTF">2025-01-14T17:02:58Z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