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00"/>
        </w:tabs>
        <w:spacing w:line="900" w:lineRule="exact"/>
        <w:ind w:firstLine="561"/>
        <w:jc w:val="left"/>
        <w:rPr>
          <w:rFonts w:ascii="Times New Roman" w:hAnsi="Times New Roman" w:eastAsia="仿宋_GB2312" w:cs="Times New Roman"/>
          <w:color w:val="FFFFFF"/>
          <w:szCs w:val="24"/>
        </w:rPr>
      </w:pPr>
      <w:bookmarkStart w:id="555" w:name="_GoBack"/>
      <w:bookmarkEnd w:id="555"/>
      <w:r>
        <w:rPr>
          <w:rFonts w:ascii="Times New Roman" w:hAnsi="Times New Roman" w:eastAsia="仿宋_GB2312" w:cs="Times New Roman"/>
          <w:color w:val="FFFFFF"/>
          <w:szCs w:val="24"/>
        </w:rPr>
        <w:tab/>
      </w:r>
    </w:p>
    <w:p>
      <w:pPr>
        <w:spacing w:line="1500" w:lineRule="exact"/>
        <w:ind w:firstLine="561"/>
        <w:jc w:val="left"/>
        <w:rPr>
          <w:rFonts w:ascii="Times New Roman" w:hAnsi="Times New Roman" w:eastAsia="方正黑体_GBK" w:cs="Times New Roman"/>
          <w:color w:val="FFFFFF"/>
          <w:szCs w:val="24"/>
        </w:rPr>
      </w:pPr>
    </w:p>
    <w:p>
      <w:pPr>
        <w:jc w:val="center"/>
        <w:rPr>
          <w:rFonts w:ascii="Times New Roman" w:hAnsi="Times New Roman" w:eastAsia="方正小标宋_GBK" w:cs="Times New Roman"/>
          <w:color w:val="FF0000"/>
          <w:spacing w:val="-20"/>
          <w:w w:val="75"/>
          <w:sz w:val="130"/>
          <w:szCs w:val="130"/>
        </w:rPr>
      </w:pPr>
      <w:r>
        <w:rPr>
          <w:rFonts w:hint="eastAsia" w:ascii="Times New Roman" w:hAnsi="Times New Roman" w:eastAsia="方正小标宋_GBK" w:cs="Times New Roman"/>
          <w:color w:val="FF0000"/>
          <w:spacing w:val="-20"/>
          <w:w w:val="75"/>
          <w:sz w:val="130"/>
          <w:szCs w:val="130"/>
        </w:rPr>
        <w:t>盐池县人民政府文件</w:t>
      </w:r>
    </w:p>
    <w:p>
      <w:pPr>
        <w:tabs>
          <w:tab w:val="left" w:pos="3160"/>
        </w:tabs>
        <w:spacing w:line="520" w:lineRule="exact"/>
        <w:ind w:firstLine="561"/>
        <w:rPr>
          <w:rFonts w:ascii="Times New Roman" w:hAnsi="Times New Roman" w:eastAsia="仿宋_GB2312" w:cs="Times New Roman"/>
          <w:color w:val="FF0000"/>
          <w:szCs w:val="24"/>
        </w:rPr>
      </w:pPr>
      <w:r>
        <w:rPr>
          <w:rFonts w:ascii="Times New Roman" w:hAnsi="Times New Roman" w:eastAsia="仿宋_GB2312" w:cs="Times New Roman"/>
          <w:color w:val="FF0000"/>
          <w:szCs w:val="24"/>
        </w:rPr>
        <w:tab/>
      </w:r>
    </w:p>
    <w:p>
      <w:pPr>
        <w:ind w:right="23" w:rightChars="11"/>
        <w:jc w:val="center"/>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盐政发〔2021〕1</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号</w:t>
      </w:r>
    </w:p>
    <w:p>
      <w:pPr>
        <w:spacing w:line="520" w:lineRule="exact"/>
        <w:ind w:firstLine="420" w:firstLineChars="200"/>
        <w:rPr>
          <w:rFonts w:ascii="Calibri" w:hAnsi="Calibri" w:eastAsia="宋体" w:cs="Times New Roman"/>
          <w:szCs w:val="21"/>
        </w:rPr>
      </w:pPr>
      <w:r>
        <w:rPr>
          <w:rFonts w:ascii="Times New Roman" w:hAnsi="Times New Roman" w:eastAsia="仿宋_GB2312" w:cs="Times New Roman"/>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63500</wp:posOffset>
                </wp:positionV>
                <wp:extent cx="5615940" cy="0"/>
                <wp:effectExtent l="0" t="0" r="22860" b="1905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2225">
                          <a:solidFill>
                            <a:srgbClr val="FF0000"/>
                          </a:solidFill>
                          <a:round/>
                        </a:ln>
                      </wps:spPr>
                      <wps:bodyPr/>
                    </wps:wsp>
                  </a:graphicData>
                </a:graphic>
              </wp:anchor>
            </w:drawing>
          </mc:Choice>
          <mc:Fallback>
            <w:pict>
              <v:line id="_x0000_s1026" o:spid="_x0000_s1026" o:spt="20" style="position:absolute;left:0pt;margin-left:-2.25pt;margin-top:5pt;height:0pt;width:442.2pt;z-index:251659264;mso-width-relative:page;mso-height-relative:page;" filled="f" stroked="t" coordsize="21600,21600" o:gfxdata="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VJkZ1gAAAAgB&#10;AAAPAAAAAAAAAAEAIAAAACIAAABkcnMvZG93bnJldi54bWxQSwECFAAUAAAACACHTuJAiW94d+QB&#10;AACrAwAADgAAAAAAAAABACAAAAAlAQAAZHJzL2Uyb0RvYy54bWxQSwUGAAAAAAYABgBZAQAAewUA&#10;AAAA&#10;">
                <v:fill on="f" focussize="0,0"/>
                <v:stroke weight="1.75pt" color="#FF0000" joinstyle="round"/>
                <v:imagedata o:title=""/>
                <o:lock v:ext="edit" aspectratio="f"/>
              </v:line>
            </w:pict>
          </mc:Fallback>
        </mc:AlternateContent>
      </w:r>
    </w:p>
    <w:p>
      <w:pPr>
        <w:spacing w:line="520" w:lineRule="exact"/>
        <w:jc w:val="center"/>
        <w:rPr>
          <w:rFonts w:ascii="方正小标宋简体" w:hAnsi="Times New Roman" w:eastAsia="方正小标宋简体" w:cs="Times New Roman"/>
          <w:bCs/>
          <w:color w:val="000000"/>
          <w:sz w:val="44"/>
          <w:szCs w:val="44"/>
        </w:rPr>
      </w:pPr>
    </w:p>
    <w:p>
      <w:pPr>
        <w:spacing w:line="600" w:lineRule="exact"/>
        <w:jc w:val="center"/>
        <w:rPr>
          <w:rFonts w:ascii="方正小标宋简体" w:eastAsia="方正小标宋简体"/>
          <w:bCs/>
          <w:color w:val="000000" w:themeColor="text1"/>
          <w:sz w:val="44"/>
          <w:szCs w:val="36"/>
          <w14:textFill>
            <w14:solidFill>
              <w14:schemeClr w14:val="tx1"/>
            </w14:solidFill>
          </w14:textFill>
        </w:rPr>
      </w:pPr>
      <w:r>
        <w:rPr>
          <w:rFonts w:hint="eastAsia" w:ascii="方正小标宋简体" w:eastAsia="方正小标宋简体"/>
          <w:bCs/>
          <w:color w:val="000000" w:themeColor="text1"/>
          <w:sz w:val="44"/>
          <w:szCs w:val="36"/>
          <w14:textFill>
            <w14:solidFill>
              <w14:schemeClr w14:val="tx1"/>
            </w14:solidFill>
          </w14:textFill>
        </w:rPr>
        <w:t>盐池县人民政府关于印发《盐池县国民经济和</w:t>
      </w:r>
    </w:p>
    <w:p>
      <w:pPr>
        <w:spacing w:line="600" w:lineRule="exact"/>
        <w:jc w:val="center"/>
        <w:rPr>
          <w:rFonts w:ascii="方正小标宋简体" w:eastAsia="方正小标宋简体"/>
          <w:bCs/>
          <w:color w:val="000000" w:themeColor="text1"/>
          <w:sz w:val="44"/>
          <w:szCs w:val="36"/>
          <w14:textFill>
            <w14:solidFill>
              <w14:schemeClr w14:val="tx1"/>
            </w14:solidFill>
          </w14:textFill>
        </w:rPr>
      </w:pPr>
      <w:r>
        <w:rPr>
          <w:rFonts w:hint="eastAsia" w:ascii="方正小标宋简体" w:eastAsia="方正小标宋简体"/>
          <w:bCs/>
          <w:color w:val="000000" w:themeColor="text1"/>
          <w:sz w:val="44"/>
          <w:szCs w:val="36"/>
          <w14:textFill>
            <w14:solidFill>
              <w14:schemeClr w14:val="tx1"/>
            </w14:solidFill>
          </w14:textFill>
        </w:rPr>
        <w:t>社会发展第十四个五年规划和二</w:t>
      </w:r>
      <w:r>
        <w:rPr>
          <w:rFonts w:hint="eastAsia" w:ascii="宋体" w:hAnsi="宋体" w:eastAsia="宋体"/>
          <w:bCs/>
          <w:color w:val="000000" w:themeColor="text1"/>
          <w:sz w:val="44"/>
          <w:szCs w:val="36"/>
          <w14:textFill>
            <w14:solidFill>
              <w14:schemeClr w14:val="tx1"/>
            </w14:solidFill>
          </w14:textFill>
        </w:rPr>
        <w:t>〇</w:t>
      </w:r>
      <w:r>
        <w:rPr>
          <w:rFonts w:hint="eastAsia" w:ascii="方正小标宋简体" w:hAnsi="方正小标宋简体" w:eastAsia="方正小标宋简体" w:cs="方正小标宋简体"/>
          <w:bCs/>
          <w:color w:val="000000" w:themeColor="text1"/>
          <w:sz w:val="44"/>
          <w:szCs w:val="36"/>
          <w14:textFill>
            <w14:solidFill>
              <w14:schemeClr w14:val="tx1"/>
            </w14:solidFill>
          </w14:textFill>
        </w:rPr>
        <w:t>三五年</w:t>
      </w:r>
    </w:p>
    <w:p>
      <w:pPr>
        <w:spacing w:line="600" w:lineRule="exact"/>
        <w:jc w:val="center"/>
        <w:rPr>
          <w:rFonts w:ascii="方正小标宋简体" w:eastAsia="方正小标宋简体"/>
          <w:bCs/>
          <w:color w:val="000000" w:themeColor="text1"/>
          <w:sz w:val="44"/>
          <w:szCs w:val="36"/>
          <w14:textFill>
            <w14:solidFill>
              <w14:schemeClr w14:val="tx1"/>
            </w14:solidFill>
          </w14:textFill>
        </w:rPr>
      </w:pPr>
      <w:r>
        <w:rPr>
          <w:rFonts w:hint="eastAsia" w:ascii="方正小标宋简体" w:eastAsia="方正小标宋简体"/>
          <w:bCs/>
          <w:color w:val="000000" w:themeColor="text1"/>
          <w:sz w:val="44"/>
          <w:szCs w:val="36"/>
          <w14:textFill>
            <w14:solidFill>
              <w14:schemeClr w14:val="tx1"/>
            </w14:solidFill>
          </w14:textFill>
        </w:rPr>
        <w:t>远景目标纲要》的通知</w:t>
      </w:r>
    </w:p>
    <w:p>
      <w:pPr>
        <w:spacing w:line="600" w:lineRule="exact"/>
        <w:rPr>
          <w:rFonts w:ascii="方正小标宋简体" w:eastAsia="方正小标宋简体"/>
          <w:bCs/>
          <w:color w:val="000000" w:themeColor="text1"/>
          <w:spacing w:val="-6"/>
          <w:szCs w:val="36"/>
          <w14:textFill>
            <w14:solidFill>
              <w14:schemeClr w14:val="tx1"/>
            </w14:solidFill>
          </w14:textFill>
        </w:rPr>
      </w:pPr>
    </w:p>
    <w:p>
      <w:pPr>
        <w:spacing w:line="600" w:lineRule="exact"/>
        <w:rPr>
          <w:rFonts w:ascii="Times New Roman" w:hAnsi="Times New Roman" w:eastAsia="仿宋_GB2312" w:cs="Times New Roman"/>
          <w:bCs/>
          <w:color w:val="000000" w:themeColor="text1"/>
          <w:spacing w:val="-6"/>
          <w:sz w:val="32"/>
          <w:szCs w:val="32"/>
          <w14:textFill>
            <w14:solidFill>
              <w14:schemeClr w14:val="tx1"/>
            </w14:solidFill>
          </w14:textFill>
        </w:rPr>
      </w:pPr>
      <w:r>
        <w:rPr>
          <w:rFonts w:ascii="Times New Roman" w:hAnsi="Times New Roman" w:eastAsia="仿宋_GB2312" w:cs="Times New Roman"/>
          <w:bCs/>
          <w:color w:val="000000" w:themeColor="text1"/>
          <w:spacing w:val="-6"/>
          <w:sz w:val="32"/>
          <w:szCs w:val="32"/>
          <w14:textFill>
            <w14:solidFill>
              <w14:schemeClr w14:val="tx1"/>
            </w14:solidFill>
          </w14:textFill>
        </w:rPr>
        <w:t>各乡镇人民政府（街道办事处），政府各部门、直属机构：</w:t>
      </w:r>
    </w:p>
    <w:p>
      <w:pPr>
        <w:spacing w:line="600" w:lineRule="exact"/>
        <w:ind w:firstLine="616" w:firstLineChars="200"/>
        <w:rPr>
          <w:rFonts w:ascii="Times New Roman" w:hAnsi="Times New Roman" w:eastAsia="仿宋_GB2312" w:cs="Times New Roman"/>
          <w:bCs/>
          <w:color w:val="000000" w:themeColor="text1"/>
          <w:spacing w:val="-6"/>
          <w:sz w:val="32"/>
          <w:szCs w:val="32"/>
          <w14:textFill>
            <w14:solidFill>
              <w14:schemeClr w14:val="tx1"/>
            </w14:solidFill>
          </w14:textFill>
        </w:rPr>
      </w:pPr>
      <w:r>
        <w:rPr>
          <w:rFonts w:ascii="Times New Roman" w:hAnsi="Times New Roman" w:eastAsia="仿宋_GB2312" w:cs="Times New Roman"/>
          <w:bCs/>
          <w:color w:val="000000" w:themeColor="text1"/>
          <w:spacing w:val="-6"/>
          <w:sz w:val="32"/>
          <w:szCs w:val="32"/>
          <w14:textFill>
            <w14:solidFill>
              <w14:schemeClr w14:val="tx1"/>
            </w14:solidFill>
          </w14:textFill>
        </w:rPr>
        <w:t>《</w:t>
      </w:r>
      <w:r>
        <w:rPr>
          <w:rFonts w:hint="eastAsia" w:ascii="Times New Roman" w:hAnsi="Times New Roman" w:eastAsia="仿宋_GB2312" w:cs="Times New Roman"/>
          <w:bCs/>
          <w:color w:val="000000" w:themeColor="text1"/>
          <w:spacing w:val="-6"/>
          <w:sz w:val="32"/>
          <w:szCs w:val="32"/>
          <w14:textFill>
            <w14:solidFill>
              <w14:schemeClr w14:val="tx1"/>
            </w14:solidFill>
          </w14:textFill>
        </w:rPr>
        <w:t>盐池县国民经济和社会发展第十四个五年规划和二〇三五年远景目标纲要</w:t>
      </w:r>
      <w:r>
        <w:rPr>
          <w:rFonts w:ascii="Times New Roman" w:hAnsi="Times New Roman" w:eastAsia="仿宋_GB2312" w:cs="Times New Roman"/>
          <w:bCs/>
          <w:color w:val="000000" w:themeColor="text1"/>
          <w:spacing w:val="-6"/>
          <w:sz w:val="32"/>
          <w:szCs w:val="32"/>
          <w14:textFill>
            <w14:solidFill>
              <w14:schemeClr w14:val="tx1"/>
            </w14:solidFill>
          </w14:textFill>
        </w:rPr>
        <w:t>》已经县</w:t>
      </w:r>
      <w:r>
        <w:rPr>
          <w:rFonts w:hint="eastAsia" w:ascii="Times New Roman" w:hAnsi="Times New Roman" w:eastAsia="仿宋_GB2312" w:cs="Times New Roman"/>
          <w:bCs/>
          <w:color w:val="000000" w:themeColor="text1"/>
          <w:spacing w:val="-6"/>
          <w:sz w:val="32"/>
          <w:szCs w:val="32"/>
          <w14:textFill>
            <w14:solidFill>
              <w14:schemeClr w14:val="tx1"/>
            </w14:solidFill>
          </w14:textFill>
        </w:rPr>
        <w:t>十七届</w:t>
      </w:r>
      <w:r>
        <w:rPr>
          <w:rFonts w:ascii="Times New Roman" w:hAnsi="Times New Roman" w:eastAsia="仿宋_GB2312" w:cs="Times New Roman"/>
          <w:bCs/>
          <w:color w:val="000000" w:themeColor="text1"/>
          <w:spacing w:val="-6"/>
          <w:sz w:val="32"/>
          <w:szCs w:val="32"/>
          <w14:textFill>
            <w14:solidFill>
              <w14:schemeClr w14:val="tx1"/>
            </w14:solidFill>
          </w14:textFill>
        </w:rPr>
        <w:t>人大</w:t>
      </w:r>
      <w:r>
        <w:rPr>
          <w:rFonts w:hint="eastAsia" w:ascii="Times New Roman" w:hAnsi="Times New Roman" w:eastAsia="仿宋_GB2312" w:cs="Times New Roman"/>
          <w:bCs/>
          <w:color w:val="000000" w:themeColor="text1"/>
          <w:spacing w:val="-6"/>
          <w:sz w:val="32"/>
          <w:szCs w:val="32"/>
          <w14:textFill>
            <w14:solidFill>
              <w14:schemeClr w14:val="tx1"/>
            </w14:solidFill>
          </w14:textFill>
        </w:rPr>
        <w:t>五</w:t>
      </w:r>
      <w:r>
        <w:rPr>
          <w:rFonts w:ascii="Times New Roman" w:hAnsi="Times New Roman" w:eastAsia="仿宋_GB2312" w:cs="Times New Roman"/>
          <w:bCs/>
          <w:color w:val="000000" w:themeColor="text1"/>
          <w:spacing w:val="-6"/>
          <w:sz w:val="32"/>
          <w:szCs w:val="32"/>
          <w14:textFill>
            <w14:solidFill>
              <w14:schemeClr w14:val="tx1"/>
            </w14:solidFill>
          </w14:textFill>
        </w:rPr>
        <w:t>次会议审议通过，现予以印发，请结合实际，认真抓好组织实施。</w:t>
      </w:r>
    </w:p>
    <w:p>
      <w:pPr>
        <w:spacing w:line="1000" w:lineRule="exact"/>
        <w:rPr>
          <w:rFonts w:ascii="Times New Roman" w:hAnsi="Times New Roman" w:eastAsia="仿宋_GB2312" w:cs="Times New Roman"/>
          <w:bCs/>
          <w:color w:val="000000" w:themeColor="text1"/>
          <w:spacing w:val="-6"/>
          <w:sz w:val="32"/>
          <w:szCs w:val="32"/>
          <w14:textFill>
            <w14:solidFill>
              <w14:schemeClr w14:val="tx1"/>
            </w14:solidFill>
          </w14:textFill>
        </w:rPr>
      </w:pPr>
    </w:p>
    <w:p>
      <w:pPr>
        <w:spacing w:line="580" w:lineRule="exact"/>
        <w:rPr>
          <w:rFonts w:ascii="Times New Roman" w:hAnsi="Times New Roman" w:eastAsia="仿宋_GB2312" w:cs="Times New Roman"/>
          <w:bCs/>
          <w:color w:val="000000" w:themeColor="text1"/>
          <w:spacing w:val="-6"/>
          <w:sz w:val="32"/>
          <w:szCs w:val="32"/>
          <w14:textFill>
            <w14:solidFill>
              <w14:schemeClr w14:val="tx1"/>
            </w14:solidFill>
          </w14:textFill>
        </w:rPr>
      </w:pPr>
      <w:r>
        <w:rPr>
          <w:rFonts w:ascii="Times New Roman" w:hAnsi="Times New Roman" w:eastAsia="仿宋_GB2312" w:cs="Times New Roman"/>
          <w:bCs/>
          <w:color w:val="000000" w:themeColor="text1"/>
          <w:spacing w:val="-6"/>
          <w:sz w:val="32"/>
          <w:szCs w:val="32"/>
          <w14:textFill>
            <w14:solidFill>
              <w14:schemeClr w14:val="tx1"/>
            </w14:solidFill>
          </w14:textFill>
        </w:rPr>
        <w:t xml:space="preserve">                                </w:t>
      </w:r>
      <w:r>
        <w:rPr>
          <w:rFonts w:hint="eastAsia" w:ascii="Times New Roman" w:hAnsi="Times New Roman" w:eastAsia="仿宋_GB2312" w:cs="Times New Roman"/>
          <w:bCs/>
          <w:color w:val="000000" w:themeColor="text1"/>
          <w:spacing w:val="-6"/>
          <w:sz w:val="32"/>
          <w:szCs w:val="32"/>
          <w14:textFill>
            <w14:solidFill>
              <w14:schemeClr w14:val="tx1"/>
            </w14:solidFill>
          </w14:textFill>
        </w:rPr>
        <w:t xml:space="preserve">  </w:t>
      </w:r>
      <w:r>
        <w:rPr>
          <w:rFonts w:ascii="Times New Roman" w:hAnsi="Times New Roman" w:eastAsia="仿宋_GB2312" w:cs="Times New Roman"/>
          <w:bCs/>
          <w:color w:val="000000" w:themeColor="text1"/>
          <w:spacing w:val="-6"/>
          <w:sz w:val="32"/>
          <w:szCs w:val="32"/>
          <w14:textFill>
            <w14:solidFill>
              <w14:schemeClr w14:val="tx1"/>
            </w14:solidFill>
          </w14:textFill>
        </w:rPr>
        <w:t>盐池县人民政府</w:t>
      </w:r>
    </w:p>
    <w:p>
      <w:pPr>
        <w:spacing w:line="580" w:lineRule="exact"/>
        <w:ind w:firstLine="616" w:firstLineChars="200"/>
        <w:rPr>
          <w:rFonts w:ascii="Times New Roman" w:hAnsi="Times New Roman" w:eastAsia="仿宋_GB2312" w:cs="Times New Roman"/>
          <w:bCs/>
          <w:color w:val="000000" w:themeColor="text1"/>
          <w:spacing w:val="-6"/>
          <w:sz w:val="32"/>
          <w:szCs w:val="32"/>
          <w14:textFill>
            <w14:solidFill>
              <w14:schemeClr w14:val="tx1"/>
            </w14:solidFill>
          </w14:textFill>
        </w:rPr>
      </w:pPr>
      <w:r>
        <w:rPr>
          <w:rFonts w:ascii="Times New Roman" w:hAnsi="Times New Roman" w:eastAsia="仿宋_GB2312" w:cs="Times New Roman"/>
          <w:bCs/>
          <w:color w:val="000000" w:themeColor="text1"/>
          <w:spacing w:val="-6"/>
          <w:sz w:val="32"/>
          <w:szCs w:val="32"/>
          <w14:textFill>
            <w14:solidFill>
              <w14:schemeClr w14:val="tx1"/>
            </w14:solidFill>
          </w14:textFill>
        </w:rPr>
        <w:t xml:space="preserve">            </w:t>
      </w:r>
      <w:r>
        <w:rPr>
          <w:rFonts w:hint="eastAsia" w:ascii="Times New Roman" w:hAnsi="Times New Roman" w:eastAsia="仿宋_GB2312" w:cs="Times New Roman"/>
          <w:bCs/>
          <w:color w:val="000000" w:themeColor="text1"/>
          <w:spacing w:val="-6"/>
          <w:sz w:val="32"/>
          <w:szCs w:val="32"/>
          <w14:textFill>
            <w14:solidFill>
              <w14:schemeClr w14:val="tx1"/>
            </w14:solidFill>
          </w14:textFill>
        </w:rPr>
        <w:t xml:space="preserve">                  2021年4月26日</w:t>
      </w:r>
    </w:p>
    <w:p>
      <w:pPr>
        <w:spacing w:line="580" w:lineRule="exact"/>
        <w:ind w:firstLine="616" w:firstLineChars="200"/>
      </w:pPr>
      <w:r>
        <w:rPr>
          <w:rFonts w:hint="eastAsia" w:ascii="Times New Roman" w:hAnsi="Times New Roman" w:eastAsia="仿宋_GB2312" w:cs="Times New Roman"/>
          <w:bCs/>
          <w:color w:val="000000" w:themeColor="text1"/>
          <w:spacing w:val="-6"/>
          <w:sz w:val="32"/>
          <w:szCs w:val="32"/>
          <w14:textFill>
            <w14:solidFill>
              <w14:schemeClr w14:val="tx1"/>
            </w14:solidFill>
          </w14:textFill>
        </w:rPr>
        <w:t>（此件公开发布）</w:t>
      </w:r>
    </w:p>
    <w:p>
      <w:pPr>
        <w:spacing w:line="60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bookmarkStart w:id="0" w:name="OLE_LINK28"/>
      <w:bookmarkStart w:id="1" w:name="OLE_LINK29"/>
      <w:r>
        <w:rPr>
          <w:rFonts w:ascii="Times New Roman" w:hAnsi="Times New Roman" w:eastAsia="方正小标宋简体" w:cs="Times New Roman"/>
          <w:color w:val="000000" w:themeColor="text1"/>
          <w:sz w:val="44"/>
          <w:szCs w:val="44"/>
          <w14:textFill>
            <w14:solidFill>
              <w14:schemeClr w14:val="tx1"/>
            </w14:solidFill>
          </w14:textFill>
        </w:rPr>
        <w:t>盐池县国民经济和社会发展第十四个五年</w:t>
      </w:r>
    </w:p>
    <w:p>
      <w:pPr>
        <w:spacing w:line="60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规划</w:t>
      </w:r>
      <w:r>
        <w:rPr>
          <w:rFonts w:hint="eastAsia" w:ascii="Times New Roman" w:hAnsi="Times New Roman" w:eastAsia="方正小标宋简体" w:cs="Times New Roman"/>
          <w:color w:val="000000" w:themeColor="text1"/>
          <w:sz w:val="44"/>
          <w:szCs w:val="44"/>
          <w14:textFill>
            <w14:solidFill>
              <w14:schemeClr w14:val="tx1"/>
            </w14:solidFill>
          </w14:textFill>
        </w:rPr>
        <w:t>和二〇三五年远景目标</w:t>
      </w:r>
      <w:r>
        <w:rPr>
          <w:rFonts w:ascii="Times New Roman" w:hAnsi="Times New Roman" w:eastAsia="方正小标宋简体" w:cs="Times New Roman"/>
          <w:color w:val="000000" w:themeColor="text1"/>
          <w:sz w:val="44"/>
          <w:szCs w:val="44"/>
          <w14:textFill>
            <w14:solidFill>
              <w14:schemeClr w14:val="tx1"/>
            </w14:solidFill>
          </w14:textFill>
        </w:rPr>
        <w:t>纲要</w:t>
      </w:r>
    </w:p>
    <w:bookmarkEnd w:id="0"/>
    <w:bookmarkEnd w:id="1"/>
    <w:p>
      <w:pPr>
        <w:tabs>
          <w:tab w:val="center" w:pos="4153"/>
        </w:tabs>
        <w:rPr>
          <w:rFonts w:ascii="Times New Roman" w:hAnsi="Times New Roman" w:eastAsia="仿宋_GB2312" w:cs="Times New Roman"/>
          <w:color w:val="000000" w:themeColor="text1"/>
          <w:sz w:val="28"/>
          <w:szCs w:val="28"/>
          <w14:textFill>
            <w14:solidFill>
              <w14:schemeClr w14:val="tx1"/>
            </w14:solidFill>
          </w14:textFill>
        </w:rPr>
      </w:pPr>
    </w:p>
    <w:p>
      <w:pPr>
        <w:jc w:val="center"/>
        <w:rPr>
          <w:rFonts w:ascii="Times New Roman" w:hAnsi="Times New Roman" w:eastAsia="华文中宋" w:cs="Times New Roman"/>
          <w:color w:val="000000" w:themeColor="text1"/>
          <w:sz w:val="44"/>
          <w:szCs w:val="44"/>
          <w14:textFill>
            <w14:solidFill>
              <w14:schemeClr w14:val="tx1"/>
            </w14:solidFill>
          </w14:textFill>
        </w:rPr>
      </w:pPr>
    </w:p>
    <w:p>
      <w:pPr>
        <w:jc w:val="center"/>
        <w:rPr>
          <w:rFonts w:ascii="Times New Roman" w:hAnsi="Times New Roman" w:eastAsia="华文中宋" w:cs="Times New Roman"/>
          <w:color w:val="000000" w:themeColor="text1"/>
          <w:sz w:val="44"/>
          <w:szCs w:val="44"/>
          <w14:textFill>
            <w14:solidFill>
              <w14:schemeClr w14:val="tx1"/>
            </w14:solidFill>
          </w14:textFill>
        </w:rPr>
      </w:pPr>
      <w:r>
        <w:rPr>
          <w:rFonts w:ascii="Times New Roman" w:hAnsi="Times New Roman" w:eastAsia="华文中宋" w:cs="Times New Roman"/>
          <w:color w:val="000000" w:themeColor="text1"/>
          <w:sz w:val="44"/>
          <w:szCs w:val="44"/>
          <w14:textFill>
            <w14:solidFill>
              <w14:schemeClr w14:val="tx1"/>
            </w14:solidFill>
          </w14:textFill>
        </w:rPr>
        <w:t>目  录</w:t>
      </w:r>
    </w:p>
    <w:p>
      <w:pPr>
        <w:pStyle w:val="16"/>
        <w:tabs>
          <w:tab w:val="right" w:leader="dot" w:pos="8844"/>
          <w:tab w:val="clear" w:pos="8296"/>
        </w:tabs>
        <w:rPr>
          <w:rFonts w:ascii="Times New Roman" w:hAnsi="Times New Roman"/>
          <w:color w:val="000000" w:themeColor="text1"/>
          <w14:textFill>
            <w14:solidFill>
              <w14:schemeClr w14:val="tx1"/>
            </w14:solidFill>
          </w14:textFill>
        </w:rPr>
      </w:pP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fldChar w:fldCharType="begin"/>
      </w:r>
      <w:r>
        <w:rPr>
          <w:rFonts w:ascii="Times New Roman" w:hAnsi="Times New Roman" w:eastAsia="仿宋_GB2312"/>
          <w:color w:val="000000" w:themeColor="text1"/>
          <w:sz w:val="28"/>
          <w:szCs w:val="28"/>
          <w14:textFill>
            <w14:solidFill>
              <w14:schemeClr w14:val="tx1"/>
            </w14:solidFill>
          </w14:textFill>
        </w:rPr>
        <w:instrText xml:space="preserve">TOC \o "1-3" \h \u </w:instrText>
      </w:r>
      <w:r>
        <w:rPr>
          <w:rFonts w:ascii="Times New Roman" w:hAnsi="Times New Roman" w:eastAsia="仿宋_GB2312"/>
          <w:color w:val="000000" w:themeColor="text1"/>
          <w:sz w:val="28"/>
          <w:szCs w:val="28"/>
          <w14:textFill>
            <w14:solidFill>
              <w14:schemeClr w14:val="tx1"/>
            </w14:solidFill>
          </w14:textFill>
        </w:rPr>
        <w:fldChar w:fldCharType="separate"/>
      </w:r>
      <w:r>
        <w:fldChar w:fldCharType="begin"/>
      </w:r>
      <w:r>
        <w:instrText xml:space="preserve"> HYPERLINK \l "_Toc16317" </w:instrText>
      </w:r>
      <w:r>
        <w:fldChar w:fldCharType="separate"/>
      </w:r>
      <w:r>
        <w:rPr>
          <w:rFonts w:ascii="Times New Roman" w:hAnsi="Times New Roman" w:eastAsia="方正小标宋简体"/>
          <w:color w:val="000000" w:themeColor="text1"/>
          <w:szCs w:val="44"/>
          <w14:textFill>
            <w14:solidFill>
              <w14:schemeClr w14:val="tx1"/>
            </w14:solidFill>
          </w14:textFill>
        </w:rPr>
        <w:t>前  言</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_Toc16317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"_Toc3339" </w:instrText>
      </w:r>
      <w:r>
        <w:fldChar w:fldCharType="separate"/>
      </w:r>
      <w:r>
        <w:rPr>
          <w:rFonts w:ascii="Times New Roman" w:hAnsi="Times New Roman"/>
          <w:color w:val="000000" w:themeColor="text1"/>
          <w:spacing w:val="-6"/>
          <w:szCs w:val="36"/>
          <w14:textFill>
            <w14:solidFill>
              <w14:schemeClr w14:val="tx1"/>
            </w14:solidFill>
          </w14:textFill>
        </w:rPr>
        <w:t>第一章 站上新起点，开启全面建设社会主义现代化新征程</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end"/>
      </w:r>
      <w:r>
        <w:rPr>
          <w:rFonts w:hint="eastAsia" w:ascii="Times New Roman" w:hAnsi="Times New Roman"/>
          <w:color w:val="000000" w:themeColor="text1"/>
          <w14:textFill>
            <w14:solidFill>
              <w14:schemeClr w14:val="tx1"/>
            </w14:solidFill>
          </w14:textFill>
        </w:rPr>
        <w:t>1</w:t>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"_Toc15538"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厚植高质量发展新起点</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_Toc15538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"_Toc27388"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抢抓高质量发展新机遇</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_Toc27388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"_Toc23694"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（一）全面审视宏观环境变化</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_Toc23694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"_Toc13811"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（二）奋力抢抓难得发展机遇</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_Toc13811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"_Toc29991"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（三）积极应对未来可能挑战</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_Toc29991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"_Toc5203"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绘制高质量发展新蓝图</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_Toc5203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12</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"_Toc9129"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（一）指导思想</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_Toc9129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12</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"_Toc25991"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（二）基本原则</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_Toc25991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"_Toc27902"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（三）总体思路</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_Toc27902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"_Toc22868"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（四）发展定位</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_Toc22868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cs="Times New Roman"/>
          <w:color w:val="000000" w:themeColor="text1"/>
          <w14:textFill>
            <w14:solidFill>
              <w14:schemeClr w14:val="tx1"/>
            </w14:solidFill>
          </w14:textFill>
        </w:rPr>
      </w:pPr>
      <w:r>
        <w:fldChar w:fldCharType="begin"/>
      </w:r>
      <w:r>
        <w:instrText xml:space="preserve"> HYPERLINK \l "_Toc3666"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（五）发展目标</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_Toc3666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17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"_Toc15049" </w:instrText>
      </w:r>
      <w:r>
        <w:fldChar w:fldCharType="separate"/>
      </w:r>
      <w:r>
        <w:rPr>
          <w:rFonts w:ascii="Times New Roman" w:hAnsi="Times New Roman"/>
          <w:color w:val="000000" w:themeColor="text1"/>
          <w:szCs w:val="36"/>
          <w14:textFill>
            <w14:solidFill>
              <w14:schemeClr w14:val="tx1"/>
            </w14:solidFill>
          </w14:textFill>
        </w:rPr>
        <w:t>第二章 实施创新驱动战略，培育高质量发展新动能</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_Toc15049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21</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"_Toc26304"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提升县域科技创新能力</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_Toc26304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"_Toc21431"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（一）培育壮大创新型企业</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_Toc21431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"_Toc27506"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（二）加强产学研合作与成果转化应用</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_Toc27506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22</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"_Toc13519"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（三）完善科技创新投入机制</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_Toc13519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"_Toc25018"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强化人才队伍建设</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_Toc25018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"_Toc20449"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（一）积极引进各类紧缺专业人才</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_Toc20449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"_Toc14058"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（二）搭建高层次人才柔性引进平台</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_Toc14058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"_Toc31943"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（三）重视和加强本地专业人才培养</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_Toc31943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"_Toc19446"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积极营造创新环境</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_Toc19446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"_Toc1800"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（一）完善激励创新机制</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_Toc1800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"_Toc31527"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（二）加大科学普及力度</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_Toc31527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26</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"_Toc4408"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（三）拓展科技创新载体</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_Toc4408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26</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"_Toc4201"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深化科技创新体制改革</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_Toc4201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"_Toc17560"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（一）深化科技管理制度改革</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_Toc17560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"_Toc28918"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（二）建立健全创新创业机制</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_Toc28918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"_Toc13963"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（三）深化农业科技推广体系改革</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_Toc13963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"_Toc21870" </w:instrText>
      </w:r>
      <w:r>
        <w:fldChar w:fldCharType="separate"/>
      </w:r>
      <w:r>
        <w:rPr>
          <w:rFonts w:ascii="Times New Roman" w:hAnsi="Times New Roman"/>
          <w:color w:val="000000" w:themeColor="text1"/>
          <w:szCs w:val="36"/>
          <w14:textFill>
            <w14:solidFill>
              <w14:schemeClr w14:val="tx1"/>
            </w14:solidFill>
          </w14:textFill>
        </w:rPr>
        <w:t>第三章  建设现代产业体系，夯实高质量发展基础</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_Toc21870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28</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"_Toc31445"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促进特色农业提质增效</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_Toc31445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"_Toc20890"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（一）建设高质量的“1+4+X”特色产业体系</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_Toc20890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29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"_Toc20681"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（二）推动特色产业品牌化和标准化发展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_Toc20681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"_Toc32627"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（三）推动农业接二连三深度融合发展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_Toc32627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"_Toc2754"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（四）加快培育新型农业经营和服务主体</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_Toc2754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"_Toc3869"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推进工业经济转型升级</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_Toc3869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"_Toc2726"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（一）推动传统产业改造提升</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_Toc2726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"_Toc19442"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（二）培育壮大化工新材料产业</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_Toc19442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"_Toc17218"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（三）打造中国天然石膏制品基地</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_Toc17218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"_Toc26339"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（四）稳步提升战略型新兴产业发展水平</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_Toc26339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"_Toc28095"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（五）提升工业园区产业集聚和支撑能力</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_Toc28095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"_Toc6308"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加速现代服务业发展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_Toc6308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38</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"_Toc23422"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（一）提升现代服务业发展水平</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_Toc23422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38</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"_Toc645"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（二）打造特色生态文化旅游目的地</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_Toc645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38</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"_Toc20512"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（三）建设区域性物流集散中心</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_Toc20512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39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"_Toc10993"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（四）构建现代商贸金融服务体系</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_Toc10993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"_Toc27782"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（五）打造高质量通航产业示范区</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_Toc27782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"_Toc6876"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（六）促进文化及相关产业快速发展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_Toc6876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"_Toc15113"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推动产业智能化升级</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_Toc15113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"_Toc2986"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（一）支持农业精准化发展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_Toc2986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"_Toc11835"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（二）推动工业信息化发展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_Toc11835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cs="Times New Roman"/>
          <w:color w:val="000000" w:themeColor="text1"/>
          <w14:textFill>
            <w14:solidFill>
              <w14:schemeClr w14:val="tx1"/>
            </w14:solidFill>
          </w14:textFill>
        </w:rPr>
      </w:pPr>
      <w:r>
        <w:fldChar w:fldCharType="begin"/>
      </w:r>
      <w:r>
        <w:instrText xml:space="preserve"> HYPERLINK \l "_Toc20827"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（三）促进服务业智慧化发展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_Toc20827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"_Toc12018" </w:instrText>
      </w:r>
      <w:r>
        <w:fldChar w:fldCharType="separate"/>
      </w:r>
      <w:r>
        <w:rPr>
          <w:rFonts w:ascii="Times New Roman" w:hAnsi="Times New Roman"/>
          <w:color w:val="000000" w:themeColor="text1"/>
          <w:szCs w:val="36"/>
          <w14:textFill>
            <w14:solidFill>
              <w14:schemeClr w14:val="tx1"/>
            </w14:solidFill>
          </w14:textFill>
        </w:rPr>
        <w:t>第四章 强化区域协同发展，主动融入新发展格局</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44</w:t>
      </w:r>
      <w:r>
        <w:rPr>
          <w:rFonts w:hint="eastAsia"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"_Toc19194"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深化市场化体制改革</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"_Toc31596"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（一）深入推进市场化改革，提高资源配置效率</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"_Toc13218"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（二）改革农村集体产权制度，盘活农村要素资源</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45</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"_Toc26828"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（三）推进审批管理制度改革，持续优化营商环境</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"_Toc16538"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促进消费转型升级</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r>
        <w:rPr>
          <w:rFonts w:hint="eastAsia" w:ascii="Times New Roman" w:hAnsi="Times New Roman" w:eastAsia="仿宋_GB2312" w:cs="Times New Roman"/>
          <w:color w:val="000000" w:themeColor="text1"/>
          <w:sz w:val="28"/>
          <w:szCs w:val="28"/>
          <w14:textFill>
            <w14:solidFill>
              <w14:schemeClr w14:val="tx1"/>
            </w14:solidFill>
          </w14:textFill>
        </w:rPr>
        <w:t>6</w:t>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"_Toc24895"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（一）挖掘消费潜力</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_Toc24895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"_Toc7505"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（二）升级传统消费</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"_Toc3210"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（三）优化消费环境</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"_Toc7237"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扩大精准有效投资</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_Toc7237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"_Toc15827"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（一）优化投资结构</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_Toc15827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49</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"_Toc27674"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（二）畅通要素流动</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49</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"_Toc22752"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（三）激发民间投资</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_Toc22752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"_Toc23148"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强化区域合作与对外开放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"_Toc12835"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（一）强化区域协作与共赢发展</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"_Toc14875"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（二）加快面向全国的深层次开放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52</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"_Toc18506"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（三）扩大面向国际的高水平开放</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_Toc18506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53</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"_Toc28970" </w:instrText>
      </w:r>
      <w:r>
        <w:fldChar w:fldCharType="separate"/>
      </w:r>
      <w:r>
        <w:rPr>
          <w:rFonts w:ascii="Times New Roman" w:hAnsi="Times New Roman"/>
          <w:color w:val="000000" w:themeColor="text1"/>
          <w:szCs w:val="36"/>
          <w14:textFill>
            <w14:solidFill>
              <w14:schemeClr w14:val="tx1"/>
            </w14:solidFill>
          </w14:textFill>
        </w:rPr>
        <w:t>第五章 加强生态文明建设，构建绿色发展新优势</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53</w:t>
      </w:r>
      <w:r>
        <w:rPr>
          <w:rFonts w:hint="eastAsia"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"_Toc27438"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开展国土空间生态修复和保护</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"_Toc4714"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（一）构建美丽安全生态空间格局</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_Toc4714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"_Toc17233"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（二）大力实施重点生态保护和修复工程</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"_Toc18810"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（三）健全生态保护投入与利益共享机制</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_Toc18810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"_Toc1621"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强化环境保护与治理</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_Toc1621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56</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"_Toc21489"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（一）深入开展蓝天保卫战</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"_Toc18442"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（二）稳步实施碧水保卫战</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_Toc18442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57</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"_Toc22696"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（三）全力推进净土保卫战</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"_Toc5380"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提升资源利用效率</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"_Toc13948"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（一）高效利用水资源</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"_Toc10975"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（二）集约利用土地</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"_Toc28165"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（三）持续推进节能降耗</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59</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"_Toc916" </w:instrText>
      </w:r>
      <w:r>
        <w:fldChar w:fldCharType="separate"/>
      </w:r>
      <w:r>
        <w:rPr>
          <w:rFonts w:ascii="Times New Roman" w:hAnsi="Times New Roman"/>
          <w:color w:val="000000" w:themeColor="text1"/>
          <w:szCs w:val="36"/>
          <w14:textFill>
            <w14:solidFill>
              <w14:schemeClr w14:val="tx1"/>
            </w14:solidFill>
          </w14:textFill>
        </w:rPr>
        <w:t>第六章 优化城乡空间布局，统筹推进融合发展</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59</w:t>
      </w:r>
      <w:r>
        <w:rPr>
          <w:rFonts w:hint="eastAsia"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"_Toc9744"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优化城乡空间发展格局</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_Toc9744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"_Toc21649"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（一）构建城镇村协同发展新格局</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_Toc21649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60</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"_Toc2271"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（二）优化提升“一城三镇多点”的城镇体系</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"_Toc26480"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提升县城城市化发展质量</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_Toc26480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"_Toc26751"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（一）优化县城城市空间布局</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_Toc26751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"_Toc8574"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（二）加强城市基础设施建设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61</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"_Toc19120"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（三）着力提升城市功能品质</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_Toc19120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62</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"_Toc30839"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推进城乡一体化融合发展</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"_Toc16697"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（一）统筹发展特色小镇和美丽乡镇</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"_Toc17952"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（二）推动城乡公共设施一体联动发展</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_Toc17952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"_Toc22934"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（三）促进城乡要素资源合理配置</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"_Toc14754"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打造内联外通的综合交通枢纽</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_Toc14754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"_Toc1893"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（一）优化提升路网便捷性</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_Toc1893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65</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"_Toc23767"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（二）借势发展铁路交通运输</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65</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"_Toc18179" </w:instrText>
      </w:r>
      <w:r>
        <w:fldChar w:fldCharType="separate"/>
      </w:r>
      <w:r>
        <w:rPr>
          <w:rFonts w:ascii="Times New Roman" w:hAnsi="Times New Roman"/>
          <w:color w:val="000000" w:themeColor="text1"/>
          <w14:textFill>
            <w14:solidFill>
              <w14:schemeClr w14:val="tx1"/>
            </w14:solidFill>
          </w14:textFill>
        </w:rPr>
        <w:t>第七章 优先发展农业农村，全面实施乡村振兴战略</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_Toc18179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66</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"_Toc5351"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全面实施乡村建设行动</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"_Toc25136"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（一）发展壮大乡村产业</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"_Toc232"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（二）培育多层次乡村人才</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"_Toc20150"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（三）繁荣发展乡村文化</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"_Toc28253"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（四）建设生态宜居乡村</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_Toc28253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68</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"_Toc8037"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（五）强化乡村组织建设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"_Toc6853"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（六）推进“数字乡村”建设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69</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"_Toc490"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巩固拓展脱贫攻坚成果</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"_Toc29344"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（一）继续完善返贫监测预警与快速应对机制</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"_Toc22591"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（二）推进扶贫政策制度化建设</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_Toc22591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71</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"_Toc16783"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（三）促进脱贫成果可持续发展</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71</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"_Toc13005"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促进脱贫巩固与乡村振兴有效衔接</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_Toc13005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72</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"_Toc9335"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（一）做好政策与机制衔接</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72</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"_Toc22651"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（二）做好要素投入机制衔接</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72</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"_Toc21977"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（三）做好实施主体力量衔接</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"_Toc13363" </w:instrText>
      </w:r>
      <w:r>
        <w:fldChar w:fldCharType="separate"/>
      </w:r>
      <w:r>
        <w:rPr>
          <w:rFonts w:ascii="Times New Roman" w:hAnsi="Times New Roman"/>
          <w:bCs/>
          <w:color w:val="000000" w:themeColor="text1"/>
          <w:szCs w:val="36"/>
          <w14:textFill>
            <w14:solidFill>
              <w14:schemeClr w14:val="tx1"/>
            </w14:solidFill>
          </w14:textFill>
        </w:rPr>
        <w:t>第八章 补齐公共服务短板，提升人民群众生活品质</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_Toc13363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74</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"_Toc28084"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扎实推进就业优先政策</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_Toc28084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74</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"_Toc31664"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优先发展教育体育事业</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75</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"_Toc14767"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大力繁荣发展文化事业</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"_Toc16780"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加快推进健康盐池建设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78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"_Toc14172"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第五节 全面完善社会保障体系</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"_Toc29923"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第六节 推进养老服务体系建设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81</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"_Toc18902"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第七节 保障妇女儿童合法权益</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cs="Times New Roman"/>
          <w:color w:val="000000" w:themeColor="text1"/>
          <w:sz w:val="28"/>
          <w:szCs w:val="28"/>
          <w14:textFill>
            <w14:solidFill>
              <w14:schemeClr w14:val="tx1"/>
            </w14:solidFill>
          </w14:textFill>
        </w:rPr>
      </w:pPr>
      <w:r>
        <w:fldChar w:fldCharType="begin"/>
      </w:r>
      <w:r>
        <w:instrText xml:space="preserve"> HYPERLINK \l "_Toc8979"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第八节 推进青年事业发展</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"_Toc19720" </w:instrText>
      </w:r>
      <w:r>
        <w:fldChar w:fldCharType="separate"/>
      </w:r>
      <w:r>
        <w:rPr>
          <w:rFonts w:ascii="Times New Roman" w:hAnsi="Times New Roman"/>
          <w:color w:val="000000" w:themeColor="text1"/>
          <w:szCs w:val="36"/>
          <w14:textFill>
            <w14:solidFill>
              <w14:schemeClr w14:val="tx1"/>
            </w14:solidFill>
          </w14:textFill>
        </w:rPr>
        <w:t>第九章 创新基层治理模式，有效提升党的执政水平</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PAGEREF _Toc19720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85</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"_Toc13398"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推进服务型政府建设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85</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"_Toc31830"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健全完善基层治理体系</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"_Toc25161"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（一）强化党建引领</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86</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"_Toc3979"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（二）强化基层治理体系建设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87</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"_Toc24482"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（三）加强社会治安防控</w:t>
      </w:r>
      <w:r>
        <w:rPr>
          <w:rFonts w:ascii="Times New Roman" w:hAnsi="Times New Roman" w:eastAsia="仿宋_GB2312" w:cs="Times New Roman"/>
          <w:color w:val="000000" w:themeColor="text1"/>
          <w:sz w:val="28"/>
          <w:szCs w:val="28"/>
          <w14:textFill>
            <w14:solidFill>
              <w14:schemeClr w14:val="tx1"/>
            </w14:solidFill>
          </w14:textFill>
        </w:rPr>
        <w:tab/>
      </w:r>
      <w:r>
        <w:rPr>
          <w:rFonts w:ascii="Times New Roman" w:hAnsi="Times New Roman" w:eastAsia="仿宋_GB2312" w:cs="Times New Roman"/>
          <w:color w:val="000000" w:themeColor="text1"/>
          <w:sz w:val="28"/>
          <w:szCs w:val="28"/>
          <w14:textFill>
            <w14:solidFill>
              <w14:schemeClr w14:val="tx1"/>
            </w14:solidFill>
          </w14:textFill>
        </w:rPr>
        <w:fldChar w:fldCharType="begin"/>
      </w:r>
      <w:r>
        <w:rPr>
          <w:rFonts w:ascii="Times New Roman" w:hAnsi="Times New Roman" w:eastAsia="仿宋_GB2312" w:cs="Times New Roman"/>
          <w:color w:val="000000" w:themeColor="text1"/>
          <w:sz w:val="28"/>
          <w:szCs w:val="28"/>
          <w14:textFill>
            <w14:solidFill>
              <w14:schemeClr w14:val="tx1"/>
            </w14:solidFill>
          </w14:textFill>
        </w:rPr>
        <w:instrText xml:space="preserve"> PAGEREF _Toc24482 </w:instrText>
      </w:r>
      <w:r>
        <w:rPr>
          <w:rFonts w:ascii="Times New Roman" w:hAnsi="Times New Roman" w:eastAsia="仿宋_GB2312" w:cs="Times New Roman"/>
          <w:color w:val="000000" w:themeColor="text1"/>
          <w:sz w:val="28"/>
          <w:szCs w:val="28"/>
          <w14:textFill>
            <w14:solidFill>
              <w14:schemeClr w14:val="tx1"/>
            </w14:solidFill>
          </w14:textFill>
        </w:rPr>
        <w:fldChar w:fldCharType="separate"/>
      </w:r>
      <w:r>
        <w:rPr>
          <w:rFonts w:ascii="Times New Roman" w:hAnsi="Times New Roman" w:eastAsia="仿宋_GB2312" w:cs="Times New Roman"/>
          <w:color w:val="000000" w:themeColor="text1"/>
          <w:sz w:val="28"/>
          <w:szCs w:val="28"/>
          <w14:textFill>
            <w14:solidFill>
              <w14:schemeClr w14:val="tx1"/>
            </w14:solidFill>
          </w14:textFill>
        </w:rPr>
        <w:t>88</w:t>
      </w:r>
      <w:r>
        <w:rPr>
          <w:rFonts w:ascii="Times New Roman" w:hAnsi="Times New Roman" w:eastAsia="仿宋_GB2312" w:cs="Times New Roman"/>
          <w:color w:val="000000" w:themeColor="text1"/>
          <w:sz w:val="28"/>
          <w:szCs w:val="28"/>
          <w14:textFill>
            <w14:solidFill>
              <w14:schemeClr w14:val="tx1"/>
            </w14:solidFill>
          </w14:textFill>
        </w:rPr>
        <w:fldChar w:fldCharType="end"/>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"_Toc18486"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全面推进法治盐池建设</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88</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"_Toc8866"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提高公共安全保障能力</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90</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"_Toc15061" </w:instrText>
      </w:r>
      <w:r>
        <w:fldChar w:fldCharType="separate"/>
      </w:r>
      <w:r>
        <w:rPr>
          <w:rFonts w:ascii="Times New Roman" w:hAnsi="Times New Roman"/>
          <w:color w:val="000000" w:themeColor="text1"/>
          <w:szCs w:val="36"/>
          <w14:textFill>
            <w14:solidFill>
              <w14:schemeClr w14:val="tx1"/>
            </w14:solidFill>
          </w14:textFill>
        </w:rPr>
        <w:t>第十章 强化规划实施保障措施</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92</w:t>
      </w:r>
      <w:r>
        <w:rPr>
          <w:rFonts w:hint="eastAsia" w:ascii="Times New Roman" w:hAnsi="Times New Roman"/>
          <w:color w:val="000000" w:themeColor="text1"/>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"_Toc4101"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第一节 加强党的全面领导</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92</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"_Toc14983"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第二节 健全实施机制</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"_Toc29310"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第三节 完善规划体系</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93</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eastAsia="仿宋_GB2312" w:cs="Times New Roman"/>
          <w:color w:val="000000" w:themeColor="text1"/>
          <w:sz w:val="28"/>
          <w:szCs w:val="28"/>
          <w14:textFill>
            <w14:solidFill>
              <w14:schemeClr w14:val="tx1"/>
            </w14:solidFill>
          </w14:textFill>
        </w:rPr>
      </w:pPr>
      <w:r>
        <w:fldChar w:fldCharType="begin"/>
      </w:r>
      <w:r>
        <w:instrText xml:space="preserve"> HYPERLINK \l "_Toc17176"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第四节 做实项目支撑</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20"/>
        <w:tabs>
          <w:tab w:val="right" w:leader="dot" w:pos="8844"/>
        </w:tabs>
        <w:spacing w:line="560" w:lineRule="exact"/>
        <w:rPr>
          <w:rFonts w:ascii="Times New Roman" w:hAnsi="Times New Roman" w:cs="Times New Roman"/>
          <w:color w:val="000000" w:themeColor="text1"/>
          <w14:textFill>
            <w14:solidFill>
              <w14:schemeClr w14:val="tx1"/>
            </w14:solidFill>
          </w14:textFill>
        </w:rPr>
      </w:pPr>
      <w:r>
        <w:fldChar w:fldCharType="begin"/>
      </w:r>
      <w:r>
        <w:instrText xml:space="preserve"> HYPERLINK \l "_Toc19197" </w:instrText>
      </w:r>
      <w:r>
        <w:fldChar w:fldCharType="separate"/>
      </w:r>
      <w:r>
        <w:rPr>
          <w:rFonts w:ascii="Times New Roman" w:hAnsi="Times New Roman" w:eastAsia="仿宋_GB2312" w:cs="Times New Roman"/>
          <w:bCs/>
          <w:color w:val="000000" w:themeColor="text1"/>
          <w:sz w:val="28"/>
          <w:szCs w:val="28"/>
          <w14:textFill>
            <w14:solidFill>
              <w14:schemeClr w14:val="tx1"/>
            </w14:solidFill>
          </w14:textFill>
        </w:rPr>
        <w:t>第五节 强化监督评估</w:t>
      </w:r>
      <w:r>
        <w:rPr>
          <w:rFonts w:ascii="Times New Roman" w:hAnsi="Times New Roman" w:eastAsia="仿宋_GB2312" w:cs="Times New Roman"/>
          <w:color w:val="000000" w:themeColor="text1"/>
          <w:sz w:val="28"/>
          <w:szCs w:val="28"/>
          <w14:textFill>
            <w14:solidFill>
              <w14:schemeClr w14:val="tx1"/>
            </w14:solidFill>
          </w14:textFill>
        </w:rPr>
        <w:tab/>
      </w:r>
      <w:r>
        <w:rPr>
          <w:rFonts w:hint="eastAsia" w:ascii="Times New Roman" w:hAnsi="Times New Roman" w:eastAsia="仿宋_GB2312" w:cs="Times New Roman"/>
          <w:color w:val="000000" w:themeColor="text1"/>
          <w:sz w:val="28"/>
          <w:szCs w:val="28"/>
          <w14:textFill>
            <w14:solidFill>
              <w14:schemeClr w14:val="tx1"/>
            </w14:solidFill>
          </w14:textFill>
        </w:rPr>
        <w:t>94</w:t>
      </w:r>
      <w:r>
        <w:rPr>
          <w:rFonts w:hint="eastAsia" w:ascii="Times New Roman" w:hAnsi="Times New Roman" w:eastAsia="仿宋_GB2312" w:cs="Times New Roman"/>
          <w:color w:val="000000" w:themeColor="text1"/>
          <w:sz w:val="28"/>
          <w:szCs w:val="28"/>
          <w14:textFill>
            <w14:solidFill>
              <w14:schemeClr w14:val="tx1"/>
            </w14:solidFill>
          </w14:textFill>
        </w:rPr>
        <w:fldChar w:fldCharType="end"/>
      </w:r>
    </w:p>
    <w:p>
      <w:pPr>
        <w:pStyle w:val="16"/>
        <w:tabs>
          <w:tab w:val="right" w:leader="dot" w:pos="8844"/>
          <w:tab w:val="clear" w:pos="8296"/>
        </w:tabs>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"_Toc23716" </w:instrText>
      </w:r>
      <w:r>
        <w:fldChar w:fldCharType="separate"/>
      </w:r>
      <w:r>
        <w:rPr>
          <w:rFonts w:ascii="Times New Roman" w:hAnsi="Times New Roman"/>
          <w:color w:val="000000" w:themeColor="text1"/>
          <w14:textFill>
            <w14:solidFill>
              <w14:schemeClr w14:val="tx1"/>
            </w14:solidFill>
          </w14:textFill>
        </w:rPr>
        <w:t>附：名词解释</w:t>
      </w:r>
      <w:r>
        <w:rPr>
          <w:rFonts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96</w:t>
      </w:r>
      <w:r>
        <w:rPr>
          <w:rFonts w:hint="eastAsia" w:ascii="Times New Roman" w:hAnsi="Times New Roman"/>
          <w:color w:val="000000" w:themeColor="text1"/>
          <w14:textFill>
            <w14:solidFill>
              <w14:schemeClr w14:val="tx1"/>
            </w14:solidFill>
          </w14:textFill>
        </w:rPr>
        <w:fldChar w:fldCharType="end"/>
      </w:r>
    </w:p>
    <w:p>
      <w:pPr>
        <w:pStyle w:val="18"/>
        <w:spacing w:line="560" w:lineRule="exac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8"/>
        <w:spacing w:line="560" w:lineRule="exact"/>
        <w:rPr>
          <w:rFonts w:ascii="Times New Roman" w:hAnsi="Times New Roman" w:eastAsia="仿宋_GB2312" w:cs="Times New Roman"/>
          <w:color w:val="000000" w:themeColor="text1"/>
          <w:sz w:val="28"/>
          <w:szCs w:val="28"/>
          <w14:textFill>
            <w14:solidFill>
              <w14:schemeClr w14:val="tx1"/>
            </w14:solidFill>
          </w14:textFill>
        </w:rPr>
        <w:sectPr>
          <w:headerReference r:id="rId3" w:type="default"/>
          <w:footerReference r:id="rId4" w:type="default"/>
          <w:pgSz w:w="11906" w:h="16838"/>
          <w:pgMar w:top="1418" w:right="1474" w:bottom="1418" w:left="1588" w:header="851" w:footer="964" w:gutter="0"/>
          <w:pgNumType w:start="1"/>
          <w:cols w:space="0" w:num="1"/>
          <w:docGrid w:linePitch="312" w:charSpace="0"/>
        </w:sectPr>
      </w:pPr>
    </w:p>
    <w:p>
      <w:pPr>
        <w:ind w:left="567" w:leftChars="270" w:right="651" w:rightChars="310"/>
        <w:jc w:val="center"/>
        <w:rPr>
          <w:rFonts w:ascii="Times New Roman" w:hAnsi="Times New Roman" w:eastAsia="华文中宋" w:cs="Times New Roman"/>
          <w:color w:val="000000" w:themeColor="text1"/>
          <w:sz w:val="44"/>
          <w:szCs w:val="44"/>
          <w14:textFill>
            <w14:solidFill>
              <w14:schemeClr w14:val="tx1"/>
            </w14:solidFill>
          </w14:textFill>
        </w:rPr>
      </w:pPr>
    </w:p>
    <w:p>
      <w:pPr>
        <w:adjustRightInd w:val="0"/>
        <w:snapToGrid w:val="0"/>
        <w:jc w:val="center"/>
        <w:outlineLvl w:val="0"/>
        <w:rPr>
          <w:rFonts w:ascii="Times New Roman" w:hAnsi="Times New Roman" w:eastAsia="方正小标宋简体" w:cs="Times New Roman"/>
          <w:color w:val="000000" w:themeColor="text1"/>
          <w:sz w:val="44"/>
          <w:szCs w:val="44"/>
          <w14:textFill>
            <w14:solidFill>
              <w14:schemeClr w14:val="tx1"/>
            </w14:solidFill>
          </w14:textFill>
        </w:rPr>
      </w:pPr>
      <w:bookmarkStart w:id="2" w:name="_Toc12225"/>
      <w:bookmarkStart w:id="3" w:name="_Toc59989488"/>
      <w:bookmarkStart w:id="4" w:name="_Toc6557"/>
      <w:bookmarkStart w:id="5" w:name="_Toc16317"/>
      <w:bookmarkStart w:id="6" w:name="OLE_LINK30"/>
      <w:bookmarkStart w:id="7" w:name="OLE_LINK31"/>
      <w:r>
        <w:rPr>
          <w:rFonts w:ascii="Times New Roman" w:hAnsi="Times New Roman" w:eastAsia="方正小标宋简体" w:cs="Times New Roman"/>
          <w:color w:val="000000" w:themeColor="text1"/>
          <w:sz w:val="44"/>
          <w:szCs w:val="44"/>
          <w14:textFill>
            <w14:solidFill>
              <w14:schemeClr w14:val="tx1"/>
            </w14:solidFill>
          </w14:textFill>
        </w:rPr>
        <w:t>前  言</w:t>
      </w:r>
      <w:bookmarkEnd w:id="2"/>
      <w:bookmarkEnd w:id="3"/>
      <w:bookmarkEnd w:id="4"/>
      <w:bookmarkEnd w:id="5"/>
    </w:p>
    <w:p>
      <w:pPr>
        <w:spacing w:line="5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“十四五”时期（2021-2025年）是我国在全面建成小康社会、实现第一个百年奋斗目标之后，乘势而上开启全面建设社会主义现代化国家新征程、向第二个百年奋斗目标进军的第一个五年</w:t>
      </w:r>
      <w:bookmarkEnd w:id="6"/>
      <w:bookmarkEnd w:id="7"/>
      <w:r>
        <w:rPr>
          <w:rFonts w:hint="eastAsia" w:ascii="Times New Roman" w:hAnsi="Times New Roman" w:eastAsia="仿宋_GB2312" w:cs="Times New Roman"/>
          <w:color w:val="000000" w:themeColor="text1"/>
          <w:sz w:val="32"/>
          <w:szCs w:val="28"/>
          <w14:textFill>
            <w14:solidFill>
              <w14:schemeClr w14:val="tx1"/>
            </w14:solidFill>
          </w14:textFill>
        </w:rPr>
        <w:t>。落实</w:t>
      </w:r>
      <w:r>
        <w:rPr>
          <w:rFonts w:ascii="Times New Roman" w:hAnsi="Times New Roman" w:eastAsia="仿宋_GB2312" w:cs="Times New Roman"/>
          <w:color w:val="000000" w:themeColor="text1"/>
          <w:sz w:val="32"/>
          <w:szCs w:val="28"/>
          <w14:textFill>
            <w14:solidFill>
              <w14:schemeClr w14:val="tx1"/>
            </w14:solidFill>
          </w14:textFill>
        </w:rPr>
        <w:t>党的十九届五中全会精神及《中共宁夏回族自治区委员会关于制定国民经济和社会发展第十四个五年规划和二〇三五年远景目标的建议》</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《中共吴忠市委员会关于制定国民经济和社会发展第十四个五年规划和二〇三五年远景目标的建议》</w:t>
      </w:r>
      <w:r>
        <w:rPr>
          <w:rFonts w:hint="eastAsia" w:ascii="Times New Roman" w:hAnsi="Times New Roman" w:eastAsia="仿宋_GB2312" w:cs="Times New Roman"/>
          <w:color w:val="000000" w:themeColor="text1"/>
          <w:sz w:val="32"/>
          <w:szCs w:val="28"/>
          <w14:textFill>
            <w14:solidFill>
              <w14:schemeClr w14:val="tx1"/>
            </w14:solidFill>
          </w14:textFill>
        </w:rPr>
        <w:t>等有关要求，根据</w:t>
      </w:r>
      <w:r>
        <w:rPr>
          <w:rFonts w:ascii="Times New Roman" w:hAnsi="Times New Roman" w:eastAsia="仿宋_GB2312" w:cs="Times New Roman"/>
          <w:color w:val="000000" w:themeColor="text1"/>
          <w:sz w:val="32"/>
          <w:szCs w:val="28"/>
          <w14:textFill>
            <w14:solidFill>
              <w14:schemeClr w14:val="tx1"/>
            </w14:solidFill>
          </w14:textFill>
        </w:rPr>
        <w:t>《中共盐池县委员会关于制定盐池县国民经济和社会发展第十四个五年规划和二〇三五年远景目标的建议》，编制《盐池县国民经济和社会发展第十四个五年规划纲要》（以下简称《纲要》）。《纲要》主要阐明了盐池县委和政府对未来五年发展的总体谋划，展望了2035年</w:t>
      </w:r>
      <w:r>
        <w:rPr>
          <w:rFonts w:hint="eastAsia" w:ascii="Times New Roman" w:hAnsi="Times New Roman" w:eastAsia="仿宋_GB2312" w:cs="Times New Roman"/>
          <w:color w:val="000000" w:themeColor="text1"/>
          <w:sz w:val="32"/>
          <w:szCs w:val="28"/>
          <w14:textFill>
            <w14:solidFill>
              <w14:schemeClr w14:val="tx1"/>
            </w14:solidFill>
          </w14:textFill>
        </w:rPr>
        <w:t>远景目标</w:t>
      </w:r>
      <w:r>
        <w:rPr>
          <w:rFonts w:ascii="Times New Roman" w:hAnsi="Times New Roman" w:eastAsia="仿宋_GB2312" w:cs="Times New Roman"/>
          <w:color w:val="000000" w:themeColor="text1"/>
          <w:sz w:val="32"/>
          <w:szCs w:val="28"/>
          <w14:textFill>
            <w14:solidFill>
              <w14:schemeClr w14:val="tx1"/>
            </w14:solidFill>
          </w14:textFill>
        </w:rPr>
        <w:t>，明确了“十四五”时期全县经济社会发展的主要目标、重点任务和重大举措。《纲要》是政府依法履行职责、引导市场主体行为、制定实施各级各类规划和相关政策的重要依据，是全县人民共同奋斗的行动纲领。</w:t>
      </w: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pPr>
    </w:p>
    <w:p>
      <w:pPr>
        <w:pStyle w:val="18"/>
        <w:rPr>
          <w:rFonts w:ascii="Times New Roman" w:hAnsi="Times New Roman" w:eastAsia="仿宋_GB2312" w:cs="Times New Roman"/>
          <w:color w:val="000000" w:themeColor="text1"/>
          <w:sz w:val="32"/>
          <w:szCs w:val="28"/>
          <w14:textFill>
            <w14:solidFill>
              <w14:schemeClr w14:val="tx1"/>
            </w14:solidFill>
          </w14:textFill>
        </w:rPr>
        <w:sectPr>
          <w:footerReference r:id="rId5" w:type="default"/>
          <w:pgSz w:w="11906" w:h="16838"/>
          <w:pgMar w:top="1418" w:right="1474" w:bottom="1418" w:left="1588" w:header="851" w:footer="992" w:gutter="0"/>
          <w:pgNumType w:start="1"/>
          <w:cols w:space="425" w:num="1"/>
          <w:docGrid w:linePitch="312" w:charSpace="0"/>
        </w:sectPr>
      </w:pPr>
    </w:p>
    <w:p>
      <w:pPr>
        <w:spacing w:before="240" w:beforeLines="100" w:after="240" w:afterLines="100" w:line="600" w:lineRule="exact"/>
        <w:jc w:val="center"/>
        <w:outlineLvl w:val="0"/>
        <w:rPr>
          <w:rFonts w:ascii="Times New Roman" w:hAnsi="Times New Roman" w:eastAsia="黑体" w:cs="Times New Roman"/>
          <w:color w:val="000000" w:themeColor="text1"/>
          <w:spacing w:val="-6"/>
          <w:sz w:val="36"/>
          <w:szCs w:val="36"/>
          <w14:textFill>
            <w14:solidFill>
              <w14:schemeClr w14:val="tx1"/>
            </w14:solidFill>
          </w14:textFill>
        </w:rPr>
      </w:pPr>
      <w:bookmarkStart w:id="8" w:name="_Toc3339"/>
      <w:bookmarkStart w:id="9" w:name="_Toc17695"/>
      <w:bookmarkStart w:id="10" w:name="_Toc59989489"/>
      <w:bookmarkStart w:id="11" w:name="_Toc4637"/>
      <w:r>
        <w:rPr>
          <w:rFonts w:ascii="Times New Roman" w:hAnsi="Times New Roman" w:eastAsia="黑体" w:cs="Times New Roman"/>
          <w:color w:val="000000" w:themeColor="text1"/>
          <w:spacing w:val="-6"/>
          <w:sz w:val="36"/>
          <w:szCs w:val="36"/>
          <w14:textFill>
            <w14:solidFill>
              <w14:schemeClr w14:val="tx1"/>
            </w14:solidFill>
          </w14:textFill>
        </w:rPr>
        <w:t>第一章 站上新起点，开启全面建设社会主义现代化新征程</w:t>
      </w:r>
      <w:bookmarkEnd w:id="8"/>
      <w:bookmarkEnd w:id="9"/>
      <w:bookmarkEnd w:id="10"/>
      <w:bookmarkEnd w:id="11"/>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12" w:name="_Toc31779"/>
      <w:bookmarkStart w:id="13" w:name="_Toc15538"/>
      <w:bookmarkStart w:id="14" w:name="_Toc17061"/>
      <w:bookmarkStart w:id="15" w:name="_Toc59989490"/>
      <w:r>
        <w:rPr>
          <w:rFonts w:ascii="Times New Roman" w:hAnsi="Times New Roman" w:eastAsia="楷体_GB2312" w:cs="Times New Roman"/>
          <w:b/>
          <w:bCs/>
          <w:color w:val="000000" w:themeColor="text1"/>
          <w:sz w:val="32"/>
          <w:szCs w:val="32"/>
          <w14:textFill>
            <w14:solidFill>
              <w14:schemeClr w14:val="tx1"/>
            </w14:solidFill>
          </w14:textFill>
        </w:rPr>
        <w:t>第一节 厚植高质量发展新起点</w:t>
      </w:r>
      <w:bookmarkEnd w:id="12"/>
      <w:bookmarkEnd w:id="13"/>
      <w:bookmarkEnd w:id="14"/>
      <w:bookmarkEnd w:id="15"/>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十三五”时期是盐池县打赢脱贫攻坚战的决战决胜阶段，也是全面建成小康社会的收官阶段。面对复杂多变的发展环境和艰巨繁重的改革发展稳定任务，特别是新冠肺炎疫情的严重冲击，在区市党委、政府的正确领导下，</w:t>
      </w:r>
      <w:r>
        <w:rPr>
          <w:rFonts w:hint="eastAsia" w:ascii="Times New Roman" w:hAnsi="Times New Roman" w:eastAsia="仿宋_GB2312" w:cs="Times New Roman"/>
          <w:color w:val="000000" w:themeColor="text1"/>
          <w:sz w:val="32"/>
          <w:szCs w:val="28"/>
          <w14:textFill>
            <w14:solidFill>
              <w14:schemeClr w14:val="tx1"/>
            </w14:solidFill>
          </w14:textFill>
        </w:rPr>
        <w:t>县委、政府始终</w:t>
      </w:r>
      <w:r>
        <w:rPr>
          <w:rFonts w:ascii="Times New Roman" w:hAnsi="Times New Roman" w:eastAsia="仿宋_GB2312" w:cs="Times New Roman"/>
          <w:color w:val="000000" w:themeColor="text1"/>
          <w:sz w:val="32"/>
          <w:szCs w:val="28"/>
          <w14:textFill>
            <w14:solidFill>
              <w14:schemeClr w14:val="tx1"/>
            </w14:solidFill>
          </w14:textFill>
        </w:rPr>
        <w:t>坚持以习近平新时代中国特色社会主义思想为指导，</w:t>
      </w:r>
      <w:r>
        <w:rPr>
          <w:rFonts w:hint="eastAsia" w:ascii="Times New Roman" w:hAnsi="Times New Roman" w:eastAsia="仿宋_GB2312" w:cs="Times New Roman"/>
          <w:color w:val="000000" w:themeColor="text1"/>
          <w:sz w:val="32"/>
          <w:szCs w:val="28"/>
          <w14:textFill>
            <w14:solidFill>
              <w14:schemeClr w14:val="tx1"/>
            </w14:solidFill>
          </w14:textFill>
        </w:rPr>
        <w:t>认真</w:t>
      </w:r>
      <w:r>
        <w:rPr>
          <w:rFonts w:ascii="Times New Roman" w:hAnsi="Times New Roman" w:eastAsia="仿宋_GB2312" w:cs="Times New Roman"/>
          <w:color w:val="000000" w:themeColor="text1"/>
          <w:sz w:val="32"/>
          <w:szCs w:val="28"/>
          <w14:textFill>
            <w14:solidFill>
              <w14:schemeClr w14:val="tx1"/>
            </w14:solidFill>
          </w14:textFill>
        </w:rPr>
        <w:t>贯彻落实习近平总书记视察宁夏重要讲话精神，全力</w:t>
      </w:r>
      <w:r>
        <w:rPr>
          <w:rFonts w:hint="eastAsia" w:ascii="Times New Roman" w:hAnsi="Times New Roman" w:eastAsia="仿宋_GB2312" w:cs="Times New Roman"/>
          <w:color w:val="000000" w:themeColor="text1"/>
          <w:sz w:val="32"/>
          <w:szCs w:val="28"/>
          <w14:textFill>
            <w14:solidFill>
              <w14:schemeClr w14:val="tx1"/>
            </w14:solidFill>
          </w14:textFill>
        </w:rPr>
        <w:t>推动</w:t>
      </w:r>
      <w:r>
        <w:rPr>
          <w:rFonts w:ascii="Times New Roman" w:hAnsi="Times New Roman" w:eastAsia="仿宋_GB2312" w:cs="Times New Roman"/>
          <w:color w:val="000000" w:themeColor="text1"/>
          <w:sz w:val="32"/>
          <w:szCs w:val="28"/>
          <w14:textFill>
            <w14:solidFill>
              <w14:schemeClr w14:val="tx1"/>
            </w14:solidFill>
          </w14:textFill>
        </w:rPr>
        <w:t>党中央和区、市党委、政府各项决策部署落地落实，坚持稳中求进工作总基调，</w:t>
      </w:r>
      <w:r>
        <w:rPr>
          <w:rFonts w:hint="eastAsia" w:ascii="Times New Roman" w:hAnsi="Times New Roman" w:eastAsia="仿宋_GB2312" w:cs="Times New Roman"/>
          <w:color w:val="000000" w:themeColor="text1"/>
          <w:sz w:val="32"/>
          <w:szCs w:val="28"/>
          <w14:textFill>
            <w14:solidFill>
              <w14:schemeClr w14:val="tx1"/>
            </w14:solidFill>
          </w14:textFill>
        </w:rPr>
        <w:t>贯彻</w:t>
      </w:r>
      <w:r>
        <w:rPr>
          <w:rFonts w:ascii="Times New Roman" w:hAnsi="Times New Roman" w:eastAsia="仿宋_GB2312" w:cs="Times New Roman"/>
          <w:color w:val="000000" w:themeColor="text1"/>
          <w:sz w:val="32"/>
          <w:szCs w:val="28"/>
          <w14:textFill>
            <w14:solidFill>
              <w14:schemeClr w14:val="tx1"/>
            </w14:solidFill>
          </w14:textFill>
        </w:rPr>
        <w:t>新发展理念，以供给侧结构性改革为主线，培育发展新动力，拓展发展新空间，聚集发展新势能，带领全县人民开拓创新、攻坚克难、砥砺前行，经济</w:t>
      </w:r>
      <w:r>
        <w:rPr>
          <w:rFonts w:hint="eastAsia" w:ascii="Times New Roman" w:hAnsi="Times New Roman" w:eastAsia="仿宋_GB2312" w:cs="Times New Roman"/>
          <w:color w:val="000000" w:themeColor="text1"/>
          <w:sz w:val="32"/>
          <w:szCs w:val="28"/>
          <w14:textFill>
            <w14:solidFill>
              <w14:schemeClr w14:val="tx1"/>
            </w14:solidFill>
          </w14:textFill>
        </w:rPr>
        <w:t>社会</w:t>
      </w:r>
      <w:r>
        <w:rPr>
          <w:rFonts w:ascii="Times New Roman" w:hAnsi="Times New Roman" w:eastAsia="仿宋_GB2312" w:cs="Times New Roman"/>
          <w:color w:val="000000" w:themeColor="text1"/>
          <w:sz w:val="32"/>
          <w:szCs w:val="28"/>
          <w14:textFill>
            <w14:solidFill>
              <w14:schemeClr w14:val="tx1"/>
            </w14:solidFill>
          </w14:textFill>
        </w:rPr>
        <w:t>发展迈上新台阶，为开启全面建设社会主义现代化新征程厚植了发展基础。</w:t>
      </w:r>
    </w:p>
    <w:p>
      <w:pPr>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（一）脱贫攻坚取得决定性胜利。</w:t>
      </w:r>
      <w:r>
        <w:rPr>
          <w:rFonts w:ascii="Times New Roman" w:hAnsi="Times New Roman" w:eastAsia="仿宋_GB2312" w:cs="Times New Roman"/>
          <w:color w:val="000000" w:themeColor="text1"/>
          <w:sz w:val="32"/>
          <w:szCs w:val="28"/>
          <w14:textFill>
            <w14:solidFill>
              <w14:schemeClr w14:val="tx1"/>
            </w14:solidFill>
          </w14:textFill>
        </w:rPr>
        <w:t>“十三五”期间，</w:t>
      </w:r>
      <w:r>
        <w:rPr>
          <w:rFonts w:hint="eastAsia" w:ascii="Times New Roman" w:hAnsi="Times New Roman" w:eastAsia="仿宋_GB2312" w:cs="Times New Roman"/>
          <w:color w:val="000000" w:themeColor="text1"/>
          <w:sz w:val="32"/>
          <w:szCs w:val="28"/>
          <w14:textFill>
            <w14:solidFill>
              <w14:schemeClr w14:val="tx1"/>
            </w14:solidFill>
          </w14:textFill>
        </w:rPr>
        <w:t>全</w:t>
      </w:r>
      <w:r>
        <w:rPr>
          <w:rFonts w:ascii="Times New Roman" w:hAnsi="Times New Roman" w:eastAsia="仿宋_GB2312" w:cs="Times New Roman"/>
          <w:color w:val="000000" w:themeColor="text1"/>
          <w:sz w:val="32"/>
          <w:szCs w:val="28"/>
          <w14:textFill>
            <w14:solidFill>
              <w14:schemeClr w14:val="tx1"/>
            </w14:solidFill>
          </w14:textFill>
        </w:rPr>
        <w:t>县以脱贫攻坚统揽经济社会发展全局，建立了高效的脱贫责任体系、政策体系、工作体系。对标脱贫摘帽标准，落实“六个精准”、“五个一批”政策要求，统筹实施基础设施改善、产业扶贫、金融扶贫、健康扶贫等“十大扶贫工程”，解决了贫困人口“两不愁、三保障”问题。建档立卡贫困户人均可支配收入突破万元，实现全部稳定脱贫，率先在全区退出贫困县序列，荣获全国脱贫攻坚组织创新奖，经验做法被确定为全国首批典型示范案例向国际宣传推广。老区人民用愚公移山的精神和勤劳致富的双手，彻底摘掉了贫困县的“穷帽子”，是盐池发展史上重要里程碑。</w:t>
      </w:r>
    </w:p>
    <w:p>
      <w:pPr>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（二）综合经济实力大幅跃升。</w:t>
      </w:r>
      <w:r>
        <w:rPr>
          <w:rFonts w:ascii="Times New Roman" w:hAnsi="Times New Roman" w:eastAsia="仿宋_GB2312" w:cs="Times New Roman"/>
          <w:color w:val="000000" w:themeColor="text1"/>
          <w:sz w:val="32"/>
          <w:szCs w:val="28"/>
          <w14:textFill>
            <w14:solidFill>
              <w14:schemeClr w14:val="tx1"/>
            </w14:solidFill>
          </w14:textFill>
        </w:rPr>
        <w:t>“十三五”期间，全县主要经济指标及其增速均位居自治区、吴忠市前列，经济增长实现数量与质量的同步提升，县域综合实力和竞争力不断增强。“十三五”期末，全县地区生产总值达到11</w:t>
      </w:r>
      <w:r>
        <w:rPr>
          <w:rFonts w:hint="eastAsia" w:ascii="Times New Roman" w:hAnsi="Times New Roman" w:eastAsia="仿宋_GB2312" w:cs="Times New Roman"/>
          <w:color w:val="000000" w:themeColor="text1"/>
          <w:sz w:val="32"/>
          <w:szCs w:val="28"/>
          <w14:textFill>
            <w14:solidFill>
              <w14:schemeClr w14:val="tx1"/>
            </w14:solidFill>
          </w14:textFill>
        </w:rPr>
        <w:t>5.4</w:t>
      </w:r>
      <w:r>
        <w:rPr>
          <w:rFonts w:ascii="Times New Roman" w:hAnsi="Times New Roman" w:eastAsia="仿宋_GB2312" w:cs="Times New Roman"/>
          <w:color w:val="000000" w:themeColor="text1"/>
          <w:sz w:val="32"/>
          <w:szCs w:val="28"/>
          <w14:textFill>
            <w14:solidFill>
              <w14:schemeClr w14:val="tx1"/>
            </w14:solidFill>
          </w14:textFill>
        </w:rPr>
        <w:t>亿元，为2015年的1.9倍，年均增长</w:t>
      </w:r>
      <w:r>
        <w:rPr>
          <w:rFonts w:hint="eastAsia" w:ascii="Times New Roman" w:hAnsi="Times New Roman" w:eastAsia="仿宋_GB2312" w:cs="Times New Roman"/>
          <w:color w:val="000000" w:themeColor="text1"/>
          <w:sz w:val="32"/>
          <w:szCs w:val="28"/>
          <w14:textFill>
            <w14:solidFill>
              <w14:schemeClr w14:val="tx1"/>
            </w14:solidFill>
          </w14:textFill>
        </w:rPr>
        <w:t>10</w:t>
      </w:r>
      <w:r>
        <w:rPr>
          <w:rFonts w:ascii="Times New Roman" w:hAnsi="Times New Roman" w:eastAsia="仿宋_GB2312" w:cs="Times New Roman"/>
          <w:color w:val="000000" w:themeColor="text1"/>
          <w:sz w:val="32"/>
          <w:szCs w:val="28"/>
          <w14:textFill>
            <w14:solidFill>
              <w14:schemeClr w14:val="tx1"/>
            </w14:solidFill>
          </w14:textFill>
        </w:rPr>
        <w:t>%；人均GDP</w:t>
      </w:r>
      <w:r>
        <w:rPr>
          <w:rFonts w:hint="eastAsia" w:ascii="Times New Roman" w:hAnsi="Times New Roman" w:eastAsia="仿宋_GB2312" w:cs="Times New Roman"/>
          <w:color w:val="000000" w:themeColor="text1"/>
          <w:sz w:val="32"/>
          <w:szCs w:val="28"/>
          <w14:textFill>
            <w14:solidFill>
              <w14:schemeClr w14:val="tx1"/>
            </w14:solidFill>
          </w14:textFill>
        </w:rPr>
        <w:t>达到</w:t>
      </w:r>
      <w:r>
        <w:rPr>
          <w:rFonts w:ascii="Times New Roman" w:hAnsi="Times New Roman" w:eastAsia="仿宋_GB2312" w:cs="Times New Roman"/>
          <w:color w:val="000000" w:themeColor="text1"/>
          <w:sz w:val="32"/>
          <w:szCs w:val="28"/>
          <w14:textFill>
            <w14:solidFill>
              <w14:schemeClr w14:val="tx1"/>
            </w14:solidFill>
          </w14:textFill>
        </w:rPr>
        <w:t>7</w:t>
      </w:r>
      <w:r>
        <w:rPr>
          <w:rFonts w:hint="eastAsia" w:ascii="Times New Roman" w:hAnsi="Times New Roman" w:eastAsia="仿宋_GB2312" w:cs="Times New Roman"/>
          <w:color w:val="000000" w:themeColor="text1"/>
          <w:sz w:val="32"/>
          <w:szCs w:val="28"/>
          <w14:textFill>
            <w14:solidFill>
              <w14:schemeClr w14:val="tx1"/>
            </w14:solidFill>
          </w14:textFill>
        </w:rPr>
        <w:t>24</w:t>
      </w:r>
      <w:r>
        <w:rPr>
          <w:rFonts w:ascii="Times New Roman" w:hAnsi="Times New Roman" w:eastAsia="仿宋_GB2312" w:cs="Times New Roman"/>
          <w:color w:val="000000" w:themeColor="text1"/>
          <w:sz w:val="32"/>
          <w:szCs w:val="28"/>
          <w14:textFill>
            <w14:solidFill>
              <w14:schemeClr w14:val="tx1"/>
            </w14:solidFill>
          </w14:textFill>
        </w:rPr>
        <w:t>00元（超过1万美元），位居吴忠市第一位，年均增长率达到10%</w:t>
      </w:r>
      <w:r>
        <w:rPr>
          <w:rFonts w:hint="eastAsia" w:ascii="Times New Roman" w:hAnsi="Times New Roman" w:eastAsia="仿宋_GB2312" w:cs="Times New Roman"/>
          <w:color w:val="000000" w:themeColor="text1"/>
          <w:sz w:val="32"/>
          <w:szCs w:val="28"/>
          <w14:textFill>
            <w14:solidFill>
              <w14:schemeClr w14:val="tx1"/>
            </w14:solidFill>
          </w14:textFill>
        </w:rPr>
        <w:t>左右</w:t>
      </w:r>
      <w:r>
        <w:rPr>
          <w:rFonts w:ascii="Times New Roman" w:hAnsi="Times New Roman" w:eastAsia="仿宋_GB2312" w:cs="Times New Roman"/>
          <w:color w:val="000000" w:themeColor="text1"/>
          <w:sz w:val="32"/>
          <w:szCs w:val="28"/>
          <w14:textFill>
            <w14:solidFill>
              <w14:schemeClr w14:val="tx1"/>
            </w14:solidFill>
          </w14:textFill>
        </w:rPr>
        <w:t>；全社会固定资产投资五年累计完成655亿元，是“十二五”时期的1.42倍；公共财政一般预算收入达到8.8</w:t>
      </w:r>
      <w:r>
        <w:rPr>
          <w:rFonts w:hint="eastAsia" w:ascii="Times New Roman" w:hAnsi="Times New Roman" w:eastAsia="仿宋_GB2312" w:cs="Times New Roman"/>
          <w:color w:val="000000" w:themeColor="text1"/>
          <w:sz w:val="32"/>
          <w:szCs w:val="28"/>
          <w14:textFill>
            <w14:solidFill>
              <w14:schemeClr w14:val="tx1"/>
            </w14:solidFill>
          </w14:textFill>
        </w:rPr>
        <w:t>6</w:t>
      </w:r>
      <w:r>
        <w:rPr>
          <w:rFonts w:ascii="Times New Roman" w:hAnsi="Times New Roman" w:eastAsia="仿宋_GB2312" w:cs="Times New Roman"/>
          <w:color w:val="000000" w:themeColor="text1"/>
          <w:sz w:val="32"/>
          <w:szCs w:val="28"/>
          <w14:textFill>
            <w14:solidFill>
              <w14:schemeClr w14:val="tx1"/>
            </w14:solidFill>
          </w14:textFill>
        </w:rPr>
        <w:t>亿元；社会消费品零售总额由2015年的18.5亿元增加到24.</w:t>
      </w:r>
      <w:r>
        <w:rPr>
          <w:rFonts w:hint="eastAsia" w:ascii="Times New Roman" w:hAnsi="Times New Roman" w:eastAsia="仿宋_GB2312" w:cs="Times New Roman"/>
          <w:color w:val="000000" w:themeColor="text1"/>
          <w:sz w:val="32"/>
          <w:szCs w:val="28"/>
          <w14:textFill>
            <w14:solidFill>
              <w14:schemeClr w14:val="tx1"/>
            </w14:solidFill>
          </w14:textFill>
        </w:rPr>
        <w:t>18</w:t>
      </w:r>
      <w:r>
        <w:rPr>
          <w:rFonts w:ascii="Times New Roman" w:hAnsi="Times New Roman" w:eastAsia="仿宋_GB2312" w:cs="Times New Roman"/>
          <w:color w:val="000000" w:themeColor="text1"/>
          <w:sz w:val="32"/>
          <w:szCs w:val="28"/>
          <w14:textFill>
            <w14:solidFill>
              <w14:schemeClr w14:val="tx1"/>
            </w14:solidFill>
          </w14:textFill>
        </w:rPr>
        <w:t>亿元。</w:t>
      </w:r>
    </w:p>
    <w:p>
      <w:pPr>
        <w:spacing w:line="580" w:lineRule="exact"/>
        <w:ind w:firstLine="565" w:firstLineChars="176"/>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（三）改革创新释放发展活力。</w:t>
      </w:r>
      <w:r>
        <w:rPr>
          <w:rFonts w:ascii="Times New Roman" w:hAnsi="Times New Roman" w:eastAsia="仿宋_GB2312" w:cs="Times New Roman"/>
          <w:color w:val="000000" w:themeColor="text1"/>
          <w:sz w:val="32"/>
          <w:szCs w:val="28"/>
          <w14:textFill>
            <w14:solidFill>
              <w14:schemeClr w14:val="tx1"/>
            </w14:solidFill>
          </w14:textFill>
        </w:rPr>
        <w:t>“十三五”期间，全县扎实推进200多项重点改革任务。政府机构改革和国有企业重组全面完成，营商环境持续优化，建成县乡村三级政务服务网。金融扶贫“盐池模式”、县域综合医改、高效节水灌溉模式等原创性改革经验走在了区市乃至全国前列。全国创新型县建设和自治区县域创新试点改革成效显著，县域创新能力和水平得到显著提升，滩羊标准化生产关键技术等7个科研项目荣获自治区科技进步奖，改革创新对经济发展的贡献越来越强。到“十三五”期末，全社会研发与试验投入强度由2015年的0.21%增长到1.3%，科技进步贡献率达到5</w:t>
      </w:r>
      <w:r>
        <w:rPr>
          <w:rFonts w:hint="eastAsia" w:ascii="Times New Roman" w:hAnsi="Times New Roman" w:eastAsia="仿宋_GB2312" w:cs="Times New Roman"/>
          <w:color w:val="000000" w:themeColor="text1"/>
          <w:sz w:val="32"/>
          <w:szCs w:val="28"/>
          <w14:textFill>
            <w14:solidFill>
              <w14:schemeClr w14:val="tx1"/>
            </w14:solidFill>
          </w14:textFill>
        </w:rPr>
        <w:t>5</w:t>
      </w:r>
      <w:r>
        <w:rPr>
          <w:rFonts w:ascii="Times New Roman" w:hAnsi="Times New Roman" w:eastAsia="仿宋_GB2312" w:cs="Times New Roman"/>
          <w:color w:val="000000" w:themeColor="text1"/>
          <w:sz w:val="32"/>
          <w:szCs w:val="28"/>
          <w14:textFill>
            <w14:solidFill>
              <w14:schemeClr w14:val="tx1"/>
            </w14:solidFill>
          </w14:textFill>
        </w:rPr>
        <w:t>%。</w:t>
      </w:r>
    </w:p>
    <w:p>
      <w:pPr>
        <w:spacing w:line="580" w:lineRule="exact"/>
        <w:ind w:firstLine="565" w:firstLineChars="176"/>
        <w:rPr>
          <w:rFonts w:ascii="Times New Roman" w:hAnsi="Times New Roman" w:eastAsia="仿宋_GB2312" w:cs="Times New Roman"/>
          <w:color w:val="000000" w:themeColor="text1"/>
          <w:spacing w:val="-4"/>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（四）产业转型升级步伐加快。</w:t>
      </w:r>
      <w:r>
        <w:rPr>
          <w:rFonts w:ascii="Times New Roman" w:hAnsi="Times New Roman" w:eastAsia="仿宋_GB2312" w:cs="Times New Roman"/>
          <w:color w:val="000000" w:themeColor="text1"/>
          <w:sz w:val="32"/>
          <w:szCs w:val="28"/>
          <w14:textFill>
            <w14:solidFill>
              <w14:schemeClr w14:val="tx1"/>
            </w14:solidFill>
          </w14:textFill>
        </w:rPr>
        <w:t>产业发展呈现结构不断优化、动力持续增强和质量显著提升的新局面。特色农业实现提质增效，以滩羊为主的“1+4+X”特色农业产业体系持续完善，特色</w:t>
      </w:r>
      <w:r>
        <w:rPr>
          <w:rFonts w:ascii="Times New Roman" w:hAnsi="Times New Roman" w:eastAsia="仿宋_GB2312" w:cs="Times New Roman"/>
          <w:color w:val="000000" w:themeColor="text1"/>
          <w:spacing w:val="-4"/>
          <w:sz w:val="32"/>
          <w:szCs w:val="28"/>
          <w14:textFill>
            <w14:solidFill>
              <w14:schemeClr w14:val="tx1"/>
            </w14:solidFill>
          </w14:textFill>
        </w:rPr>
        <w:t>农业不断向品牌化、品质化方向发展。工业转型稳中有进，新型工业化步伐不断加快，规模以上工业总产值达到14</w:t>
      </w:r>
      <w:r>
        <w:rPr>
          <w:rFonts w:hint="eastAsia" w:ascii="Times New Roman" w:hAnsi="Times New Roman" w:eastAsia="仿宋_GB2312" w:cs="Times New Roman"/>
          <w:color w:val="000000" w:themeColor="text1"/>
          <w:spacing w:val="-4"/>
          <w:sz w:val="32"/>
          <w:szCs w:val="28"/>
          <w14:textFill>
            <w14:solidFill>
              <w14:schemeClr w14:val="tx1"/>
            </w14:solidFill>
          </w14:textFill>
        </w:rPr>
        <w:t>4.1</w:t>
      </w:r>
      <w:r>
        <w:rPr>
          <w:rFonts w:ascii="Times New Roman" w:hAnsi="Times New Roman" w:eastAsia="仿宋_GB2312" w:cs="Times New Roman"/>
          <w:color w:val="000000" w:themeColor="text1"/>
          <w:spacing w:val="-4"/>
          <w:sz w:val="32"/>
          <w:szCs w:val="28"/>
          <w14:textFill>
            <w14:solidFill>
              <w14:schemeClr w14:val="tx1"/>
            </w14:solidFill>
          </w14:textFill>
        </w:rPr>
        <w:t>亿元，年均增长</w:t>
      </w:r>
      <w:r>
        <w:rPr>
          <w:rFonts w:hint="eastAsia" w:ascii="Times New Roman" w:hAnsi="Times New Roman" w:eastAsia="仿宋_GB2312" w:cs="Times New Roman"/>
          <w:color w:val="000000" w:themeColor="text1"/>
          <w:spacing w:val="-4"/>
          <w:sz w:val="32"/>
          <w:szCs w:val="28"/>
          <w14:textFill>
            <w14:solidFill>
              <w14:schemeClr w14:val="tx1"/>
            </w14:solidFill>
          </w14:textFill>
        </w:rPr>
        <w:t>10</w:t>
      </w:r>
      <w:r>
        <w:rPr>
          <w:rFonts w:ascii="Times New Roman" w:hAnsi="Times New Roman" w:eastAsia="仿宋_GB2312" w:cs="Times New Roman"/>
          <w:color w:val="000000" w:themeColor="text1"/>
          <w:spacing w:val="-4"/>
          <w:sz w:val="32"/>
          <w:szCs w:val="28"/>
          <w14:textFill>
            <w14:solidFill>
              <w14:schemeClr w14:val="tx1"/>
            </w14:solidFill>
          </w14:textFill>
        </w:rPr>
        <w:t>%。第三产业呈现出多业态经营、多品牌集聚的发展趋势，形成了文化旅游、现代物流等服务业多元发展格局。</w:t>
      </w:r>
    </w:p>
    <w:p>
      <w:pPr>
        <w:spacing w:line="580" w:lineRule="exact"/>
        <w:ind w:firstLine="643" w:firstLineChars="200"/>
        <w:rPr>
          <w:rFonts w:ascii="Times New Roman" w:hAnsi="Times New Roman" w:eastAsia="仿宋_GB2312" w:cs="Times New Roman"/>
          <w:bCs/>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（五）统筹城乡发展成效显著。</w:t>
      </w:r>
      <w:r>
        <w:rPr>
          <w:rFonts w:ascii="Times New Roman" w:hAnsi="Times New Roman" w:eastAsia="仿宋_GB2312" w:cs="Times New Roman"/>
          <w:bCs/>
          <w:color w:val="000000" w:themeColor="text1"/>
          <w:sz w:val="32"/>
          <w:szCs w:val="28"/>
          <w14:textFill>
            <w14:solidFill>
              <w14:schemeClr w14:val="tx1"/>
            </w14:solidFill>
          </w14:textFill>
        </w:rPr>
        <w:t>国家新型城镇化综合试点取得阶段性成效，“一主三副、多点协作”的城乡发展格局基本确立，到2020年，全县常住人口城镇化率达52.3%，城乡居民收入比由2015年的2.7:1缩小为2.1</w:t>
      </w:r>
      <w:r>
        <w:rPr>
          <w:rFonts w:hint="eastAsia" w:ascii="Times New Roman" w:hAnsi="Times New Roman" w:eastAsia="仿宋_GB2312" w:cs="Times New Roman"/>
          <w:bCs/>
          <w:color w:val="000000" w:themeColor="text1"/>
          <w:sz w:val="32"/>
          <w:szCs w:val="28"/>
          <w14:textFill>
            <w14:solidFill>
              <w14:schemeClr w14:val="tx1"/>
            </w14:solidFill>
          </w14:textFill>
        </w:rPr>
        <w:t>4</w:t>
      </w:r>
      <w:r>
        <w:rPr>
          <w:rFonts w:ascii="Times New Roman" w:hAnsi="Times New Roman" w:eastAsia="仿宋_GB2312" w:cs="Times New Roman"/>
          <w:bCs/>
          <w:color w:val="000000" w:themeColor="text1"/>
          <w:sz w:val="32"/>
          <w:szCs w:val="28"/>
          <w14:textFill>
            <w14:solidFill>
              <w14:schemeClr w14:val="tx1"/>
            </w14:solidFill>
          </w14:textFill>
        </w:rPr>
        <w:t>:1。城乡基础设施和公共服务设施呈现一体化和网络化发展态势，盐州古城墙修复、环城公园、健身中心等一批公共设施建成投用。美丽村镇建设扎实推进，高质量建成大水坑特色小镇和高沙窝、惠安堡等5个美丽小镇，高标准完成104个美丽村庄建设。银西高铁、银百高速建成通车，高效率交通基础设施覆盖率达100%，全县公路路网密度由2015年每百平方公里34公里增加到42公里，基本建成南通北畅、东进西出、外联内通的“四纵八横”交通体系。</w:t>
      </w:r>
    </w:p>
    <w:p>
      <w:pPr>
        <w:spacing w:line="580" w:lineRule="exact"/>
        <w:ind w:firstLine="707" w:firstLineChars="220"/>
        <w:rPr>
          <w:rFonts w:ascii="Times New Roman" w:hAnsi="Times New Roman" w:eastAsia="仿宋_GB2312" w:cs="Times New Roman"/>
          <w:bCs/>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（六）生态环境持续改善。</w:t>
      </w:r>
      <w:r>
        <w:rPr>
          <w:rFonts w:ascii="Times New Roman" w:hAnsi="Times New Roman" w:eastAsia="仿宋_GB2312" w:cs="Times New Roman"/>
          <w:bCs/>
          <w:color w:val="000000" w:themeColor="text1"/>
          <w:sz w:val="32"/>
          <w:szCs w:val="28"/>
          <w14:textFill>
            <w14:solidFill>
              <w14:schemeClr w14:val="tx1"/>
            </w14:solidFill>
          </w14:textFill>
        </w:rPr>
        <w:t>聚力污染防治攻坚战，全面落实节能减排目标责任制，不断加强监管能力和体系建设，“蓝天、碧水、净土”三大保卫战取得初步成效。到“十三五”期末，全县环境空气优良天数比例保持在90%以上，主要空气污染物浓度指标达到环境空气质量二级标准，资源综合利用率和废弃物处理率稳步提升，单位GDP综合能耗、二氧化碳等主要污染物排放等指标控制在上级下达指标以内。三北防护林、天然林保护、新一轮退耕还林、退化草原生态修复及防沙治沙、城乡造林绿化等生态工程顺利实施，五年累计完成营造林</w:t>
      </w:r>
      <w:r>
        <w:rPr>
          <w:rFonts w:hint="eastAsia" w:ascii="Times New Roman" w:hAnsi="Times New Roman" w:eastAsia="仿宋_GB2312" w:cs="Times New Roman"/>
          <w:bCs/>
          <w:color w:val="000000" w:themeColor="text1"/>
          <w:sz w:val="32"/>
          <w:szCs w:val="28"/>
          <w14:textFill>
            <w14:solidFill>
              <w14:schemeClr w14:val="tx1"/>
            </w14:solidFill>
          </w14:textFill>
        </w:rPr>
        <w:t>55</w:t>
      </w:r>
      <w:r>
        <w:rPr>
          <w:rFonts w:ascii="Times New Roman" w:hAnsi="Times New Roman" w:eastAsia="仿宋_GB2312" w:cs="Times New Roman"/>
          <w:bCs/>
          <w:color w:val="000000" w:themeColor="text1"/>
          <w:sz w:val="32"/>
          <w:szCs w:val="28"/>
          <w14:textFill>
            <w14:solidFill>
              <w14:schemeClr w14:val="tx1"/>
            </w14:solidFill>
          </w14:textFill>
        </w:rPr>
        <w:t>万亩，全县森林覆盖率、草原综合植被盖度分别达到27.32%、58.45%。</w:t>
      </w:r>
    </w:p>
    <w:p>
      <w:pPr>
        <w:spacing w:line="580" w:lineRule="exact"/>
        <w:ind w:firstLine="643" w:firstLineChars="200"/>
        <w:rPr>
          <w:rFonts w:ascii="Times New Roman" w:hAnsi="Times New Roman" w:eastAsia="仿宋_GB2312" w:cs="Times New Roman"/>
          <w:bCs/>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（七）民生保障水平大幅提高。</w:t>
      </w:r>
      <w:r>
        <w:rPr>
          <w:rFonts w:ascii="Times New Roman" w:hAnsi="Times New Roman" w:eastAsia="仿宋_GB2312" w:cs="Times New Roman"/>
          <w:bCs/>
          <w:color w:val="000000" w:themeColor="text1"/>
          <w:sz w:val="32"/>
          <w:szCs w:val="28"/>
          <w14:textFill>
            <w14:solidFill>
              <w14:schemeClr w14:val="tx1"/>
            </w14:solidFill>
          </w14:textFill>
        </w:rPr>
        <w:t>“十三五”期间，全县每年用于保障和改善民生支出占一般公共预算支出的比重均保持在85%以上，民生保障水平取得新提升，基本实现基本公共服务均等化，人民生活水平和幸福指数不断提高。</w:t>
      </w:r>
      <w:r>
        <w:rPr>
          <w:rFonts w:ascii="Times New Roman" w:hAnsi="Times New Roman" w:eastAsia="仿宋_GB2312" w:cs="Times New Roman"/>
          <w:color w:val="000000" w:themeColor="text1"/>
          <w:sz w:val="32"/>
          <w:szCs w:val="28"/>
          <w14:textFill>
            <w14:solidFill>
              <w14:schemeClr w14:val="tx1"/>
            </w14:solidFill>
          </w14:textFill>
        </w:rPr>
        <w:t>城镇和农村居民人均可支配收入分别由2015年的20920元和7674元增加到</w:t>
      </w:r>
      <w:r>
        <w:rPr>
          <w:rFonts w:hint="eastAsia" w:ascii="Times New Roman" w:hAnsi="Times New Roman" w:eastAsia="仿宋_GB2312" w:cs="Times New Roman"/>
          <w:color w:val="000000" w:themeColor="text1"/>
          <w:sz w:val="32"/>
          <w:szCs w:val="28"/>
          <w14:textFill>
            <w14:solidFill>
              <w14:schemeClr w14:val="tx1"/>
            </w14:solidFill>
          </w14:textFill>
        </w:rPr>
        <w:t>29830.9</w:t>
      </w:r>
      <w:r>
        <w:rPr>
          <w:rFonts w:ascii="Times New Roman" w:hAnsi="Times New Roman" w:eastAsia="仿宋_GB2312" w:cs="Times New Roman"/>
          <w:color w:val="000000" w:themeColor="text1"/>
          <w:sz w:val="32"/>
          <w:szCs w:val="28"/>
          <w14:textFill>
            <w14:solidFill>
              <w14:schemeClr w14:val="tx1"/>
            </w14:solidFill>
          </w14:textFill>
        </w:rPr>
        <w:t>元和</w:t>
      </w:r>
      <w:r>
        <w:rPr>
          <w:rFonts w:hint="eastAsia" w:ascii="Times New Roman" w:hAnsi="Times New Roman" w:eastAsia="仿宋_GB2312" w:cs="Times New Roman"/>
          <w:color w:val="000000" w:themeColor="text1"/>
          <w:sz w:val="32"/>
          <w:szCs w:val="28"/>
          <w14:textFill>
            <w14:solidFill>
              <w14:schemeClr w14:val="tx1"/>
            </w14:solidFill>
          </w14:textFill>
        </w:rPr>
        <w:t>13922.1</w:t>
      </w:r>
      <w:r>
        <w:rPr>
          <w:rFonts w:ascii="Times New Roman" w:hAnsi="Times New Roman" w:eastAsia="仿宋_GB2312" w:cs="Times New Roman"/>
          <w:color w:val="000000" w:themeColor="text1"/>
          <w:sz w:val="32"/>
          <w:szCs w:val="28"/>
          <w14:textFill>
            <w14:solidFill>
              <w14:schemeClr w14:val="tx1"/>
            </w14:solidFill>
          </w14:textFill>
        </w:rPr>
        <w:t>元。</w:t>
      </w:r>
      <w:r>
        <w:rPr>
          <w:rFonts w:ascii="Times New Roman" w:hAnsi="Times New Roman" w:eastAsia="仿宋_GB2312" w:cs="Times New Roman"/>
          <w:bCs/>
          <w:color w:val="000000" w:themeColor="text1"/>
          <w:sz w:val="32"/>
          <w:szCs w:val="28"/>
          <w14:textFill>
            <w14:solidFill>
              <w14:schemeClr w14:val="tx1"/>
            </w14:solidFill>
          </w14:textFill>
        </w:rPr>
        <w:t>基本形成以保障性住房、城镇棚户区改造及商品房开发等形式为一体的住房保障体系，城乡居民住房条件明显改善。义务教育均衡发展高标准通过国家验收，学校标准化和信息化建设走在全区前列。到“十三五”期末，教育投入占GDP比重</w:t>
      </w:r>
      <w:r>
        <w:rPr>
          <w:rFonts w:hint="eastAsia" w:ascii="Times New Roman" w:hAnsi="Times New Roman" w:eastAsia="仿宋_GB2312" w:cs="Times New Roman"/>
          <w:bCs/>
          <w:color w:val="000000" w:themeColor="text1"/>
          <w:sz w:val="32"/>
          <w:szCs w:val="28"/>
          <w14:textFill>
            <w14:solidFill>
              <w14:schemeClr w14:val="tx1"/>
            </w14:solidFill>
          </w14:textFill>
        </w:rPr>
        <w:t>达5</w:t>
      </w:r>
      <w:r>
        <w:rPr>
          <w:rFonts w:ascii="Times New Roman" w:hAnsi="Times New Roman" w:eastAsia="仿宋_GB2312" w:cs="Times New Roman"/>
          <w:bCs/>
          <w:color w:val="000000" w:themeColor="text1"/>
          <w:sz w:val="32"/>
          <w:szCs w:val="28"/>
          <w14:textFill>
            <w14:solidFill>
              <w14:schemeClr w14:val="tx1"/>
            </w14:solidFill>
          </w14:textFill>
        </w:rPr>
        <w:t>%。覆盖城乡居民的公共卫生服务体系、医疗服务体系和医疗保障体系更加完善，计划生育优质服务工作荣获全国先进县称号。实现了县乡村三级公共文化服务网络体系全覆盖，成功创建国家公共文化服务体系示范区。青年、妇女、儿童、养老、工会和残疾人等事业有了新进步。</w:t>
      </w:r>
    </w:p>
    <w:p>
      <w:pPr>
        <w:spacing w:line="580" w:lineRule="exact"/>
        <w:ind w:firstLine="643" w:firstLineChars="200"/>
        <w:rPr>
          <w:rFonts w:ascii="Times New Roman" w:hAnsi="Times New Roman" w:eastAsia="仿宋_GB2312" w:cs="Times New Roman"/>
          <w:bCs/>
          <w:color w:val="000000" w:themeColor="text1"/>
          <w:sz w:val="32"/>
          <w:szCs w:val="28"/>
          <w14:textFill>
            <w14:solidFill>
              <w14:schemeClr w14:val="tx1"/>
            </w14:solidFill>
          </w14:textFill>
        </w:rPr>
      </w:pPr>
      <w:r>
        <w:rPr>
          <w:rFonts w:ascii="Times New Roman" w:hAnsi="Times New Roman" w:eastAsia="楷体_GB2312" w:cs="Times New Roman"/>
          <w:b/>
          <w:color w:val="000000" w:themeColor="text1"/>
          <w:sz w:val="32"/>
          <w:szCs w:val="28"/>
          <w14:textFill>
            <w14:solidFill>
              <w14:schemeClr w14:val="tx1"/>
            </w14:solidFill>
          </w14:textFill>
        </w:rPr>
        <w:t>（八）治理效能不断提升。</w:t>
      </w:r>
      <w:r>
        <w:rPr>
          <w:rFonts w:ascii="Times New Roman" w:hAnsi="Times New Roman" w:eastAsia="仿宋_GB2312" w:cs="Times New Roman"/>
          <w:bCs/>
          <w:color w:val="000000" w:themeColor="text1"/>
          <w:sz w:val="32"/>
          <w:szCs w:val="28"/>
          <w14:textFill>
            <w14:solidFill>
              <w14:schemeClr w14:val="tx1"/>
            </w14:solidFill>
          </w14:textFill>
        </w:rPr>
        <w:t>坚定不移把党的政治建设放在首位，增强“四个意识”，坚定“四个自信”，坚决做到“两个维护”，确保各项工作始终保持正确的政治方向。“两学一做”学习教育、“不忘初心、牢记使命”主题教育成效显著，政治建设深入推进，正风肃纪持续加力，高压反腐力度不减，党风政风持续好转，政治生态持续向好。政府公信力、执行力显著增强，群众满意度不断提升。平安盐池、法治盐池建设扎实推进。创新建立“四级网格化”管理模式，基层治理体系不断完善。“扫黑除恶”专项斗争取得显著成果，“四联机制”和“五调对接”纠纷化解机制成效显著，</w:t>
      </w:r>
      <w:r>
        <w:rPr>
          <w:rFonts w:hint="eastAsia" w:ascii="Times New Roman" w:hAnsi="Times New Roman" w:eastAsia="仿宋_GB2312" w:cs="Times New Roman"/>
          <w:bCs/>
          <w:color w:val="000000" w:themeColor="text1"/>
          <w:sz w:val="32"/>
          <w:szCs w:val="28"/>
          <w14:textFill>
            <w14:solidFill>
              <w14:schemeClr w14:val="tx1"/>
            </w14:solidFill>
          </w14:textFill>
        </w:rPr>
        <w:t>新时代“枫桥经验”全面推行，</w:t>
      </w:r>
      <w:r>
        <w:rPr>
          <w:rFonts w:ascii="Times New Roman" w:hAnsi="Times New Roman" w:eastAsia="仿宋_GB2312" w:cs="Times New Roman"/>
          <w:bCs/>
          <w:color w:val="000000" w:themeColor="text1"/>
          <w:sz w:val="32"/>
          <w:szCs w:val="28"/>
          <w14:textFill>
            <w14:solidFill>
              <w14:schemeClr w14:val="tx1"/>
            </w14:solidFill>
          </w14:textFill>
        </w:rPr>
        <w:t>基层社会治理能力不断增强。防范化解重大风险能力不断提升，安全生产责任、政府债务风险防控、金融风险防范等取得积极成效，守住了安全底线。面对突如其来的新冠疫情，筑起了联防联控、群防群控的抗疫坚固防线，取得了零确诊零疑似的疫情防控成绩。外事、港澳台侨、双拥、人防、气象、地震、档案等工作取得新进展。</w:t>
      </w:r>
    </w:p>
    <w:p>
      <w:pPr>
        <w:spacing w:line="580" w:lineRule="exact"/>
        <w:ind w:firstLine="640"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32"/>
          <w:szCs w:val="28"/>
          <w14:textFill>
            <w14:solidFill>
              <w14:schemeClr w14:val="tx1"/>
            </w14:solidFill>
          </w14:textFill>
        </w:rPr>
        <w:t>总体来看，“十三五”时期是盐池决胜全面小康、决战脱贫攻坚的重要五年，在区市党委、政府的坚强领导下，始终坚持以习近平新时代中国特色社会主义思想为指导，全面贯彻落实习近平总书记视察宁夏重要讲话精神，不忘初心，牢记使命，团结带领全县人民改革创新、攻坚克难、砥砺前行，经济社会发展迈上新台阶，“十三五”规划目标任务基本完成，全面建成小康社会胜利在望，为开启全面建设社会主义现代化新征程厚植了发展基础。五年来，我县先后荣获国家级荣誉和奖项83项、省部级134项，全县经济、政治、文化、社会和生态文明建设取得重大成就，奋斗的历程充满挑战，取得的成就令人瞩目，积累的经验值得铭记。这是习近平新时代中国特色社会主义思想科学引领的结果，是上级党委、政府和县委统揽全局坚强领导的结果，是县人大、政协大力支持、有效监督的结果，更是全县人民群众和衷共济、奋力拼搏的结果。</w:t>
      </w:r>
    </w:p>
    <w:p>
      <w:pPr>
        <w:adjustRightInd w:val="0"/>
        <w:snapToGrid w:val="0"/>
        <w:spacing w:before="120" w:beforeLines="50"/>
        <w:jc w:val="center"/>
        <w:rPr>
          <w:rFonts w:ascii="Times New Roman" w:hAnsi="Times New Roman" w:eastAsia="仿宋_GB2312" w:cs="Times New Roman"/>
          <w:b/>
          <w:bCs/>
          <w:color w:val="000000" w:themeColor="text1"/>
          <w:szCs w:val="20"/>
          <w14:textFill>
            <w14:solidFill>
              <w14:schemeClr w14:val="tx1"/>
            </w14:solidFill>
          </w14:textFill>
        </w:rPr>
        <w:sectPr>
          <w:footerReference r:id="rId6" w:type="default"/>
          <w:pgSz w:w="11906" w:h="16838"/>
          <w:pgMar w:top="1701" w:right="1588" w:bottom="1418" w:left="1588" w:header="851" w:footer="1021" w:gutter="0"/>
          <w:pgNumType w:start="1"/>
          <w:cols w:space="0" w:num="1"/>
          <w:docGrid w:linePitch="312" w:charSpace="0"/>
        </w:sectPr>
      </w:pPr>
    </w:p>
    <w:p>
      <w:pPr>
        <w:adjustRightInd w:val="0"/>
        <w:snapToGrid w:val="0"/>
        <w:spacing w:before="120" w:beforeLines="50"/>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表1 “十三五”期间主要指标完成情况</w:t>
      </w:r>
    </w:p>
    <w:p>
      <w:pPr>
        <w:pStyle w:val="18"/>
        <w:rPr>
          <w:rFonts w:ascii="Times New Roman" w:hAnsi="Times New Roman" w:cs="Times New Roman"/>
          <w:color w:val="000000" w:themeColor="text1"/>
          <w14:textFill>
            <w14:solidFill>
              <w14:schemeClr w14:val="tx1"/>
            </w14:solidFill>
          </w14:textFill>
        </w:rPr>
      </w:pPr>
    </w:p>
    <w:tbl>
      <w:tblPr>
        <w:tblStyle w:val="23"/>
        <w:tblW w:w="14300" w:type="dxa"/>
        <w:tblInd w:w="0" w:type="dxa"/>
        <w:tblLayout w:type="fixed"/>
        <w:tblCellMar>
          <w:top w:w="0" w:type="dxa"/>
          <w:left w:w="108" w:type="dxa"/>
          <w:bottom w:w="0" w:type="dxa"/>
          <w:right w:w="108" w:type="dxa"/>
        </w:tblCellMar>
      </w:tblPr>
      <w:tblGrid>
        <w:gridCol w:w="724"/>
        <w:gridCol w:w="730"/>
        <w:gridCol w:w="4380"/>
        <w:gridCol w:w="1459"/>
        <w:gridCol w:w="1995"/>
        <w:gridCol w:w="2384"/>
        <w:gridCol w:w="2628"/>
      </w:tblGrid>
      <w:tr>
        <w:tblPrEx>
          <w:tblCellMar>
            <w:top w:w="0" w:type="dxa"/>
            <w:left w:w="108" w:type="dxa"/>
            <w:bottom w:w="0" w:type="dxa"/>
            <w:right w:w="108" w:type="dxa"/>
          </w:tblCellMar>
        </w:tblPrEx>
        <w:trPr>
          <w:trHeight w:val="364" w:hRule="atLeast"/>
          <w:tblHead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bookmarkStart w:id="16" w:name="_Hlk59783508"/>
            <w:r>
              <w:rPr>
                <w:rFonts w:ascii="Times New Roman" w:hAnsi="Times New Roman" w:eastAsia="仿宋_GB2312" w:cs="Times New Roman"/>
                <w:b/>
                <w:bCs/>
                <w:color w:val="000000" w:themeColor="text1"/>
                <w:kern w:val="0"/>
                <w:szCs w:val="21"/>
                <w14:textFill>
                  <w14:solidFill>
                    <w14:schemeClr w14:val="tx1"/>
                  </w14:solidFill>
                </w14:textFill>
              </w:rPr>
              <w:t>类别</w:t>
            </w:r>
          </w:p>
        </w:tc>
        <w:tc>
          <w:tcPr>
            <w:tcW w:w="7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序号</w:t>
            </w:r>
          </w:p>
        </w:tc>
        <w:tc>
          <w:tcPr>
            <w:tcW w:w="4380" w:type="dxa"/>
            <w:tcBorders>
              <w:top w:val="single" w:color="auto" w:sz="4" w:space="0"/>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指标名称</w:t>
            </w:r>
          </w:p>
        </w:tc>
        <w:tc>
          <w:tcPr>
            <w:tcW w:w="14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计算单位</w:t>
            </w:r>
          </w:p>
        </w:tc>
        <w:tc>
          <w:tcPr>
            <w:tcW w:w="199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2015年</w:t>
            </w:r>
          </w:p>
        </w:tc>
        <w:tc>
          <w:tcPr>
            <w:tcW w:w="23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2020年规划目标值</w:t>
            </w:r>
          </w:p>
        </w:tc>
        <w:tc>
          <w:tcPr>
            <w:tcW w:w="26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b/>
                <w:bCs/>
                <w:color w:val="000000" w:themeColor="text1"/>
                <w:kern w:val="0"/>
                <w:szCs w:val="21"/>
                <w14:textFill>
                  <w14:solidFill>
                    <w14:schemeClr w14:val="tx1"/>
                  </w14:solidFill>
                </w14:textFill>
              </w:rPr>
            </w:pPr>
            <w:r>
              <w:rPr>
                <w:rFonts w:ascii="Times New Roman" w:hAnsi="Times New Roman" w:eastAsia="仿宋_GB2312" w:cs="Times New Roman"/>
                <w:b/>
                <w:bCs/>
                <w:color w:val="000000" w:themeColor="text1"/>
                <w:kern w:val="0"/>
                <w:szCs w:val="21"/>
                <w14:textFill>
                  <w14:solidFill>
                    <w14:schemeClr w14:val="tx1"/>
                  </w14:solidFill>
                </w14:textFill>
              </w:rPr>
              <w:t>2020年完成值</w:t>
            </w:r>
          </w:p>
        </w:tc>
      </w:tr>
      <w:tr>
        <w:tblPrEx>
          <w:tblCellMar>
            <w:top w:w="0" w:type="dxa"/>
            <w:left w:w="108" w:type="dxa"/>
            <w:bottom w:w="0" w:type="dxa"/>
            <w:right w:w="108" w:type="dxa"/>
          </w:tblCellMar>
        </w:tblPrEx>
        <w:trPr>
          <w:cantSplit/>
          <w:trHeight w:val="356" w:hRule="atLeast"/>
        </w:trPr>
        <w:tc>
          <w:tcPr>
            <w:tcW w:w="724" w:type="dxa"/>
            <w:vMerge w:val="restart"/>
            <w:tcBorders>
              <w:top w:val="nil"/>
              <w:left w:val="single" w:color="auto" w:sz="4" w:space="0"/>
              <w:right w:val="single" w:color="auto" w:sz="4" w:space="0"/>
            </w:tcBorders>
            <w:shd w:val="clear" w:color="auto" w:fill="auto"/>
            <w:textDirection w:val="tbRlV"/>
            <w:vAlign w:val="center"/>
          </w:tcPr>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经济社会发展</w:t>
            </w: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地区生产总值</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亿元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60.83</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103</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115.4</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工业增加值</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亿元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21.99</w:t>
            </w:r>
          </w:p>
        </w:tc>
        <w:tc>
          <w:tcPr>
            <w:tcW w:w="2384" w:type="dxa"/>
            <w:tcBorders>
              <w:top w:val="nil"/>
              <w:left w:val="nil"/>
              <w:bottom w:val="single" w:color="auto" w:sz="4" w:space="0"/>
              <w:right w:val="single" w:color="auto" w:sz="4" w:space="0"/>
            </w:tcBorders>
            <w:shd w:val="clear" w:color="auto" w:fill="auto"/>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48</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50.4</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人均GDP</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39699</w:t>
            </w:r>
          </w:p>
        </w:tc>
        <w:tc>
          <w:tcPr>
            <w:tcW w:w="2384" w:type="dxa"/>
            <w:tcBorders>
              <w:top w:val="nil"/>
              <w:left w:val="nil"/>
              <w:bottom w:val="single" w:color="auto" w:sz="4" w:space="0"/>
              <w:right w:val="single" w:color="auto" w:sz="4" w:space="0"/>
            </w:tcBorders>
            <w:shd w:val="clear" w:color="auto" w:fill="auto"/>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67000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w:t>
            </w:r>
            <w:r>
              <w:rPr>
                <w:rFonts w:hint="eastAsia" w:ascii="Times New Roman" w:hAnsi="Times New Roman" w:eastAsia="仿宋_GB2312" w:cs="Times New Roman"/>
                <w:color w:val="000000" w:themeColor="text1"/>
                <w:kern w:val="0"/>
                <w:szCs w:val="21"/>
                <w14:textFill>
                  <w14:solidFill>
                    <w14:schemeClr w14:val="tx1"/>
                  </w14:solidFill>
                </w14:textFill>
              </w:rPr>
              <w:t>24</w:t>
            </w:r>
            <w:r>
              <w:rPr>
                <w:rFonts w:ascii="Times New Roman" w:hAnsi="Times New Roman" w:eastAsia="仿宋_GB2312" w:cs="Times New Roman"/>
                <w:color w:val="000000" w:themeColor="text1"/>
                <w:kern w:val="0"/>
                <w:szCs w:val="21"/>
                <w14:textFill>
                  <w14:solidFill>
                    <w14:schemeClr w14:val="tx1"/>
                  </w14:solidFill>
                </w14:textFill>
              </w:rPr>
              <w:t>00</w:t>
            </w:r>
            <w:r>
              <w:rPr>
                <w:rFonts w:hint="eastAsia" w:ascii="Times New Roman" w:hAnsi="Times New Roman" w:eastAsia="仿宋_GB2312" w:cs="Times New Roman"/>
                <w:color w:val="000000" w:themeColor="text1"/>
                <w:kern w:val="0"/>
                <w:szCs w:val="21"/>
                <w14:textFill>
                  <w14:solidFill>
                    <w14:schemeClr w14:val="tx1"/>
                  </w14:solidFill>
                </w14:textFill>
              </w:rPr>
              <w:t>（预计数据，因人口普查常住人口数据未出）</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县级一般公共预算收入</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亿元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7.57</w:t>
            </w:r>
          </w:p>
        </w:tc>
        <w:tc>
          <w:tcPr>
            <w:tcW w:w="2384" w:type="dxa"/>
            <w:tcBorders>
              <w:top w:val="nil"/>
              <w:left w:val="nil"/>
              <w:bottom w:val="single" w:color="auto" w:sz="4" w:space="0"/>
              <w:right w:val="single" w:color="auto" w:sz="4" w:space="0"/>
            </w:tcBorders>
            <w:shd w:val="clear" w:color="auto" w:fill="auto"/>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10.5</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8.8</w:t>
            </w:r>
            <w:r>
              <w:rPr>
                <w:rFonts w:hint="eastAsia" w:ascii="Times New Roman" w:hAnsi="Times New Roman" w:eastAsia="仿宋_GB2312" w:cs="Times New Roman"/>
                <w:color w:val="000000" w:themeColor="text1"/>
                <w:kern w:val="0"/>
                <w:szCs w:val="21"/>
                <w14:textFill>
                  <w14:solidFill>
                    <w14:schemeClr w14:val="tx1"/>
                  </w14:solidFill>
                </w14:textFill>
              </w:rPr>
              <w:t>6</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固定资产投资规模</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亿元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（460）</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（900）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（655）</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6</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社会消费品零售总额</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亿元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18.5</w:t>
            </w:r>
          </w:p>
        </w:tc>
        <w:tc>
          <w:tcPr>
            <w:tcW w:w="2384" w:type="dxa"/>
            <w:tcBorders>
              <w:top w:val="nil"/>
              <w:left w:val="nil"/>
              <w:bottom w:val="single" w:color="auto" w:sz="4" w:space="0"/>
              <w:right w:val="single" w:color="auto" w:sz="4" w:space="0"/>
            </w:tcBorders>
            <w:shd w:val="clear" w:color="auto" w:fill="auto"/>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17</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24.</w:t>
            </w:r>
            <w:r>
              <w:rPr>
                <w:rFonts w:hint="eastAsia" w:ascii="Times New Roman" w:hAnsi="Times New Roman" w:eastAsia="仿宋_GB2312" w:cs="Times New Roman"/>
                <w:color w:val="000000" w:themeColor="text1"/>
                <w:kern w:val="0"/>
                <w:szCs w:val="21"/>
                <w14:textFill>
                  <w14:solidFill>
                    <w14:schemeClr w14:val="tx1"/>
                  </w14:solidFill>
                </w14:textFill>
              </w:rPr>
              <w:t>18</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公路通车里程</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公里</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2908</w:t>
            </w:r>
          </w:p>
        </w:tc>
        <w:tc>
          <w:tcPr>
            <w:tcW w:w="2384" w:type="dxa"/>
            <w:tcBorders>
              <w:top w:val="nil"/>
              <w:left w:val="nil"/>
              <w:bottom w:val="single" w:color="auto" w:sz="4" w:space="0"/>
              <w:right w:val="single" w:color="auto" w:sz="4" w:space="0"/>
            </w:tcBorders>
            <w:shd w:val="clear" w:color="auto" w:fill="auto"/>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3308</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3609</w:t>
            </w:r>
          </w:p>
        </w:tc>
      </w:tr>
      <w:tr>
        <w:tblPrEx>
          <w:tblCellMar>
            <w:top w:w="0" w:type="dxa"/>
            <w:left w:w="108" w:type="dxa"/>
            <w:bottom w:w="0" w:type="dxa"/>
            <w:right w:w="108" w:type="dxa"/>
          </w:tblCellMar>
        </w:tblPrEx>
        <w:trPr>
          <w:trHeight w:val="356" w:hRule="atLeast"/>
        </w:trPr>
        <w:tc>
          <w:tcPr>
            <w:tcW w:w="724" w:type="dxa"/>
            <w:vMerge w:val="restart"/>
            <w:tcBorders>
              <w:top w:val="nil"/>
              <w:left w:val="single" w:color="auto" w:sz="4" w:space="0"/>
              <w:right w:val="single" w:color="auto" w:sz="4" w:space="0"/>
            </w:tcBorders>
            <w:shd w:val="clear" w:color="auto" w:fill="auto"/>
            <w:textDirection w:val="tbRlV"/>
            <w:vAlign w:val="center"/>
          </w:tcPr>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调整</w:t>
            </w:r>
          </w:p>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结构</w:t>
            </w: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8</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一、二、三次产业比例</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9.7:48.8:41.1</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7:53:40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8:6:53.7:37.7</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战略性新兴产业增加值占GDP比重</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7.28</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25</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7.4</w:t>
            </w:r>
          </w:p>
        </w:tc>
      </w:tr>
      <w:tr>
        <w:tblPrEx>
          <w:tblCellMar>
            <w:top w:w="0" w:type="dxa"/>
            <w:left w:w="108" w:type="dxa"/>
            <w:bottom w:w="0" w:type="dxa"/>
            <w:right w:w="108" w:type="dxa"/>
          </w:tblCellMar>
        </w:tblPrEx>
        <w:trPr>
          <w:trHeight w:val="356"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城镇化水平</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41.1</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60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52.3</w:t>
            </w:r>
            <w:r>
              <w:rPr>
                <w:rFonts w:hint="eastAsia" w:ascii="Times New Roman" w:hAnsi="Times New Roman" w:eastAsia="仿宋_GB2312" w:cs="Times New Roman"/>
                <w:color w:val="000000" w:themeColor="text1"/>
                <w:kern w:val="0"/>
                <w:szCs w:val="21"/>
                <w14:textFill>
                  <w14:solidFill>
                    <w14:schemeClr w14:val="tx1"/>
                  </w14:solidFill>
                </w14:textFill>
              </w:rPr>
              <w:t>（预计）</w:t>
            </w:r>
          </w:p>
        </w:tc>
      </w:tr>
      <w:tr>
        <w:tblPrEx>
          <w:tblCellMar>
            <w:top w:w="0" w:type="dxa"/>
            <w:left w:w="108" w:type="dxa"/>
            <w:bottom w:w="0" w:type="dxa"/>
            <w:right w:w="108" w:type="dxa"/>
          </w:tblCellMar>
        </w:tblPrEx>
        <w:trPr>
          <w:cantSplit/>
          <w:trHeight w:val="371" w:hRule="atLeast"/>
        </w:trPr>
        <w:tc>
          <w:tcPr>
            <w:tcW w:w="724" w:type="dxa"/>
            <w:vMerge w:val="restart"/>
            <w:tcBorders>
              <w:top w:val="nil"/>
              <w:left w:val="single" w:color="auto" w:sz="4" w:space="0"/>
              <w:right w:val="single" w:color="auto" w:sz="4" w:space="0"/>
            </w:tcBorders>
            <w:shd w:val="clear" w:color="auto" w:fill="auto"/>
            <w:textDirection w:val="tbRlV"/>
            <w:vAlign w:val="center"/>
          </w:tcPr>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资源环境</w:t>
            </w: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11</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单位GDP综合能耗</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吨标煤/万元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1.473</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12</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单位GDP二氧化碳排放量</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吨/万元</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化学需氧量排放量</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万吨</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0.0462</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14</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二氧化硫排放量</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万吨</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0.237</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15</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主要污染物排放总量</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万吨</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0.4564</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完成上级下达指标</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16</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城镇生活垃圾无害化处理率</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100</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100</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17</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城镇污水集中处理率</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75</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90</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90</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18</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单位工业增加值用水</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≤52立方米/万元</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≤40立方米/万元</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4.1</w:t>
            </w:r>
            <w:r>
              <w:rPr>
                <w:rFonts w:ascii="Times New Roman" w:hAnsi="Times New Roman" w:eastAsia="仿宋_GB2312" w:cs="Times New Roman"/>
                <w:color w:val="000000" w:themeColor="text1"/>
                <w:kern w:val="0"/>
                <w:szCs w:val="21"/>
                <w14:textFill>
                  <w14:solidFill>
                    <w14:schemeClr w14:val="tx1"/>
                  </w14:solidFill>
                </w14:textFill>
              </w:rPr>
              <w:t>立方米/万元</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19</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耕地保有量</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万亩</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151.5</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136.5</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165.4（实有耕地面积）</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20</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植被覆盖度</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70</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72</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72.3</w:t>
            </w:r>
          </w:p>
        </w:tc>
      </w:tr>
      <w:tr>
        <w:tblPrEx>
          <w:tblCellMar>
            <w:top w:w="0" w:type="dxa"/>
            <w:left w:w="108" w:type="dxa"/>
            <w:bottom w:w="0" w:type="dxa"/>
            <w:right w:w="108" w:type="dxa"/>
          </w:tblCellMar>
        </w:tblPrEx>
        <w:trPr>
          <w:cantSplit/>
          <w:trHeight w:val="371"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21</w:t>
            </w:r>
          </w:p>
        </w:tc>
        <w:tc>
          <w:tcPr>
            <w:tcW w:w="4380" w:type="dxa"/>
            <w:tcBorders>
              <w:top w:val="nil"/>
              <w:left w:val="nil"/>
              <w:bottom w:val="single" w:color="auto" w:sz="4" w:space="0"/>
              <w:right w:val="single" w:color="auto" w:sz="4" w:space="0"/>
            </w:tcBorders>
            <w:shd w:val="clear" w:color="auto" w:fill="auto"/>
            <w:vAlign w:val="center"/>
          </w:tcPr>
          <w:p>
            <w:pPr>
              <w:widowControl/>
              <w:spacing w:line="220" w:lineRule="exact"/>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林木覆盖度</w:t>
            </w:r>
          </w:p>
        </w:tc>
        <w:tc>
          <w:tcPr>
            <w:tcW w:w="1459"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35</w:t>
            </w:r>
          </w:p>
        </w:tc>
        <w:tc>
          <w:tcPr>
            <w:tcW w:w="2384"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38</w:t>
            </w:r>
          </w:p>
        </w:tc>
        <w:tc>
          <w:tcPr>
            <w:tcW w:w="2628" w:type="dxa"/>
            <w:tcBorders>
              <w:top w:val="nil"/>
              <w:left w:val="nil"/>
              <w:bottom w:val="single" w:color="auto" w:sz="4" w:space="0"/>
              <w:right w:val="single" w:color="auto" w:sz="4" w:space="0"/>
            </w:tcBorders>
            <w:shd w:val="clear" w:color="auto" w:fill="auto"/>
            <w:vAlign w:val="center"/>
          </w:tcPr>
          <w:p>
            <w:pPr>
              <w:widowControl/>
              <w:spacing w:line="220" w:lineRule="exact"/>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38.5</w:t>
            </w:r>
          </w:p>
        </w:tc>
      </w:tr>
      <w:tr>
        <w:tblPrEx>
          <w:tblCellMar>
            <w:top w:w="0" w:type="dxa"/>
            <w:left w:w="108" w:type="dxa"/>
            <w:bottom w:w="0" w:type="dxa"/>
            <w:right w:w="108" w:type="dxa"/>
          </w:tblCellMar>
        </w:tblPrEx>
        <w:trPr>
          <w:cantSplit/>
          <w:trHeight w:val="356" w:hRule="atLeast"/>
        </w:trPr>
        <w:tc>
          <w:tcPr>
            <w:tcW w:w="724" w:type="dxa"/>
            <w:vMerge w:val="restart"/>
            <w:tcBorders>
              <w:top w:val="nil"/>
              <w:left w:val="single" w:color="auto" w:sz="4" w:space="0"/>
              <w:right w:val="single" w:color="auto" w:sz="4" w:space="0"/>
            </w:tcBorders>
            <w:shd w:val="clear" w:color="auto" w:fill="auto"/>
            <w:textDirection w:val="tbRlV"/>
            <w:vAlign w:val="center"/>
          </w:tcPr>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教育科技</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22</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教育投入占GDP比重</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5.3</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5</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23</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新增劳动力平均受教育年限</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年</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13.5</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13.8</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24</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高中阶段入学率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89.5</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92</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94.6</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25</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高等教育毛入学率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41</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43</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44.6</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26</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研究与发展经费支出占GDP的比重</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0.21</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1.8</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1.3</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27</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科技进步贡献率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52</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55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55</w:t>
            </w:r>
          </w:p>
        </w:tc>
      </w:tr>
      <w:tr>
        <w:tblPrEx>
          <w:tblCellMar>
            <w:top w:w="0" w:type="dxa"/>
            <w:left w:w="108" w:type="dxa"/>
            <w:bottom w:w="0" w:type="dxa"/>
            <w:right w:w="108" w:type="dxa"/>
          </w:tblCellMar>
        </w:tblPrEx>
        <w:trPr>
          <w:cantSplit/>
          <w:trHeight w:val="356" w:hRule="atLeast"/>
        </w:trPr>
        <w:tc>
          <w:tcPr>
            <w:tcW w:w="724" w:type="dxa"/>
            <w:vMerge w:val="restart"/>
            <w:tcBorders>
              <w:top w:val="nil"/>
              <w:left w:val="single" w:color="auto" w:sz="4" w:space="0"/>
              <w:right w:val="single" w:color="auto" w:sz="4" w:space="0"/>
            </w:tcBorders>
            <w:shd w:val="clear" w:color="auto" w:fill="auto"/>
            <w:textDirection w:val="tbRlV"/>
            <w:vAlign w:val="center"/>
          </w:tcPr>
          <w:p>
            <w:pPr>
              <w:widowControl/>
              <w:ind w:left="113" w:right="113"/>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人民生活</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28</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农村居民人均可支配收入</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元</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7674</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12950</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13922.1</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29</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城镇居民人均可支配收入</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元</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20920</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33690</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hint="eastAsia" w:ascii="Times New Roman" w:hAnsi="Times New Roman" w:eastAsia="仿宋_GB2312" w:cs="Times New Roman"/>
                <w:color w:val="000000" w:themeColor="text1"/>
                <w:kern w:val="0"/>
                <w:szCs w:val="21"/>
                <w14:textFill>
                  <w14:solidFill>
                    <w14:schemeClr w14:val="tx1"/>
                  </w14:solidFill>
                </w14:textFill>
              </w:rPr>
              <w:t>29830.9</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30</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全县总人口</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万人</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17.4</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18.2</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17.3</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31</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人口自然增长率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9.5</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7.87</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32</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城镇登记失业率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3.8</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3.9</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3以内</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33</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五年城镇新增就业</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万人</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（0.92）</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（0.9）</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（0.</w:t>
            </w:r>
            <w:r>
              <w:rPr>
                <w:rFonts w:hint="eastAsia" w:ascii="Times New Roman" w:hAnsi="Times New Roman" w:eastAsia="仿宋_GB2312" w:cs="Times New Roman"/>
                <w:color w:val="000000" w:themeColor="text1"/>
                <w:kern w:val="0"/>
                <w:szCs w:val="21"/>
                <w14:textFill>
                  <w14:solidFill>
                    <w14:schemeClr w14:val="tx1"/>
                  </w14:solidFill>
                </w14:textFill>
              </w:rPr>
              <w:t>85</w:t>
            </w:r>
            <w:r>
              <w:rPr>
                <w:rFonts w:ascii="Times New Roman" w:hAnsi="Times New Roman" w:eastAsia="仿宋_GB2312" w:cs="Times New Roman"/>
                <w:color w:val="000000" w:themeColor="text1"/>
                <w:kern w:val="0"/>
                <w:szCs w:val="21"/>
                <w14:textFill>
                  <w14:solidFill>
                    <w14:schemeClr w14:val="tx1"/>
                  </w14:solidFill>
                </w14:textFill>
              </w:rPr>
              <w:t>）</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34</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五年转移农村劳动力</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万人次</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（24）</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（20）</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r>
              <w:rPr>
                <w:rFonts w:hint="eastAsia" w:ascii="Times New Roman" w:hAnsi="Times New Roman" w:eastAsia="仿宋_GB2312" w:cs="Times New Roman"/>
                <w:color w:val="000000" w:themeColor="text1"/>
                <w:kern w:val="0"/>
                <w:szCs w:val="21"/>
                <w14:textFill>
                  <w14:solidFill>
                    <w14:schemeClr w14:val="tx1"/>
                  </w14:solidFill>
                </w14:textFill>
              </w:rPr>
              <w:t>22.7</w:t>
            </w:r>
            <w:r>
              <w:rPr>
                <w:rFonts w:ascii="Times New Roman" w:hAnsi="Times New Roman" w:eastAsia="仿宋_GB2312" w:cs="Times New Roman"/>
                <w:color w:val="000000" w:themeColor="text1"/>
                <w:kern w:val="0"/>
                <w:szCs w:val="21"/>
                <w14:textFill>
                  <w14:solidFill>
                    <w14:schemeClr w14:val="tx1"/>
                  </w14:solidFill>
                </w14:textFill>
              </w:rPr>
              <w:t>）</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35</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城镇职工养老保险覆盖率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85</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95</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36</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城乡居民养老保险覆盖率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90</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95以上</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r>
      <w:tr>
        <w:tblPrEx>
          <w:tblCellMar>
            <w:top w:w="0" w:type="dxa"/>
            <w:left w:w="108" w:type="dxa"/>
            <w:bottom w:w="0" w:type="dxa"/>
            <w:right w:w="108" w:type="dxa"/>
          </w:tblCellMar>
        </w:tblPrEx>
        <w:trPr>
          <w:cantSplit/>
          <w:trHeight w:val="356" w:hRule="atLeast"/>
        </w:trPr>
        <w:tc>
          <w:tcPr>
            <w:tcW w:w="724"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37</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城镇职工医疗保险覆盖率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r>
      <w:tr>
        <w:tblPrEx>
          <w:tblCellMar>
            <w:top w:w="0" w:type="dxa"/>
            <w:left w:w="108" w:type="dxa"/>
            <w:bottom w:w="0" w:type="dxa"/>
            <w:right w:w="108" w:type="dxa"/>
          </w:tblCellMar>
        </w:tblPrEx>
        <w:trPr>
          <w:cantSplit/>
          <w:trHeight w:val="410" w:hRule="atLeast"/>
        </w:trPr>
        <w:tc>
          <w:tcPr>
            <w:tcW w:w="724"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38</w:t>
            </w:r>
          </w:p>
        </w:tc>
        <w:tc>
          <w:tcPr>
            <w:tcW w:w="4380" w:type="dxa"/>
            <w:tcBorders>
              <w:top w:val="nil"/>
              <w:left w:val="nil"/>
              <w:bottom w:val="single" w:color="auto" w:sz="4" w:space="0"/>
              <w:right w:val="single" w:color="auto" w:sz="4" w:space="0"/>
            </w:tcBorders>
            <w:shd w:val="clear" w:color="auto" w:fill="auto"/>
            <w:vAlign w:val="center"/>
          </w:tcPr>
          <w:p>
            <w:pPr>
              <w:widowControl/>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城乡居民医疗保险覆盖率</w:t>
            </w:r>
          </w:p>
        </w:tc>
        <w:tc>
          <w:tcPr>
            <w:tcW w:w="145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w:t>
            </w:r>
          </w:p>
        </w:tc>
        <w:tc>
          <w:tcPr>
            <w:tcW w:w="199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w:t>
            </w:r>
          </w:p>
        </w:tc>
        <w:tc>
          <w:tcPr>
            <w:tcW w:w="238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c>
          <w:tcPr>
            <w:tcW w:w="26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themeColor="text1"/>
                <w:kern w:val="0"/>
                <w:szCs w:val="21"/>
                <w14:textFill>
                  <w14:solidFill>
                    <w14:schemeClr w14:val="tx1"/>
                  </w14:solidFill>
                </w14:textFill>
              </w:rPr>
            </w:pPr>
            <w:r>
              <w:rPr>
                <w:rFonts w:ascii="Times New Roman" w:hAnsi="Times New Roman" w:eastAsia="仿宋_GB2312" w:cs="Times New Roman"/>
                <w:color w:val="000000" w:themeColor="text1"/>
                <w:kern w:val="0"/>
                <w:szCs w:val="21"/>
                <w14:textFill>
                  <w14:solidFill>
                    <w14:schemeClr w14:val="tx1"/>
                  </w14:solidFill>
                </w14:textFill>
              </w:rPr>
              <w:t>97以上</w:t>
            </w:r>
          </w:p>
        </w:tc>
      </w:tr>
      <w:bookmarkEnd w:id="16"/>
    </w:tbl>
    <w:p>
      <w:pPr>
        <w:adjustRightInd w:val="0"/>
        <w:snapToGrid w:val="0"/>
        <w:rPr>
          <w:rFonts w:ascii="Times New Roman" w:hAnsi="Times New Roman" w:eastAsia="仿宋_GB2312" w:cs="Times New Roman"/>
          <w:color w:val="000000" w:themeColor="text1"/>
          <w:szCs w:val="20"/>
          <w14:textFill>
            <w14:solidFill>
              <w14:schemeClr w14:val="tx1"/>
            </w14:solidFill>
          </w14:textFill>
        </w:rPr>
      </w:pPr>
      <w:r>
        <w:rPr>
          <w:rFonts w:ascii="Times New Roman" w:hAnsi="Times New Roman" w:eastAsia="仿宋_GB2312" w:cs="Times New Roman"/>
          <w:b/>
          <w:bCs/>
          <w:color w:val="000000" w:themeColor="text1"/>
          <w:szCs w:val="20"/>
          <w14:textFill>
            <w14:solidFill>
              <w14:schemeClr w14:val="tx1"/>
            </w14:solidFill>
          </w14:textFill>
        </w:rPr>
        <w:t>注：</w:t>
      </w:r>
      <w:r>
        <w:rPr>
          <w:rFonts w:ascii="Times New Roman" w:hAnsi="Times New Roman" w:eastAsia="仿宋_GB2312" w:cs="Times New Roman"/>
          <w:color w:val="000000" w:themeColor="text1"/>
          <w:szCs w:val="20"/>
          <w14:textFill>
            <w14:solidFill>
              <w14:schemeClr w14:val="tx1"/>
            </w14:solidFill>
          </w14:textFill>
        </w:rPr>
        <w:t>1.带（）的为五年累计数；</w:t>
      </w:r>
    </w:p>
    <w:p>
      <w:pPr>
        <w:adjustRightInd w:val="0"/>
        <w:snapToGrid w:val="0"/>
        <w:ind w:left="420" w:leftChars="200"/>
        <w:rPr>
          <w:rFonts w:ascii="Times New Roman" w:hAnsi="Times New Roman" w:eastAsia="仿宋_GB2312" w:cs="Times New Roman"/>
          <w:color w:val="000000" w:themeColor="text1"/>
          <w:szCs w:val="20"/>
          <w14:textFill>
            <w14:solidFill>
              <w14:schemeClr w14:val="tx1"/>
            </w14:solidFill>
          </w14:textFill>
        </w:rPr>
      </w:pPr>
      <w:r>
        <w:rPr>
          <w:rFonts w:ascii="Times New Roman" w:hAnsi="Times New Roman" w:eastAsia="仿宋_GB2312" w:cs="Times New Roman"/>
          <w:color w:val="000000" w:themeColor="text1"/>
          <w:szCs w:val="20"/>
          <w14:textFill>
            <w14:solidFill>
              <w14:schemeClr w14:val="tx1"/>
            </w14:solidFill>
          </w14:textFill>
        </w:rPr>
        <w:t>2.主要污染物包括化学需氧量、氨氮、二氧化硫、烟尘、工业固体废物5种；</w:t>
      </w:r>
    </w:p>
    <w:p>
      <w:pPr>
        <w:adjustRightInd w:val="0"/>
        <w:snapToGrid w:val="0"/>
        <w:ind w:left="420" w:leftChars="200"/>
        <w:rPr>
          <w:rFonts w:ascii="Times New Roman" w:hAnsi="Times New Roman" w:eastAsia="仿宋_GB2312" w:cs="Times New Roman"/>
          <w:color w:val="000000" w:themeColor="text1"/>
          <w:szCs w:val="20"/>
          <w14:textFill>
            <w14:solidFill>
              <w14:schemeClr w14:val="tx1"/>
            </w14:solidFill>
          </w14:textFill>
        </w:rPr>
      </w:pPr>
      <w:r>
        <w:rPr>
          <w:rFonts w:ascii="Times New Roman" w:hAnsi="Times New Roman" w:eastAsia="仿宋_GB2312" w:cs="Times New Roman"/>
          <w:color w:val="000000" w:themeColor="text1"/>
          <w:szCs w:val="20"/>
          <w14:textFill>
            <w14:solidFill>
              <w14:schemeClr w14:val="tx1"/>
            </w14:solidFill>
          </w14:textFill>
        </w:rPr>
        <w:t>3.单位GDP综合能耗、单位GDP二氧化碳排放量、二氧化硫排放量、化学需氧量排放量、主要污染物排放总量5个约束性指标为预计指标，最终  以自治区下达指标为准。</w:t>
      </w:r>
    </w:p>
    <w:p>
      <w:pPr>
        <w:adjustRightInd w:val="0"/>
        <w:snapToGrid w:val="0"/>
        <w:ind w:left="420" w:leftChars="200"/>
        <w:rPr>
          <w:rFonts w:ascii="Times New Roman" w:hAnsi="Times New Roman" w:eastAsia="仿宋_GB2312" w:cs="Times New Roman"/>
          <w:color w:val="000000" w:themeColor="text1"/>
          <w:szCs w:val="20"/>
          <w14:textFill>
            <w14:solidFill>
              <w14:schemeClr w14:val="tx1"/>
            </w14:solidFill>
          </w14:textFill>
        </w:rPr>
      </w:pPr>
      <w:r>
        <w:rPr>
          <w:rFonts w:ascii="Times New Roman" w:hAnsi="Times New Roman" w:eastAsia="仿宋_GB2312" w:cs="Times New Roman"/>
          <w:color w:val="000000" w:themeColor="text1"/>
          <w:szCs w:val="20"/>
          <w14:textFill>
            <w14:solidFill>
              <w14:schemeClr w14:val="tx1"/>
            </w14:solidFill>
          </w14:textFill>
        </w:rPr>
        <w:t>4.“十三五”初期的“植被覆盖度”，到期末调整为“草原综合植被盖度”。</w:t>
      </w:r>
    </w:p>
    <w:p>
      <w:pPr>
        <w:adjustRightInd w:val="0"/>
        <w:snapToGrid w:val="0"/>
        <w:ind w:left="420" w:leftChars="200"/>
        <w:rPr>
          <w:rFonts w:ascii="Times New Roman" w:hAnsi="Times New Roman" w:eastAsia="仿宋_GB2312" w:cs="Times New Roman"/>
          <w:color w:val="000000" w:themeColor="text1"/>
          <w:szCs w:val="20"/>
          <w14:textFill>
            <w14:solidFill>
              <w14:schemeClr w14:val="tx1"/>
            </w14:solidFill>
          </w14:textFill>
        </w:rPr>
      </w:pPr>
      <w:r>
        <w:rPr>
          <w:rFonts w:ascii="Times New Roman" w:hAnsi="Times New Roman" w:eastAsia="仿宋_GB2312" w:cs="Times New Roman"/>
          <w:color w:val="000000" w:themeColor="text1"/>
          <w:szCs w:val="20"/>
          <w14:textFill>
            <w14:solidFill>
              <w14:schemeClr w14:val="tx1"/>
            </w14:solidFill>
          </w14:textFill>
        </w:rPr>
        <w:t>5.“十三五”初期的“林木覆盖率”，到期末调整为“森林覆盖率”。二者统计计算口径不一致。为保证与“十四五”时期指标对接，规划中采用后者。</w:t>
      </w:r>
    </w:p>
    <w:p>
      <w:pPr>
        <w:adjustRightInd w:val="0"/>
        <w:snapToGrid w:val="0"/>
        <w:ind w:left="420" w:leftChars="200"/>
        <w:rPr>
          <w:rFonts w:ascii="Times New Roman" w:hAnsi="Times New Roman" w:eastAsia="仿宋_GB2312" w:cs="Times New Roman"/>
          <w:color w:val="000000" w:themeColor="text1"/>
          <w:szCs w:val="20"/>
          <w14:textFill>
            <w14:solidFill>
              <w14:schemeClr w14:val="tx1"/>
            </w14:solidFill>
          </w14:textFill>
        </w:rPr>
      </w:pPr>
    </w:p>
    <w:p>
      <w:pPr>
        <w:adjustRightInd w:val="0"/>
        <w:snapToGrid w:val="0"/>
        <w:spacing w:before="120" w:beforeLines="50"/>
        <w:jc w:val="center"/>
        <w:rPr>
          <w:rFonts w:ascii="Times New Roman" w:hAnsi="Times New Roman" w:eastAsia="仿宋_GB2312" w:cs="Times New Roman"/>
          <w:b/>
          <w:bCs/>
          <w:color w:val="000000" w:themeColor="text1"/>
          <w:szCs w:val="20"/>
          <w14:textFill>
            <w14:solidFill>
              <w14:schemeClr w14:val="tx1"/>
            </w14:solidFill>
          </w14:textFill>
        </w:rPr>
        <w:sectPr>
          <w:pgSz w:w="16838" w:h="11906" w:orient="landscape"/>
          <w:pgMar w:top="1417" w:right="1474" w:bottom="1417" w:left="1588" w:header="851" w:footer="1134" w:gutter="0"/>
          <w:cols w:space="0" w:num="1"/>
          <w:docGrid w:linePitch="312" w:charSpace="0"/>
        </w:sectPr>
      </w:pPr>
    </w:p>
    <w:p>
      <w:pPr>
        <w:spacing w:line="620" w:lineRule="exact"/>
        <w:ind w:firstLine="640" w:firstLineChars="200"/>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在肯定成绩的同时，我们必须清醒地认识到，我县正处于转型升级的攻坚期、实现高质量发展的历史机遇期，仍面临着不少困难和挑战：</w:t>
      </w:r>
      <w:r>
        <w:rPr>
          <w:rFonts w:ascii="Times New Roman" w:hAnsi="Times New Roman" w:eastAsia="仿宋_GB2312" w:cs="Times New Roman"/>
          <w:b/>
          <w:bCs/>
          <w:color w:val="000000" w:themeColor="text1"/>
          <w:sz w:val="32"/>
          <w:szCs w:val="28"/>
          <w14:textFill>
            <w14:solidFill>
              <w14:schemeClr w14:val="tx1"/>
            </w14:solidFill>
          </w14:textFill>
        </w:rPr>
        <w:t>一是经济平稳运行仍需发力。</w:t>
      </w:r>
      <w:r>
        <w:rPr>
          <w:rFonts w:ascii="Times New Roman" w:hAnsi="Times New Roman" w:eastAsia="仿宋_GB2312" w:cs="Times New Roman"/>
          <w:color w:val="000000" w:themeColor="text1"/>
          <w:sz w:val="32"/>
          <w:szCs w:val="28"/>
          <w14:textFill>
            <w14:solidFill>
              <w14:schemeClr w14:val="tx1"/>
            </w14:solidFill>
          </w14:textFill>
        </w:rPr>
        <w:t>经济总量偏小，发展质量不高，财政收支矛盾突出，市场需求增长放缓，投资拉动后劲乏力。</w:t>
      </w:r>
      <w:r>
        <w:rPr>
          <w:rFonts w:ascii="Times New Roman" w:hAnsi="Times New Roman" w:eastAsia="仿宋_GB2312" w:cs="Times New Roman"/>
          <w:b/>
          <w:bCs/>
          <w:color w:val="000000" w:themeColor="text1"/>
          <w:sz w:val="32"/>
          <w:szCs w:val="28"/>
          <w14:textFill>
            <w14:solidFill>
              <w14:schemeClr w14:val="tx1"/>
            </w14:solidFill>
          </w14:textFill>
        </w:rPr>
        <w:t>二是产业发展层次仍需提升。</w:t>
      </w:r>
      <w:r>
        <w:rPr>
          <w:rFonts w:ascii="Times New Roman" w:hAnsi="Times New Roman" w:eastAsia="仿宋_GB2312" w:cs="Times New Roman"/>
          <w:color w:val="000000" w:themeColor="text1"/>
          <w:sz w:val="32"/>
          <w:szCs w:val="28"/>
          <w14:textFill>
            <w14:solidFill>
              <w14:schemeClr w14:val="tx1"/>
            </w14:solidFill>
          </w14:textFill>
        </w:rPr>
        <w:t>农业小、工业大、三产弱的局面还将继续延续，发展层次偏低、经济结构不合理、产业布局比较散的现象依旧存在，多数企业处在产业链的前端、价值链的低端、创新链的末端，抵御市场风险能力较弱。</w:t>
      </w:r>
      <w:r>
        <w:rPr>
          <w:rFonts w:ascii="Times New Roman" w:hAnsi="Times New Roman" w:eastAsia="仿宋_GB2312" w:cs="Times New Roman"/>
          <w:b/>
          <w:bCs/>
          <w:color w:val="000000" w:themeColor="text1"/>
          <w:sz w:val="32"/>
          <w:szCs w:val="28"/>
          <w14:textFill>
            <w14:solidFill>
              <w14:schemeClr w14:val="tx1"/>
            </w14:solidFill>
          </w14:textFill>
        </w:rPr>
        <w:t>三是生态环境保护仍需强化。</w:t>
      </w:r>
      <w:r>
        <w:rPr>
          <w:rFonts w:ascii="Times New Roman" w:hAnsi="Times New Roman" w:eastAsia="仿宋_GB2312" w:cs="Times New Roman"/>
          <w:color w:val="000000" w:themeColor="text1"/>
          <w:sz w:val="32"/>
          <w:szCs w:val="28"/>
          <w14:textFill>
            <w14:solidFill>
              <w14:schemeClr w14:val="tx1"/>
            </w14:solidFill>
          </w14:textFill>
        </w:rPr>
        <w:t>环境承载能力不强，生态修复与污染防治任务压力较大，监测监管机制不够健全，水资源短缺对经济社会发展的约束日益趋紧。</w:t>
      </w:r>
      <w:r>
        <w:rPr>
          <w:rFonts w:ascii="Times New Roman" w:hAnsi="Times New Roman" w:eastAsia="仿宋_GB2312" w:cs="Times New Roman"/>
          <w:b/>
          <w:bCs/>
          <w:color w:val="000000" w:themeColor="text1"/>
          <w:sz w:val="32"/>
          <w:szCs w:val="28"/>
          <w14:textFill>
            <w14:solidFill>
              <w14:schemeClr w14:val="tx1"/>
            </w14:solidFill>
          </w14:textFill>
        </w:rPr>
        <w:t>四是民生保障水平仍需提升。</w:t>
      </w:r>
      <w:r>
        <w:rPr>
          <w:rFonts w:ascii="Times New Roman" w:hAnsi="Times New Roman" w:eastAsia="仿宋_GB2312" w:cs="Times New Roman"/>
          <w:color w:val="000000" w:themeColor="text1"/>
          <w:sz w:val="32"/>
          <w:szCs w:val="28"/>
          <w14:textFill>
            <w14:solidFill>
              <w14:schemeClr w14:val="tx1"/>
            </w14:solidFill>
          </w14:textFill>
        </w:rPr>
        <w:t>城乡融合发展不充分，就业、教育、医疗、养老等领域仍然存在供需不匹配的问题，公共服务供给水平与人民群众期盼还有一定差距。居民增收多依赖工资性收入和经营性收入拉动，渠道不宽，增收压力加大。</w:t>
      </w:r>
      <w:r>
        <w:rPr>
          <w:rFonts w:ascii="Times New Roman" w:hAnsi="Times New Roman" w:eastAsia="仿宋_GB2312" w:cs="Times New Roman"/>
          <w:b/>
          <w:bCs/>
          <w:color w:val="000000" w:themeColor="text1"/>
          <w:sz w:val="32"/>
          <w:szCs w:val="28"/>
          <w14:textFill>
            <w14:solidFill>
              <w14:schemeClr w14:val="tx1"/>
            </w14:solidFill>
          </w14:textFill>
        </w:rPr>
        <w:t>五是社会治理能力仍需提高。</w:t>
      </w:r>
      <w:r>
        <w:rPr>
          <w:rFonts w:ascii="Times New Roman" w:hAnsi="Times New Roman" w:eastAsia="仿宋_GB2312" w:cs="Times New Roman"/>
          <w:color w:val="000000" w:themeColor="text1"/>
          <w:sz w:val="32"/>
          <w:szCs w:val="28"/>
          <w14:textFill>
            <w14:solidFill>
              <w14:schemeClr w14:val="tx1"/>
            </w14:solidFill>
          </w14:textFill>
        </w:rPr>
        <w:t>社会治理联动机制不够完善，多元主体参与格局尚未形成，突发公共事件应急能力不足，防范化解各类风险隐患本领还需全面提升。</w:t>
      </w:r>
      <w:r>
        <w:rPr>
          <w:rFonts w:ascii="Times New Roman" w:hAnsi="Times New Roman" w:eastAsia="仿宋_GB2312" w:cs="Times New Roman"/>
          <w:b/>
          <w:bCs/>
          <w:color w:val="000000" w:themeColor="text1"/>
          <w:sz w:val="32"/>
          <w:szCs w:val="28"/>
          <w14:textFill>
            <w14:solidFill>
              <w14:schemeClr w14:val="tx1"/>
            </w14:solidFill>
          </w14:textFill>
        </w:rPr>
        <w:t>六是政府自身建设仍需加强。</w:t>
      </w:r>
      <w:r>
        <w:rPr>
          <w:rFonts w:ascii="Times New Roman" w:hAnsi="Times New Roman" w:eastAsia="仿宋_GB2312" w:cs="Times New Roman"/>
          <w:color w:val="000000" w:themeColor="text1"/>
          <w:sz w:val="32"/>
          <w:szCs w:val="28"/>
          <w14:textFill>
            <w14:solidFill>
              <w14:schemeClr w14:val="tx1"/>
            </w14:solidFill>
          </w14:textFill>
        </w:rPr>
        <w:t>少数干部奋斗精神不足，开放发展的视野不宽，开拓创新的能力不够，政府职能转变还不到位，转作风和优服务的意识还有待进一步加强。进入新发展阶段，我们将继承前人艰苦创业打下的坚实基础，正视历史积累的矛盾问题，科学研判、主动作为，采取有力措施，提升服务水平。</w:t>
      </w:r>
      <w:bookmarkStart w:id="17" w:name="_Toc11376"/>
      <w:bookmarkStart w:id="18" w:name="_Toc15079"/>
      <w:bookmarkStart w:id="19" w:name="_Toc59989491"/>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0" w:name="_Toc27388"/>
      <w:r>
        <w:rPr>
          <w:rFonts w:ascii="Times New Roman" w:hAnsi="Times New Roman" w:eastAsia="楷体_GB2312" w:cs="Times New Roman"/>
          <w:b/>
          <w:bCs/>
          <w:color w:val="000000" w:themeColor="text1"/>
          <w:sz w:val="32"/>
          <w:szCs w:val="32"/>
          <w14:textFill>
            <w14:solidFill>
              <w14:schemeClr w14:val="tx1"/>
            </w14:solidFill>
          </w14:textFill>
        </w:rPr>
        <w:t>第二节 抢抓高质量发展新机遇</w:t>
      </w:r>
      <w:bookmarkEnd w:id="17"/>
      <w:bookmarkEnd w:id="18"/>
      <w:bookmarkEnd w:id="19"/>
      <w:bookmarkEnd w:id="20"/>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未来五年是盐池经济社会转向高质量发展的战略机遇期，也是全面建设社会主义现代化的起步期。盐池县应立足县情实际，全面审视并把握宏观发展环境变化，遵循发展规律，积极应对未来可能挑战，抢抓高质量发展新机遇。</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1" w:name="_Toc17043"/>
      <w:bookmarkStart w:id="22" w:name="_Toc59989492"/>
      <w:bookmarkStart w:id="23" w:name="_Toc21914"/>
      <w:bookmarkStart w:id="24" w:name="_Toc23694"/>
      <w:r>
        <w:rPr>
          <w:rFonts w:ascii="Times New Roman" w:hAnsi="Times New Roman" w:eastAsia="楷体_GB2312" w:cs="Times New Roman"/>
          <w:b/>
          <w:bCs/>
          <w:color w:val="000000" w:themeColor="text1"/>
          <w:sz w:val="32"/>
          <w:szCs w:val="28"/>
          <w14:textFill>
            <w14:solidFill>
              <w14:schemeClr w14:val="tx1"/>
            </w14:solidFill>
          </w14:textFill>
        </w:rPr>
        <w:t>（一）全面审视宏观环境变化</w:t>
      </w:r>
      <w:bookmarkEnd w:id="21"/>
      <w:bookmarkEnd w:id="22"/>
      <w:bookmarkEnd w:id="23"/>
      <w:bookmarkEnd w:id="24"/>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牢牢把握进入新发展阶段要求，全面审视我县宏观环境变化，把握发展规律，增强机遇和风险意识。</w:t>
      </w:r>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从国际来看</w:t>
      </w:r>
      <w:r>
        <w:rPr>
          <w:rFonts w:ascii="Times New Roman" w:hAnsi="Times New Roman" w:eastAsia="仿宋_GB2312" w:cs="Times New Roman"/>
          <w:color w:val="000000" w:themeColor="text1"/>
          <w:sz w:val="32"/>
          <w:szCs w:val="28"/>
          <w14:textFill>
            <w14:solidFill>
              <w14:schemeClr w14:val="tx1"/>
            </w14:solidFill>
          </w14:textFill>
        </w:rPr>
        <w:t>，世界百年未有之大变局加速演变，国际力量对比深刻</w:t>
      </w:r>
      <w:r>
        <w:rPr>
          <w:rFonts w:hint="eastAsia" w:ascii="Times New Roman" w:hAnsi="Times New Roman" w:eastAsia="仿宋_GB2312" w:cs="Times New Roman"/>
          <w:color w:val="000000" w:themeColor="text1"/>
          <w:sz w:val="32"/>
          <w:szCs w:val="28"/>
          <w14:textFill>
            <w14:solidFill>
              <w14:schemeClr w14:val="tx1"/>
            </w14:solidFill>
          </w14:textFill>
        </w:rPr>
        <w:t>调整</w:t>
      </w:r>
      <w:r>
        <w:rPr>
          <w:rFonts w:ascii="Times New Roman" w:hAnsi="Times New Roman" w:eastAsia="仿宋_GB2312" w:cs="Times New Roman"/>
          <w:color w:val="000000" w:themeColor="text1"/>
          <w:sz w:val="32"/>
          <w:szCs w:val="28"/>
          <w14:textFill>
            <w14:solidFill>
              <w14:schemeClr w14:val="tx1"/>
            </w14:solidFill>
          </w14:textFill>
        </w:rPr>
        <w:t>，</w:t>
      </w:r>
      <w:r>
        <w:rPr>
          <w:rFonts w:hint="eastAsia" w:ascii="Times New Roman" w:hAnsi="Times New Roman" w:eastAsia="仿宋_GB2312" w:cs="Times New Roman"/>
          <w:color w:val="000000" w:themeColor="text1"/>
          <w:sz w:val="32"/>
          <w:szCs w:val="28"/>
          <w14:textFill>
            <w14:solidFill>
              <w14:schemeClr w14:val="tx1"/>
            </w14:solidFill>
          </w14:textFill>
        </w:rPr>
        <w:t>单边主义、保护主义、霸权主义对世界和平与发展构成威胁</w:t>
      </w:r>
      <w:r>
        <w:rPr>
          <w:rFonts w:ascii="Times New Roman" w:hAnsi="Times New Roman" w:eastAsia="仿宋_GB2312" w:cs="Times New Roman"/>
          <w:color w:val="000000" w:themeColor="text1"/>
          <w:sz w:val="32"/>
          <w:szCs w:val="28"/>
          <w14:textFill>
            <w14:solidFill>
              <w14:schemeClr w14:val="tx1"/>
            </w14:solidFill>
          </w14:textFill>
        </w:rPr>
        <w:t>，全球治理体系和国际秩序将不断分化，全球动荡源和风险点显著增多。当前我国面临国际局势变化和疫情的叠加冲击，经济下行压力不断加大，经济发展的不确定性、不稳定性进一步加剧，对实体经济发展必将造成诸多困难和影响。但是，和平与发展仍是时代主题，合作与共赢仍是各国人民的愿望。世界科技与产业发展日新月异，新一轮科技革命和产业变革深入推进，加速进入智能时代。</w:t>
      </w:r>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从国内来看</w:t>
      </w:r>
      <w:r>
        <w:rPr>
          <w:rFonts w:ascii="Times New Roman" w:hAnsi="Times New Roman" w:eastAsia="仿宋_GB2312" w:cs="Times New Roman"/>
          <w:color w:val="000000" w:themeColor="text1"/>
          <w:sz w:val="32"/>
          <w:szCs w:val="28"/>
          <w14:textFill>
            <w14:solidFill>
              <w14:schemeClr w14:val="tx1"/>
            </w14:solidFill>
          </w14:textFill>
        </w:rPr>
        <w:t>，当前我国经济正由高速增长阶段转向高质量发展阶段，</w:t>
      </w:r>
      <w:r>
        <w:rPr>
          <w:rFonts w:hint="eastAsia" w:ascii="Times New Roman" w:hAnsi="Times New Roman" w:eastAsia="仿宋_GB2312" w:cs="Times New Roman"/>
          <w:color w:val="000000" w:themeColor="text1"/>
          <w:sz w:val="32"/>
          <w:szCs w:val="28"/>
          <w14:textFill>
            <w14:solidFill>
              <w14:schemeClr w14:val="tx1"/>
            </w14:solidFill>
          </w14:textFill>
        </w:rPr>
        <w:t>制度优势显著，</w:t>
      </w:r>
      <w:r>
        <w:rPr>
          <w:rFonts w:ascii="Times New Roman" w:hAnsi="Times New Roman" w:eastAsia="仿宋_GB2312" w:cs="Times New Roman"/>
          <w:color w:val="000000" w:themeColor="text1"/>
          <w:sz w:val="32"/>
          <w:szCs w:val="28"/>
          <w14:textFill>
            <w14:solidFill>
              <w14:schemeClr w14:val="tx1"/>
            </w14:solidFill>
          </w14:textFill>
        </w:rPr>
        <w:t>治理效能提升，经济长期向好，发展韧性强劲，社会大局稳定，仍然处于重要战略机遇期。但我国正处在转变发展方式、优化经济结构、转换增长动力的攻关期，结构性、体制性、周期性问题相互交织，“三期叠加”影响持续深化，解决发展不平衡不充分问题任务艰巨。</w:t>
      </w:r>
    </w:p>
    <w:p>
      <w:pPr>
        <w:spacing w:line="580" w:lineRule="exact"/>
        <w:ind w:firstLine="640" w:firstLineChars="200"/>
        <w:rPr>
          <w:rFonts w:ascii="Times New Roman" w:hAnsi="Times New Roman" w:eastAsia="仿宋_GB2312" w:cs="Times New Roman"/>
          <w:color w:val="000000" w:themeColor="text1"/>
          <w:spacing w:val="2"/>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从</w:t>
      </w:r>
      <w:r>
        <w:rPr>
          <w:rFonts w:hint="eastAsia" w:ascii="Times New Roman" w:hAnsi="Times New Roman" w:eastAsia="仿宋_GB2312" w:cs="Times New Roman"/>
          <w:color w:val="000000" w:themeColor="text1"/>
          <w:spacing w:val="2"/>
          <w:sz w:val="32"/>
          <w:szCs w:val="28"/>
          <w14:textFill>
            <w14:solidFill>
              <w14:schemeClr w14:val="tx1"/>
            </w14:solidFill>
          </w14:textFill>
        </w:rPr>
        <w:t>自治区来看</w:t>
      </w:r>
      <w:r>
        <w:rPr>
          <w:rFonts w:ascii="Times New Roman" w:hAnsi="Times New Roman" w:eastAsia="仿宋_GB2312" w:cs="Times New Roman"/>
          <w:color w:val="000000" w:themeColor="text1"/>
          <w:spacing w:val="2"/>
          <w:sz w:val="32"/>
          <w:szCs w:val="28"/>
          <w14:textFill>
            <w14:solidFill>
              <w14:schemeClr w14:val="tx1"/>
            </w14:solidFill>
          </w14:textFill>
        </w:rPr>
        <w:t>，在建设黄河流域生态保护和高质量发展先行区进程中，自治区提出了“要加快滩羊之乡示范基地建设”以及“要支持有条件的县区建设农产品加工综合园、融合发展示范园”，制定了滩羊、新型材料、清洁能源、文化旅游等自治区九大产业发展规划，与我县的资源禀赋、产业基础、发展方向有着极大的契合关系，将为我县创新能力提升和产业转型升级、脱贫巩固与乡村振兴有效衔接、生态建设与绿色发展等带来重大机遇。</w:t>
      </w:r>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从县域自身来看</w:t>
      </w:r>
      <w:r>
        <w:rPr>
          <w:rFonts w:ascii="Times New Roman" w:hAnsi="Times New Roman" w:eastAsia="仿宋_GB2312" w:cs="Times New Roman"/>
          <w:b/>
          <w:bCs/>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发展不足仍然是最大的县情，盐池与周边地区相比还有明显差距，经济社会发展更多采取依赖资源、资本、劳动力等要素投入，制约高质量发展。扩大开放视野不宽，融入区域经济深度不够，投资通道、资源要素之间缺乏统筹，“虹吸效应”未能得到充分释放。</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5" w:name="_Toc59989493"/>
      <w:bookmarkStart w:id="26" w:name="_Toc20834"/>
      <w:bookmarkStart w:id="27" w:name="_Toc23641"/>
      <w:bookmarkStart w:id="28" w:name="_Toc13811"/>
      <w:r>
        <w:rPr>
          <w:rFonts w:ascii="Times New Roman" w:hAnsi="Times New Roman" w:eastAsia="楷体_GB2312" w:cs="Times New Roman"/>
          <w:b/>
          <w:bCs/>
          <w:color w:val="000000" w:themeColor="text1"/>
          <w:sz w:val="32"/>
          <w:szCs w:val="28"/>
          <w14:textFill>
            <w14:solidFill>
              <w14:schemeClr w14:val="tx1"/>
            </w14:solidFill>
          </w14:textFill>
        </w:rPr>
        <w:t>（二）奋力抢抓难得发展机遇</w:t>
      </w:r>
      <w:bookmarkEnd w:id="25"/>
      <w:bookmarkEnd w:id="26"/>
      <w:bookmarkEnd w:id="27"/>
      <w:bookmarkEnd w:id="28"/>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未来五年是盐池县转型发展的关键时期，面临着前所未有的战略机遇。特别是习近平总书记视察宁夏重要讲话精神，为盐池县“十四五”高质量发展指明了方向。</w:t>
      </w:r>
      <w:r>
        <w:rPr>
          <w:rFonts w:hint="eastAsia" w:ascii="Times New Roman" w:hAnsi="Times New Roman" w:eastAsia="仿宋_GB2312" w:cs="Times New Roman"/>
          <w:color w:val="000000" w:themeColor="text1"/>
          <w:sz w:val="32"/>
          <w:szCs w:val="28"/>
          <w14:textFill>
            <w14:solidFill>
              <w14:schemeClr w14:val="tx1"/>
            </w14:solidFill>
          </w14:textFill>
        </w:rPr>
        <w:t>一是建设黄河流域生态保护和高质量发展先行区的机遇</w:t>
      </w:r>
      <w:r>
        <w:rPr>
          <w:rFonts w:ascii="Times New Roman" w:hAnsi="Times New Roman" w:eastAsia="仿宋_GB2312" w:cs="Times New Roman"/>
          <w:color w:val="000000" w:themeColor="text1"/>
          <w:sz w:val="32"/>
          <w:szCs w:val="28"/>
          <w14:textFill>
            <w14:solidFill>
              <w14:schemeClr w14:val="tx1"/>
            </w14:solidFill>
          </w14:textFill>
        </w:rPr>
        <w:t>。“十四五”期间，自治区将先行先试黄河流域生态保护和高质量发展重大战略，规划实施黄河黑山峡河段开发、银太高铁等“十大工程”，银西高铁建成通车，开启了盐池县融入全国高铁大格局的时代；吴忠市也将实施陕甘宁革命老区供水、盐同红新能源一体化等重点项目，为盐池发展提供了前所未有的新机遇。</w:t>
      </w:r>
      <w:r>
        <w:rPr>
          <w:rFonts w:hint="eastAsia" w:ascii="Times New Roman" w:hAnsi="Times New Roman" w:eastAsia="仿宋_GB2312" w:cs="Times New Roman"/>
          <w:color w:val="000000" w:themeColor="text1"/>
          <w:sz w:val="32"/>
          <w:szCs w:val="28"/>
          <w14:textFill>
            <w14:solidFill>
              <w14:schemeClr w14:val="tx1"/>
            </w14:solidFill>
          </w14:textFill>
        </w:rPr>
        <w:t>二是新时代推进西部大开发的机遇</w:t>
      </w:r>
      <w:r>
        <w:rPr>
          <w:rFonts w:ascii="Times New Roman" w:hAnsi="Times New Roman" w:eastAsia="仿宋_GB2312" w:cs="Times New Roman"/>
          <w:color w:val="000000" w:themeColor="text1"/>
          <w:sz w:val="32"/>
          <w:szCs w:val="28"/>
          <w14:textFill>
            <w14:solidFill>
              <w14:schemeClr w14:val="tx1"/>
            </w14:solidFill>
          </w14:textFill>
        </w:rPr>
        <w:t>。国家推进新一轮西部大开发，努力构建大保护、大开放、高质量的新发展格局，将继续实行差别化的区域政策，支持革命老区、民族地区加快发展，加大对欠发达地区财力支持，明确将在西部地区脱贫县中集中支持一批乡村振兴重点帮扶县，这将为革命老区盐池带来更多地发展机遇。</w:t>
      </w:r>
      <w:r>
        <w:rPr>
          <w:rFonts w:hint="eastAsia" w:ascii="Times New Roman" w:hAnsi="Times New Roman" w:eastAsia="仿宋_GB2312" w:cs="Times New Roman"/>
          <w:color w:val="000000" w:themeColor="text1"/>
          <w:sz w:val="32"/>
          <w:szCs w:val="28"/>
          <w14:textFill>
            <w14:solidFill>
              <w14:schemeClr w14:val="tx1"/>
            </w14:solidFill>
          </w14:textFill>
        </w:rPr>
        <w:t>三是构建新发展格局带来的机遇。</w:t>
      </w:r>
      <w:r>
        <w:rPr>
          <w:rFonts w:ascii="Times New Roman" w:hAnsi="Times New Roman" w:eastAsia="仿宋_GB2312" w:cs="Times New Roman"/>
          <w:color w:val="000000" w:themeColor="text1"/>
          <w:sz w:val="32"/>
          <w:szCs w:val="28"/>
          <w14:textFill>
            <w14:solidFill>
              <w14:schemeClr w14:val="tx1"/>
            </w14:solidFill>
          </w14:textFill>
        </w:rPr>
        <w:t>党的十九届五中全会明确提出要加快构建以国内大循环为主体、国内国际双循环相互促进的新发展格局。盐池县位于银鄂榆能源化工“金三角”地带，银西高铁建成通车，区位优势突出、资源较为丰富、产业特色鲜明、经济态势向好、社会大局稳定，具有一定的先天优势、比较优势和竞争优势。积极构建新发展格局有利于参与国际国内产业分工协作，集聚盐池县先进生产要素，形成更高层次的对内对外开放格局，深度融入发展新格局。</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9" w:name="_Toc29991"/>
      <w:bookmarkStart w:id="30" w:name="_Toc59989494"/>
      <w:bookmarkStart w:id="31" w:name="_Toc28696"/>
      <w:bookmarkStart w:id="32" w:name="_Toc3562"/>
      <w:r>
        <w:rPr>
          <w:rFonts w:ascii="Times New Roman" w:hAnsi="Times New Roman" w:eastAsia="楷体_GB2312" w:cs="Times New Roman"/>
          <w:b/>
          <w:bCs/>
          <w:color w:val="000000" w:themeColor="text1"/>
          <w:sz w:val="32"/>
          <w:szCs w:val="28"/>
          <w14:textFill>
            <w14:solidFill>
              <w14:schemeClr w14:val="tx1"/>
            </w14:solidFill>
          </w14:textFill>
        </w:rPr>
        <w:t>（三）积极应对未来可能挑战</w:t>
      </w:r>
      <w:bookmarkEnd w:id="29"/>
      <w:bookmarkEnd w:id="30"/>
      <w:bookmarkEnd w:id="31"/>
      <w:bookmarkEnd w:id="32"/>
    </w:p>
    <w:p>
      <w:pPr>
        <w:adjustRightInd w:val="0"/>
        <w:snapToGrid w:val="0"/>
        <w:spacing w:line="580" w:lineRule="exact"/>
        <w:ind w:firstLine="64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受国际国内大环境和新冠肺炎疫情等影响，发展的不稳定性不确定性增加。</w:t>
      </w:r>
      <w:r>
        <w:rPr>
          <w:rFonts w:hint="eastAsia" w:ascii="Times New Roman" w:hAnsi="Times New Roman" w:eastAsia="仿宋_GB2312" w:cs="Times New Roman"/>
          <w:color w:val="000000" w:themeColor="text1"/>
          <w:sz w:val="32"/>
          <w:szCs w:val="28"/>
          <w14:textFill>
            <w14:solidFill>
              <w14:schemeClr w14:val="tx1"/>
            </w14:solidFill>
          </w14:textFill>
        </w:rPr>
        <w:t>一是县域创新发展能力不足</w:t>
      </w:r>
      <w:r>
        <w:rPr>
          <w:rFonts w:ascii="Times New Roman" w:hAnsi="Times New Roman" w:eastAsia="仿宋_GB2312" w:cs="Times New Roman"/>
          <w:color w:val="000000" w:themeColor="text1"/>
          <w:sz w:val="32"/>
          <w:szCs w:val="28"/>
          <w14:textFill>
            <w14:solidFill>
              <w14:schemeClr w14:val="tx1"/>
            </w14:solidFill>
          </w14:textFill>
        </w:rPr>
        <w:t>。盐池属于老少边穷地区，经济基础薄弱，科技创新投入不足，创新平台缺乏，科技创新与企业、产业、金融等联动发展的创新网络体系不完善，支撑产业创新发展的要素及资源配置能力较弱。</w:t>
      </w:r>
      <w:r>
        <w:rPr>
          <w:rFonts w:hint="eastAsia" w:ascii="Times New Roman" w:hAnsi="Times New Roman" w:eastAsia="仿宋_GB2312" w:cs="Times New Roman"/>
          <w:color w:val="000000" w:themeColor="text1"/>
          <w:sz w:val="32"/>
          <w:szCs w:val="28"/>
          <w14:textFill>
            <w14:solidFill>
              <w14:schemeClr w14:val="tx1"/>
            </w14:solidFill>
          </w14:textFill>
        </w:rPr>
        <w:t>二是不平衡不充分问题仍然突出</w:t>
      </w:r>
      <w:r>
        <w:rPr>
          <w:rFonts w:ascii="Times New Roman" w:hAnsi="Times New Roman" w:eastAsia="仿宋_GB2312" w:cs="Times New Roman"/>
          <w:color w:val="000000" w:themeColor="text1"/>
          <w:sz w:val="32"/>
          <w:szCs w:val="28"/>
          <w14:textFill>
            <w14:solidFill>
              <w14:schemeClr w14:val="tx1"/>
            </w14:solidFill>
          </w14:textFill>
        </w:rPr>
        <w:t>。城乡区域发展和居民增收压力较大，民生保障还有不少薄弱环节。人口老龄化问题持续加剧，人口结构将发生根本性变化，人民群众对民生改善的需求更加多元、期盼更高，提升人民群众的获得感、幸福感面临较大挑战。</w:t>
      </w:r>
      <w:r>
        <w:rPr>
          <w:rFonts w:hint="eastAsia" w:ascii="Times New Roman" w:hAnsi="Times New Roman" w:eastAsia="仿宋_GB2312" w:cs="Times New Roman"/>
          <w:color w:val="000000" w:themeColor="text1"/>
          <w:sz w:val="32"/>
          <w:szCs w:val="28"/>
          <w14:textFill>
            <w14:solidFill>
              <w14:schemeClr w14:val="tx1"/>
            </w14:solidFill>
          </w14:textFill>
        </w:rPr>
        <w:t>三是新冠肺炎疫情的影响仍有诸多不确定性。</w:t>
      </w:r>
      <w:r>
        <w:rPr>
          <w:rFonts w:ascii="Times New Roman" w:hAnsi="Times New Roman" w:eastAsia="仿宋_GB2312" w:cs="Times New Roman"/>
          <w:color w:val="000000" w:themeColor="text1"/>
          <w:sz w:val="32"/>
          <w:szCs w:val="28"/>
          <w14:textFill>
            <w14:solidFill>
              <w14:schemeClr w14:val="tx1"/>
            </w14:solidFill>
          </w14:textFill>
        </w:rPr>
        <w:t>新冠疫情对国内经济造成了一定影响，近期疫情虽然得到有效控制，但对未来经济影响仍有诸多不确定性。如何处理好疫情等突发公共事件给社会经济发展带来的负面影响，增强应对风险的能力，适应疫情防控常态化，给盐池近期以及未来发展提出了新的挑战</w:t>
      </w:r>
      <w:r>
        <w:rPr>
          <w:rFonts w:ascii="Times New Roman" w:hAnsi="Times New Roman" w:eastAsia="仿宋_GB2312" w:cs="Times New Roman"/>
          <w:color w:val="000000" w:themeColor="text1"/>
          <w:sz w:val="28"/>
          <w:szCs w:val="28"/>
          <w14:textFill>
            <w14:solidFill>
              <w14:schemeClr w14:val="tx1"/>
            </w14:solidFill>
          </w14:textFill>
        </w:rPr>
        <w:t>。</w:t>
      </w:r>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立足县情实际，</w:t>
      </w:r>
      <w:r>
        <w:rPr>
          <w:rFonts w:ascii="Times New Roman" w:hAnsi="Times New Roman" w:eastAsia="仿宋_GB2312" w:cs="Times New Roman"/>
          <w:color w:val="000000" w:themeColor="text1"/>
          <w:sz w:val="32"/>
          <w:szCs w:val="28"/>
          <w14:textFill>
            <w14:solidFill>
              <w14:schemeClr w14:val="tx1"/>
            </w14:solidFill>
          </w14:textFill>
        </w:rPr>
        <w:t>全县上下要</w:t>
      </w:r>
      <w:r>
        <w:rPr>
          <w:rFonts w:hint="eastAsia" w:ascii="Times New Roman" w:hAnsi="Times New Roman" w:eastAsia="仿宋_GB2312" w:cs="Times New Roman"/>
          <w:color w:val="000000" w:themeColor="text1"/>
          <w:sz w:val="32"/>
          <w:szCs w:val="28"/>
          <w14:textFill>
            <w14:solidFill>
              <w14:schemeClr w14:val="tx1"/>
            </w14:solidFill>
          </w14:textFill>
        </w:rPr>
        <w:t>保持战略定力、树立底线思维、发扬斗争精神，</w:t>
      </w:r>
      <w:r>
        <w:rPr>
          <w:rFonts w:ascii="Times New Roman" w:hAnsi="Times New Roman" w:eastAsia="仿宋_GB2312" w:cs="Times New Roman"/>
          <w:color w:val="000000" w:themeColor="text1"/>
          <w:sz w:val="32"/>
          <w:szCs w:val="28"/>
          <w14:textFill>
            <w14:solidFill>
              <w14:schemeClr w14:val="tx1"/>
            </w14:solidFill>
          </w14:textFill>
        </w:rPr>
        <w:t>坚定信心、提振精神，深刻认识新征程新要求，</w:t>
      </w:r>
      <w:r>
        <w:rPr>
          <w:rFonts w:hint="eastAsia" w:ascii="Times New Roman" w:hAnsi="Times New Roman" w:eastAsia="仿宋_GB2312" w:cs="Times New Roman"/>
          <w:color w:val="000000" w:themeColor="text1"/>
          <w:sz w:val="32"/>
          <w:szCs w:val="28"/>
          <w14:textFill>
            <w14:solidFill>
              <w14:schemeClr w14:val="tx1"/>
            </w14:solidFill>
          </w14:textFill>
        </w:rPr>
        <w:t>准确识变、科学应变、主动求变，</w:t>
      </w:r>
      <w:r>
        <w:rPr>
          <w:rFonts w:ascii="Times New Roman" w:hAnsi="Times New Roman" w:eastAsia="仿宋_GB2312" w:cs="Times New Roman"/>
          <w:color w:val="000000" w:themeColor="text1"/>
          <w:sz w:val="32"/>
          <w:szCs w:val="28"/>
          <w14:textFill>
            <w14:solidFill>
              <w14:schemeClr w14:val="tx1"/>
            </w14:solidFill>
          </w14:textFill>
        </w:rPr>
        <w:t>从挑战中抓住发展机遇，在国家和自治区大格局、大目标、大战略中找准定位、谋划发展，在危机中育先机、于变局中开新局，</w:t>
      </w:r>
      <w:r>
        <w:rPr>
          <w:rFonts w:hint="eastAsia" w:ascii="Times New Roman" w:hAnsi="Times New Roman" w:eastAsia="仿宋_GB2312" w:cs="Times New Roman"/>
          <w:color w:val="000000" w:themeColor="text1"/>
          <w:sz w:val="32"/>
          <w:szCs w:val="28"/>
          <w14:textFill>
            <w14:solidFill>
              <w14:schemeClr w14:val="tx1"/>
            </w14:solidFill>
          </w14:textFill>
        </w:rPr>
        <w:t>奋力谱写</w:t>
      </w:r>
      <w:r>
        <w:rPr>
          <w:rFonts w:ascii="Times New Roman" w:hAnsi="Times New Roman" w:eastAsia="仿宋_GB2312" w:cs="Times New Roman"/>
          <w:color w:val="000000" w:themeColor="text1"/>
          <w:sz w:val="32"/>
          <w:szCs w:val="28"/>
          <w14:textFill>
            <w14:solidFill>
              <w14:schemeClr w14:val="tx1"/>
            </w14:solidFill>
          </w14:textFill>
        </w:rPr>
        <w:t>盐池</w:t>
      </w:r>
      <w:r>
        <w:rPr>
          <w:rFonts w:hint="eastAsia" w:ascii="Times New Roman" w:hAnsi="Times New Roman" w:eastAsia="仿宋_GB2312" w:cs="Times New Roman"/>
          <w:color w:val="000000" w:themeColor="text1"/>
          <w:sz w:val="32"/>
          <w:szCs w:val="28"/>
          <w14:textFill>
            <w14:solidFill>
              <w14:schemeClr w14:val="tx1"/>
            </w14:solidFill>
          </w14:textFill>
        </w:rPr>
        <w:t>经济社会</w:t>
      </w:r>
      <w:r>
        <w:rPr>
          <w:rFonts w:ascii="Times New Roman" w:hAnsi="Times New Roman" w:eastAsia="仿宋_GB2312" w:cs="Times New Roman"/>
          <w:color w:val="000000" w:themeColor="text1"/>
          <w:sz w:val="32"/>
          <w:szCs w:val="28"/>
          <w14:textFill>
            <w14:solidFill>
              <w14:schemeClr w14:val="tx1"/>
            </w14:solidFill>
          </w14:textFill>
        </w:rPr>
        <w:t>高质量发展</w:t>
      </w:r>
      <w:r>
        <w:rPr>
          <w:rFonts w:hint="eastAsia" w:ascii="Times New Roman" w:hAnsi="Times New Roman" w:eastAsia="仿宋_GB2312" w:cs="Times New Roman"/>
          <w:color w:val="000000" w:themeColor="text1"/>
          <w:sz w:val="32"/>
          <w:szCs w:val="28"/>
          <w14:textFill>
            <w14:solidFill>
              <w14:schemeClr w14:val="tx1"/>
            </w14:solidFill>
          </w14:textFill>
        </w:rPr>
        <w:t>的新篇章</w:t>
      </w:r>
      <w:r>
        <w:rPr>
          <w:rFonts w:ascii="Times New Roman" w:hAnsi="Times New Roman" w:eastAsia="仿宋_GB2312" w:cs="Times New Roman"/>
          <w:color w:val="000000" w:themeColor="text1"/>
          <w:sz w:val="32"/>
          <w:szCs w:val="28"/>
          <w14:textFill>
            <w14:solidFill>
              <w14:schemeClr w14:val="tx1"/>
            </w14:solidFill>
          </w14:textFill>
        </w:rPr>
        <w:t>。</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3" w:name="_Toc59989495"/>
      <w:bookmarkStart w:id="34" w:name="_Toc20006"/>
      <w:bookmarkStart w:id="35" w:name="_Toc28886"/>
      <w:bookmarkStart w:id="36" w:name="_Toc5203"/>
      <w:r>
        <w:rPr>
          <w:rFonts w:ascii="Times New Roman" w:hAnsi="Times New Roman" w:eastAsia="楷体_GB2312" w:cs="Times New Roman"/>
          <w:b/>
          <w:bCs/>
          <w:color w:val="000000" w:themeColor="text1"/>
          <w:sz w:val="32"/>
          <w:szCs w:val="32"/>
          <w14:textFill>
            <w14:solidFill>
              <w14:schemeClr w14:val="tx1"/>
            </w14:solidFill>
          </w14:textFill>
        </w:rPr>
        <w:t>第三节 绘制高质量发展新蓝图</w:t>
      </w:r>
      <w:bookmarkEnd w:id="33"/>
      <w:bookmarkEnd w:id="34"/>
      <w:bookmarkEnd w:id="35"/>
      <w:bookmarkEnd w:id="36"/>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37" w:name="_Toc24284"/>
      <w:bookmarkStart w:id="38" w:name="_Toc23017"/>
      <w:bookmarkStart w:id="39" w:name="_Toc59989496"/>
      <w:bookmarkStart w:id="40" w:name="_Toc9129"/>
      <w:r>
        <w:rPr>
          <w:rFonts w:ascii="Times New Roman" w:hAnsi="Times New Roman" w:eastAsia="楷体_GB2312" w:cs="Times New Roman"/>
          <w:b/>
          <w:bCs/>
          <w:color w:val="000000" w:themeColor="text1"/>
          <w:sz w:val="32"/>
          <w:szCs w:val="28"/>
          <w14:textFill>
            <w14:solidFill>
              <w14:schemeClr w14:val="tx1"/>
            </w14:solidFill>
          </w14:textFill>
        </w:rPr>
        <w:t>（一）指导思想</w:t>
      </w:r>
      <w:bookmarkEnd w:id="37"/>
      <w:bookmarkEnd w:id="38"/>
      <w:bookmarkEnd w:id="39"/>
      <w:bookmarkEnd w:id="40"/>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坚持党的基本理论、基本路线、基本方略，全面贯彻落实习近平总书记视察宁夏重要讲话精神和自治区党委十二届十二次全会、吴忠市委五届十二次全会、县委十四届十次全会精神，按照“五位一体”总体布局和“四个全面”战略布局，</w:t>
      </w:r>
      <w:r>
        <w:rPr>
          <w:rFonts w:hint="eastAsia" w:ascii="Times New Roman" w:hAnsi="Times New Roman" w:eastAsia="仿宋_GB2312" w:cs="Times New Roman"/>
          <w:color w:val="000000" w:themeColor="text1"/>
          <w:sz w:val="32"/>
          <w:szCs w:val="28"/>
          <w14:textFill>
            <w14:solidFill>
              <w14:schemeClr w14:val="tx1"/>
            </w14:solidFill>
          </w14:textFill>
        </w:rPr>
        <w:t>坚定不移贯彻</w:t>
      </w:r>
      <w:r>
        <w:rPr>
          <w:rFonts w:ascii="Times New Roman" w:hAnsi="Times New Roman" w:eastAsia="仿宋_GB2312" w:cs="Times New Roman"/>
          <w:color w:val="000000" w:themeColor="text1"/>
          <w:sz w:val="32"/>
          <w:szCs w:val="28"/>
          <w14:textFill>
            <w14:solidFill>
              <w14:schemeClr w14:val="tx1"/>
            </w14:solidFill>
          </w14:textFill>
        </w:rPr>
        <w:t>新发展理念，坚持稳中求进工作总基调，以推动高质量发展为主题，以深化供给侧结构性改革为主线，以建设黄河流域生态保护和高质量发展先行区为时代使命，以改革创新为根本动力，以满足人民日益增长的美好生活需要为根本目的，统筹发展和安全，主动融入新发展格局，加快建设现代化经济体系，推进基层治理体系和治理能力现代化，坚决守好促进民族团结、维护政治安全、改善生态环境“三条生命线”，走出一条高质量发展的新路子，为继续建设经济繁荣民族团结环境优美人民富裕的美丽新宁夏作出盐池贡献，为全面建设社会主义现代化开好局、起好步。</w:t>
      </w:r>
    </w:p>
    <w:p>
      <w:pPr>
        <w:tabs>
          <w:tab w:val="center" w:pos="4743"/>
        </w:tabs>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41" w:name="_Toc1897"/>
      <w:bookmarkStart w:id="42" w:name="_Toc25991"/>
      <w:bookmarkStart w:id="43" w:name="_Toc59989497"/>
      <w:bookmarkStart w:id="44" w:name="_Toc6015"/>
      <w:r>
        <w:rPr>
          <w:rFonts w:ascii="Times New Roman" w:hAnsi="Times New Roman" w:eastAsia="楷体_GB2312" w:cs="Times New Roman"/>
          <w:b/>
          <w:bCs/>
          <w:color w:val="000000" w:themeColor="text1"/>
          <w:sz w:val="32"/>
          <w:szCs w:val="28"/>
          <w14:textFill>
            <w14:solidFill>
              <w14:schemeClr w14:val="tx1"/>
            </w14:solidFill>
          </w14:textFill>
        </w:rPr>
        <w:t>（二）基本原则</w:t>
      </w:r>
      <w:bookmarkEnd w:id="41"/>
      <w:bookmarkEnd w:id="42"/>
      <w:bookmarkEnd w:id="43"/>
      <w:bookmarkEnd w:id="44"/>
      <w:r>
        <w:rPr>
          <w:rFonts w:ascii="Times New Roman" w:hAnsi="Times New Roman" w:eastAsia="楷体_GB2312" w:cs="Times New Roman"/>
          <w:b/>
          <w:bCs/>
          <w:color w:val="000000" w:themeColor="text1"/>
          <w:sz w:val="32"/>
          <w:szCs w:val="28"/>
          <w14:textFill>
            <w14:solidFill>
              <w14:schemeClr w14:val="tx1"/>
            </w14:solidFill>
          </w14:textFill>
        </w:rPr>
        <w:tab/>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坚持党的全面领导。</w:t>
      </w:r>
      <w:r>
        <w:rPr>
          <w:rFonts w:hint="eastAsia" w:ascii="Times New Roman" w:hAnsi="Times New Roman" w:eastAsia="仿宋_GB2312" w:cs="Times New Roman"/>
          <w:color w:val="000000" w:themeColor="text1"/>
          <w:sz w:val="32"/>
          <w:szCs w:val="32"/>
          <w14:textFill>
            <w14:solidFill>
              <w14:schemeClr w14:val="tx1"/>
            </w14:solidFill>
          </w14:textFill>
        </w:rPr>
        <w:t>全面落实</w:t>
      </w:r>
      <w:r>
        <w:rPr>
          <w:rFonts w:ascii="Times New Roman" w:hAnsi="Times New Roman" w:eastAsia="仿宋_GB2312" w:cs="Times New Roman"/>
          <w:color w:val="000000" w:themeColor="text1"/>
          <w:sz w:val="32"/>
          <w:szCs w:val="32"/>
          <w14:textFill>
            <w14:solidFill>
              <w14:schemeClr w14:val="tx1"/>
            </w14:solidFill>
          </w14:textFill>
        </w:rPr>
        <w:t>党领导经济社会发展的体制机制，</w:t>
      </w:r>
      <w:r>
        <w:rPr>
          <w:rFonts w:hint="eastAsia" w:ascii="Times New Roman" w:hAnsi="Times New Roman" w:eastAsia="仿宋_GB2312" w:cs="Times New Roman"/>
          <w:color w:val="000000" w:themeColor="text1"/>
          <w:sz w:val="32"/>
          <w:szCs w:val="32"/>
          <w14:textFill>
            <w14:solidFill>
              <w14:schemeClr w14:val="tx1"/>
            </w14:solidFill>
          </w14:textFill>
        </w:rPr>
        <w:t>坚持和完善中国特色社会主义制度，完善党和国家监督体系</w:t>
      </w:r>
      <w:r>
        <w:rPr>
          <w:rFonts w:ascii="Times New Roman" w:hAnsi="Times New Roman" w:eastAsia="仿宋_GB2312" w:cs="Times New Roman"/>
          <w:color w:val="000000" w:themeColor="text1"/>
          <w:sz w:val="32"/>
          <w:szCs w:val="32"/>
          <w14:textFill>
            <w14:solidFill>
              <w14:schemeClr w14:val="tx1"/>
            </w14:solidFill>
          </w14:textFill>
        </w:rPr>
        <w:t>，不断提高</w:t>
      </w:r>
      <w:r>
        <w:rPr>
          <w:rFonts w:hint="eastAsia" w:ascii="Times New Roman" w:hAnsi="Times New Roman" w:eastAsia="仿宋_GB2312" w:cs="Times New Roman"/>
          <w:color w:val="000000" w:themeColor="text1"/>
          <w:sz w:val="32"/>
          <w:szCs w:val="32"/>
          <w14:textFill>
            <w14:solidFill>
              <w14:schemeClr w14:val="tx1"/>
            </w14:solidFill>
          </w14:textFill>
        </w:rPr>
        <w:t>把握</w:t>
      </w:r>
      <w:r>
        <w:rPr>
          <w:rFonts w:ascii="Times New Roman" w:hAnsi="Times New Roman" w:eastAsia="仿宋_GB2312" w:cs="Times New Roman"/>
          <w:color w:val="000000" w:themeColor="text1"/>
          <w:sz w:val="32"/>
          <w:szCs w:val="32"/>
          <w14:textFill>
            <w14:solidFill>
              <w14:schemeClr w14:val="tx1"/>
            </w14:solidFill>
          </w14:textFill>
        </w:rPr>
        <w:t>新发展</w:t>
      </w:r>
      <w:r>
        <w:rPr>
          <w:rFonts w:hint="eastAsia" w:ascii="Times New Roman" w:hAnsi="Times New Roman" w:eastAsia="仿宋_GB2312" w:cs="Times New Roman"/>
          <w:color w:val="000000" w:themeColor="text1"/>
          <w:sz w:val="32"/>
          <w:szCs w:val="32"/>
          <w14:textFill>
            <w14:solidFill>
              <w14:schemeClr w14:val="tx1"/>
            </w14:solidFill>
          </w14:textFill>
        </w:rPr>
        <w:t>阶段</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贯彻新发展理念、</w:t>
      </w:r>
      <w:r>
        <w:rPr>
          <w:rFonts w:ascii="Times New Roman" w:hAnsi="Times New Roman" w:eastAsia="仿宋_GB2312" w:cs="Times New Roman"/>
          <w:color w:val="000000" w:themeColor="text1"/>
          <w:sz w:val="32"/>
          <w:szCs w:val="32"/>
          <w14:textFill>
            <w14:solidFill>
              <w14:schemeClr w14:val="tx1"/>
            </w14:solidFill>
          </w14:textFill>
        </w:rPr>
        <w:t>构建新发展格局</w:t>
      </w:r>
      <w:r>
        <w:rPr>
          <w:rFonts w:hint="eastAsia" w:ascii="Times New Roman" w:hAnsi="Times New Roman" w:eastAsia="仿宋_GB2312" w:cs="Times New Roman"/>
          <w:color w:val="000000" w:themeColor="text1"/>
          <w:sz w:val="32"/>
          <w:szCs w:val="32"/>
          <w14:textFill>
            <w14:solidFill>
              <w14:schemeClr w14:val="tx1"/>
            </w14:solidFill>
          </w14:textFill>
        </w:rPr>
        <w:t>的</w:t>
      </w:r>
      <w:r>
        <w:rPr>
          <w:rFonts w:ascii="Times New Roman" w:hAnsi="Times New Roman" w:eastAsia="仿宋_GB2312" w:cs="Times New Roman"/>
          <w:color w:val="000000" w:themeColor="text1"/>
          <w:sz w:val="32"/>
          <w:szCs w:val="32"/>
          <w14:textFill>
            <w14:solidFill>
              <w14:schemeClr w14:val="tx1"/>
            </w14:solidFill>
          </w14:textFill>
        </w:rPr>
        <w:t>能力和水平，为</w:t>
      </w:r>
      <w:r>
        <w:rPr>
          <w:rFonts w:hint="eastAsia" w:ascii="Times New Roman" w:hAnsi="Times New Roman" w:eastAsia="仿宋_GB2312" w:cs="Times New Roman"/>
          <w:color w:val="000000" w:themeColor="text1"/>
          <w:sz w:val="32"/>
          <w:szCs w:val="32"/>
          <w14:textFill>
            <w14:solidFill>
              <w14:schemeClr w14:val="tx1"/>
            </w14:solidFill>
          </w14:textFill>
        </w:rPr>
        <w:t>建立美丽盐池、</w:t>
      </w:r>
      <w:r>
        <w:rPr>
          <w:rFonts w:ascii="Times New Roman" w:hAnsi="Times New Roman" w:eastAsia="仿宋_GB2312" w:cs="Times New Roman"/>
          <w:color w:val="000000" w:themeColor="text1"/>
          <w:sz w:val="32"/>
          <w:szCs w:val="32"/>
          <w14:textFill>
            <w14:solidFill>
              <w14:schemeClr w14:val="tx1"/>
            </w14:solidFill>
          </w14:textFill>
        </w:rPr>
        <w:t>实现高质量发展提供根本保证。</w:t>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坚持以人民为中心。</w:t>
      </w:r>
      <w:r>
        <w:rPr>
          <w:rFonts w:ascii="Times New Roman" w:hAnsi="Times New Roman" w:eastAsia="仿宋_GB2312" w:cs="Times New Roman"/>
          <w:color w:val="000000" w:themeColor="text1"/>
          <w:sz w:val="32"/>
          <w:szCs w:val="32"/>
          <w14:textFill>
            <w14:solidFill>
              <w14:schemeClr w14:val="tx1"/>
            </w14:solidFill>
          </w14:textFill>
        </w:rPr>
        <w:t>坚持人民主体地位，坚持共同富裕方向，始终做到发展为了人民、发展依靠人民、发展成果由人民共享。维护人民根本利益，激发</w:t>
      </w:r>
      <w:r>
        <w:rPr>
          <w:rFonts w:hint="eastAsia" w:ascii="Times New Roman" w:hAnsi="Times New Roman" w:eastAsia="仿宋_GB2312" w:cs="Times New Roman"/>
          <w:color w:val="000000" w:themeColor="text1"/>
          <w:sz w:val="32"/>
          <w:szCs w:val="32"/>
          <w14:textFill>
            <w14:solidFill>
              <w14:schemeClr w14:val="tx1"/>
            </w14:solidFill>
          </w14:textFill>
        </w:rPr>
        <w:t>全体</w:t>
      </w:r>
      <w:r>
        <w:rPr>
          <w:rFonts w:ascii="Times New Roman" w:hAnsi="Times New Roman" w:eastAsia="仿宋_GB2312" w:cs="Times New Roman"/>
          <w:color w:val="000000" w:themeColor="text1"/>
          <w:sz w:val="32"/>
          <w:szCs w:val="32"/>
          <w14:textFill>
            <w14:solidFill>
              <w14:schemeClr w14:val="tx1"/>
            </w14:solidFill>
          </w14:textFill>
        </w:rPr>
        <w:t>人民积极性、主动性、创造性，促进社会公平，增进民生福祉，不断满足人民对美好生活的向往。</w:t>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坚持新发展理念。</w:t>
      </w:r>
      <w:r>
        <w:rPr>
          <w:rFonts w:ascii="Times New Roman" w:hAnsi="Times New Roman" w:eastAsia="仿宋_GB2312" w:cs="Times New Roman"/>
          <w:color w:val="000000" w:themeColor="text1"/>
          <w:sz w:val="32"/>
          <w:szCs w:val="32"/>
          <w14:textFill>
            <w14:solidFill>
              <w14:schemeClr w14:val="tx1"/>
            </w14:solidFill>
          </w14:textFill>
        </w:rPr>
        <w:t>把新发展理念贯穿发展全过程和各领域，</w:t>
      </w:r>
      <w:r>
        <w:rPr>
          <w:rFonts w:hint="eastAsia" w:ascii="Times New Roman" w:hAnsi="Times New Roman" w:eastAsia="仿宋_GB2312" w:cs="Times New Roman"/>
          <w:color w:val="000000" w:themeColor="text1"/>
          <w:sz w:val="32"/>
          <w:szCs w:val="32"/>
          <w14:textFill>
            <w14:solidFill>
              <w14:schemeClr w14:val="tx1"/>
            </w14:solidFill>
          </w14:textFill>
        </w:rPr>
        <w:t>把注意力集中到解决各种不平衡不充分的问题上来，</w:t>
      </w:r>
      <w:r>
        <w:rPr>
          <w:rFonts w:ascii="Times New Roman" w:hAnsi="Times New Roman" w:eastAsia="仿宋_GB2312" w:cs="Times New Roman"/>
          <w:color w:val="000000" w:themeColor="text1"/>
          <w:sz w:val="32"/>
          <w:szCs w:val="32"/>
          <w14:textFill>
            <w14:solidFill>
              <w14:schemeClr w14:val="tx1"/>
            </w14:solidFill>
          </w14:textFill>
        </w:rPr>
        <w:t>主动融入新发展格局，切实转变发展方式，加快新旧动能转化，推动质量变革、效率变革、动力变革，实现更高质量、更有效率、更加公平、更可持续、更为安全的发展。</w:t>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坚持深化改革开放。</w:t>
      </w:r>
      <w:r>
        <w:rPr>
          <w:rFonts w:ascii="Times New Roman" w:hAnsi="Times New Roman" w:eastAsia="仿宋_GB2312" w:cs="Times New Roman"/>
          <w:color w:val="000000" w:themeColor="text1"/>
          <w:sz w:val="32"/>
          <w:szCs w:val="32"/>
          <w14:textFill>
            <w14:solidFill>
              <w14:schemeClr w14:val="tx1"/>
            </w14:solidFill>
          </w14:textFill>
        </w:rPr>
        <w:t>坚定不移推进改革，坚定不移扩大开放，加强治理体系和治理能力现代化建设，破除制约高质量发展、高品质生活的思想观念和体制机制障碍，破解开放不足的短板制约，</w:t>
      </w:r>
      <w:r>
        <w:rPr>
          <w:rFonts w:hint="eastAsia" w:ascii="Times New Roman" w:hAnsi="Times New Roman" w:eastAsia="仿宋_GB2312" w:cs="Times New Roman"/>
          <w:color w:val="000000" w:themeColor="text1"/>
          <w:sz w:val="32"/>
          <w:szCs w:val="32"/>
          <w14:textFill>
            <w14:solidFill>
              <w14:schemeClr w14:val="tx1"/>
            </w14:solidFill>
          </w14:textFill>
        </w:rPr>
        <w:t>强化有利于提高资源配置效率、有利于调动全社会积极性的重大改革举措，</w:t>
      </w:r>
      <w:r>
        <w:rPr>
          <w:rFonts w:ascii="Times New Roman" w:hAnsi="Times New Roman" w:eastAsia="仿宋_GB2312" w:cs="Times New Roman"/>
          <w:color w:val="000000" w:themeColor="text1"/>
          <w:sz w:val="32"/>
          <w:szCs w:val="32"/>
          <w14:textFill>
            <w14:solidFill>
              <w14:schemeClr w14:val="tx1"/>
            </w14:solidFill>
          </w14:textFill>
        </w:rPr>
        <w:t>持续增强发展动力和活力。</w:t>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坚持系统观念。</w:t>
      </w:r>
      <w:r>
        <w:rPr>
          <w:rFonts w:ascii="Times New Roman" w:hAnsi="Times New Roman" w:eastAsia="仿宋_GB2312" w:cs="Times New Roman"/>
          <w:color w:val="000000" w:themeColor="text1"/>
          <w:sz w:val="32"/>
          <w:szCs w:val="32"/>
          <w14:textFill>
            <w14:solidFill>
              <w14:schemeClr w14:val="tx1"/>
            </w14:solidFill>
          </w14:textFill>
        </w:rPr>
        <w:t>加强前瞻性思考、全局性谋划、战略性布局</w:t>
      </w:r>
      <w:r>
        <w:rPr>
          <w:rFonts w:hint="eastAsia" w:ascii="Times New Roman" w:hAnsi="Times New Roman" w:eastAsia="仿宋_GB2312" w:cs="Times New Roman"/>
          <w:color w:val="000000" w:themeColor="text1"/>
          <w:sz w:val="32"/>
          <w:szCs w:val="32"/>
          <w14:textFill>
            <w14:solidFill>
              <w14:schemeClr w14:val="tx1"/>
            </w14:solidFill>
          </w14:textFill>
        </w:rPr>
        <w:t>、整体性推进</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服务国家和区市战略、担当盐池责任，</w:t>
      </w:r>
      <w:r>
        <w:rPr>
          <w:rFonts w:ascii="Times New Roman" w:hAnsi="Times New Roman" w:eastAsia="仿宋_GB2312" w:cs="Times New Roman"/>
          <w:color w:val="000000" w:themeColor="text1"/>
          <w:sz w:val="32"/>
          <w:szCs w:val="32"/>
          <w14:textFill>
            <w14:solidFill>
              <w14:schemeClr w14:val="tx1"/>
            </w14:solidFill>
          </w14:textFill>
        </w:rPr>
        <w:t>办好发展和安全两件大事，着力固根基、扬优势、补短板、强弱项，注重防范化解重大风险挑战，实现发展质量、结构、规模、速度、效益、安全相统一。</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45" w:name="_Toc59989498"/>
      <w:bookmarkStart w:id="46" w:name="_Toc10752"/>
      <w:bookmarkStart w:id="47" w:name="_Toc11043"/>
      <w:bookmarkStart w:id="48" w:name="_Toc27902"/>
      <w:r>
        <w:rPr>
          <w:rFonts w:ascii="Times New Roman" w:hAnsi="Times New Roman" w:eastAsia="楷体_GB2312" w:cs="Times New Roman"/>
          <w:b/>
          <w:bCs/>
          <w:color w:val="000000" w:themeColor="text1"/>
          <w:sz w:val="32"/>
          <w:szCs w:val="28"/>
          <w14:textFill>
            <w14:solidFill>
              <w14:schemeClr w14:val="tx1"/>
            </w14:solidFill>
          </w14:textFill>
        </w:rPr>
        <w:t>（三）总体思路</w:t>
      </w:r>
      <w:bookmarkEnd w:id="45"/>
      <w:bookmarkEnd w:id="46"/>
      <w:bookmarkEnd w:id="47"/>
      <w:bookmarkEnd w:id="48"/>
    </w:p>
    <w:p>
      <w:pPr>
        <w:spacing w:line="580" w:lineRule="exact"/>
        <w:ind w:firstLine="643"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——创新驱动，转型发展</w:t>
      </w:r>
      <w:r>
        <w:rPr>
          <w:rFonts w:ascii="Times New Roman" w:hAnsi="Times New Roman" w:eastAsia="仿宋_GB2312" w:cs="Times New Roman"/>
          <w:color w:val="000000" w:themeColor="text1"/>
          <w:kern w:val="0"/>
          <w:sz w:val="32"/>
          <w:szCs w:val="28"/>
          <w14:textFill>
            <w14:solidFill>
              <w14:schemeClr w14:val="tx1"/>
            </w14:solidFill>
          </w14:textFill>
        </w:rPr>
        <w:t>。坚持创新在现代化建设全局中的核心地位，着眼高质量发展需求，大力实施创新驱动发展战略，构建以市场为导向、企业为主体、产学研相结合的科技创新体系，激发县域经济活力，助推经济转型升级，提升经济竞争力。</w:t>
      </w:r>
    </w:p>
    <w:p>
      <w:pPr>
        <w:spacing w:line="580" w:lineRule="exact"/>
        <w:ind w:firstLine="643"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——协调均等，融合发展。</w:t>
      </w:r>
      <w:r>
        <w:rPr>
          <w:rFonts w:ascii="Times New Roman" w:hAnsi="Times New Roman" w:eastAsia="仿宋_GB2312" w:cs="Times New Roman"/>
          <w:color w:val="000000" w:themeColor="text1"/>
          <w:kern w:val="0"/>
          <w:sz w:val="32"/>
          <w:szCs w:val="28"/>
          <w14:textFill>
            <w14:solidFill>
              <w14:schemeClr w14:val="tx1"/>
            </w14:solidFill>
          </w14:textFill>
        </w:rPr>
        <w:t>大力实施区域协调发展战略，坚持农业农村优先发展，实施乡村振兴战略，补齐乡村短板，推进脱贫巩固与乡村振兴有效衔接，健全完善城乡融合发展体制机制和政策体系，优化配置城乡公共服务资源，推动各要素在城乡之间有序流动和平等交换，加快形成工农互促、城乡互补、共同繁荣的新型工农城乡关系。</w:t>
      </w:r>
    </w:p>
    <w:p>
      <w:pPr>
        <w:spacing w:line="580" w:lineRule="exact"/>
        <w:ind w:firstLine="643"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——绿色生态，持续发展。</w:t>
      </w:r>
      <w:r>
        <w:rPr>
          <w:rFonts w:ascii="Times New Roman" w:hAnsi="Times New Roman" w:eastAsia="仿宋_GB2312" w:cs="Times New Roman"/>
          <w:color w:val="000000" w:themeColor="text1"/>
          <w:kern w:val="0"/>
          <w:sz w:val="32"/>
          <w:szCs w:val="28"/>
          <w14:textFill>
            <w14:solidFill>
              <w14:schemeClr w14:val="tx1"/>
            </w14:solidFill>
          </w14:textFill>
        </w:rPr>
        <w:t>深入贯彻习近平生态文明思想，全面践行“绿水青山就是金山银山”发展理念，尊重自然、顺应自然、保护自然，坚持生态立县战略不动摇，坚守生态红线，节约集约利用资源，</w:t>
      </w:r>
      <w:r>
        <w:rPr>
          <w:rFonts w:hint="eastAsia" w:ascii="Times New Roman" w:hAnsi="Times New Roman" w:eastAsia="仿宋_GB2312" w:cs="Times New Roman"/>
          <w:color w:val="000000" w:themeColor="text1"/>
          <w:kern w:val="0"/>
          <w:sz w:val="32"/>
          <w:szCs w:val="28"/>
          <w14:textFill>
            <w14:solidFill>
              <w14:schemeClr w14:val="tx1"/>
            </w14:solidFill>
          </w14:textFill>
        </w:rPr>
        <w:t>走实产业生态化、生态产业化</w:t>
      </w:r>
      <w:r>
        <w:rPr>
          <w:rFonts w:ascii="Times New Roman" w:hAnsi="Times New Roman" w:eastAsia="仿宋_GB2312" w:cs="Times New Roman"/>
          <w:color w:val="000000" w:themeColor="text1"/>
          <w:kern w:val="0"/>
          <w:sz w:val="32"/>
          <w:szCs w:val="28"/>
          <w14:textFill>
            <w14:solidFill>
              <w14:schemeClr w14:val="tx1"/>
            </w14:solidFill>
          </w14:textFill>
        </w:rPr>
        <w:t>发展道路，真正把绿色发展融入经济社会发展全过程。</w:t>
      </w:r>
    </w:p>
    <w:p>
      <w:pPr>
        <w:spacing w:line="580" w:lineRule="exact"/>
        <w:ind w:firstLine="643"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——开放引领，协同发展。</w:t>
      </w:r>
      <w:r>
        <w:rPr>
          <w:rFonts w:ascii="Times New Roman" w:hAnsi="Times New Roman" w:eastAsia="仿宋_GB2312" w:cs="Times New Roman"/>
          <w:color w:val="000000" w:themeColor="text1"/>
          <w:kern w:val="0"/>
          <w:sz w:val="32"/>
          <w:szCs w:val="28"/>
          <w14:textFill>
            <w14:solidFill>
              <w14:schemeClr w14:val="tx1"/>
            </w14:solidFill>
          </w14:textFill>
        </w:rPr>
        <w:t>实施开放带动战略，大力弘扬开放精神，树立“融入全区、面向全国、接轨国际”的大开放目标，抓住“一带一路”、新一轮西部大开发、黄河流域生态保护与高质量发展等重要机遇，搭建对外开放新平台，拓展对外开放新渠道，构建对外开放新格局，以高水平开放促进高质量发展。</w:t>
      </w:r>
    </w:p>
    <w:p>
      <w:pPr>
        <w:spacing w:line="580" w:lineRule="exact"/>
        <w:ind w:firstLine="643"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——共享共建，为民发展。</w:t>
      </w:r>
      <w:r>
        <w:rPr>
          <w:rFonts w:ascii="Times New Roman" w:hAnsi="Times New Roman" w:eastAsia="仿宋_GB2312" w:cs="Times New Roman"/>
          <w:color w:val="000000" w:themeColor="text1"/>
          <w:kern w:val="0"/>
          <w:sz w:val="32"/>
          <w:szCs w:val="28"/>
          <w14:textFill>
            <w14:solidFill>
              <w14:schemeClr w14:val="tx1"/>
            </w14:solidFill>
          </w14:textFill>
        </w:rPr>
        <w:t>坚持以人民为中心发展理念，着力保障和改善民生，增进人民福祉，扩大就业容量，促进社会公平与正义，增强人民群众的获得感和幸福感，让全县各族人民共享经济、社会、政治、文化、生态等发展成果。</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49" w:name="_Toc10407"/>
      <w:bookmarkStart w:id="50" w:name="_Toc59989499"/>
      <w:bookmarkStart w:id="51" w:name="_Toc9851"/>
      <w:bookmarkStart w:id="52" w:name="_Toc22868"/>
      <w:r>
        <w:rPr>
          <w:rFonts w:ascii="Times New Roman" w:hAnsi="Times New Roman" w:eastAsia="楷体_GB2312" w:cs="Times New Roman"/>
          <w:b/>
          <w:bCs/>
          <w:color w:val="000000" w:themeColor="text1"/>
          <w:sz w:val="32"/>
          <w:szCs w:val="28"/>
          <w14:textFill>
            <w14:solidFill>
              <w14:schemeClr w14:val="tx1"/>
            </w14:solidFill>
          </w14:textFill>
        </w:rPr>
        <w:t>（四）发展定位</w:t>
      </w:r>
      <w:bookmarkEnd w:id="49"/>
      <w:bookmarkEnd w:id="50"/>
      <w:bookmarkEnd w:id="51"/>
      <w:bookmarkEnd w:id="52"/>
    </w:p>
    <w:p>
      <w:pPr>
        <w:spacing w:line="580" w:lineRule="exact"/>
        <w:ind w:firstLine="640"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ascii="Times New Roman" w:hAnsi="Times New Roman" w:eastAsia="仿宋_GB2312" w:cs="Times New Roman"/>
          <w:color w:val="000000" w:themeColor="text1"/>
          <w:kern w:val="0"/>
          <w:sz w:val="32"/>
          <w:szCs w:val="28"/>
          <w14:textFill>
            <w14:solidFill>
              <w14:schemeClr w14:val="tx1"/>
            </w14:solidFill>
          </w14:textFill>
        </w:rPr>
        <w:t>以实现社会主义现代化为根本指引，以经济社会高质量发展为主题，以实现人民对美好生活的向往为奋斗目标，围绕“生态立县、产业强县、特色富民”战略要求，确定盐池未来发展定位：</w:t>
      </w:r>
    </w:p>
    <w:p>
      <w:pPr>
        <w:snapToGrid w:val="0"/>
        <w:spacing w:line="580" w:lineRule="exact"/>
        <w:ind w:firstLine="646" w:firstLineChars="201"/>
        <w:rPr>
          <w:rFonts w:ascii="Times New Roman" w:hAnsi="Times New Roman" w:eastAsia="仿宋_GB2312" w:cs="Times New Roman"/>
          <w:b/>
          <w:bCs/>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28"/>
          <w14:textFill>
            <w14:solidFill>
              <w14:schemeClr w14:val="tx1"/>
            </w14:solidFill>
          </w14:textFill>
        </w:rPr>
        <w:t>打造脱贫巩固与乡村振兴有效衔接样板区。</w:t>
      </w:r>
      <w:r>
        <w:rPr>
          <w:rFonts w:ascii="Times New Roman" w:hAnsi="Times New Roman" w:eastAsia="仿宋_GB2312" w:cs="Times New Roman"/>
          <w:color w:val="000000" w:themeColor="text1"/>
          <w:sz w:val="32"/>
          <w:szCs w:val="28"/>
          <w14:textFill>
            <w14:solidFill>
              <w14:schemeClr w14:val="tx1"/>
            </w14:solidFill>
          </w14:textFill>
        </w:rPr>
        <w:t>持续巩固拓展脱贫攻坚成果，全面建立健全防止返贫的长效机制，探索推进脱贫巩固与乡村振兴战略的政策衔接、机制衔接、工作衔接，实现减贫战略与工作体系平稳转型，保持帮扶政策总体稳定，推进特色产业融合发展，努力实现乡村产业振兴、生态振兴、人才振兴、文化振兴、组织振兴，形成乡村振兴发展的“盐池模式”。依托中国精准扶贫与乡村振兴研习院，发挥盐池在乡村振兴发展模式和机制创新示范作用，打造脱贫巩固与乡村振兴有效衔接的全国样板。</w:t>
      </w:r>
    </w:p>
    <w:p>
      <w:pPr>
        <w:snapToGrid w:val="0"/>
        <w:spacing w:line="580" w:lineRule="exact"/>
        <w:ind w:firstLine="646" w:firstLineChars="201"/>
        <w:rPr>
          <w:rFonts w:ascii="Times New Roman" w:hAnsi="Times New Roman" w:eastAsia="仿宋_GB2312" w:cs="Times New Roman"/>
          <w:b/>
          <w:bCs/>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28"/>
          <w14:textFill>
            <w14:solidFill>
              <w14:schemeClr w14:val="tx1"/>
            </w14:solidFill>
          </w14:textFill>
        </w:rPr>
        <w:t>打造生态保护修复与高质量发展创新区。</w:t>
      </w:r>
      <w:r>
        <w:rPr>
          <w:rFonts w:ascii="Times New Roman" w:hAnsi="Times New Roman" w:eastAsia="仿宋_GB2312" w:cs="Times New Roman"/>
          <w:color w:val="000000" w:themeColor="text1"/>
          <w:sz w:val="32"/>
          <w:szCs w:val="28"/>
          <w14:textFill>
            <w14:solidFill>
              <w14:schemeClr w14:val="tx1"/>
            </w14:solidFill>
          </w14:textFill>
        </w:rPr>
        <w:t>以建设黄河流域生态保护和高质量发展先行区为契机，围绕宁夏“一河三山”、“一带三区”总体布局，统筹推进山水林田湖草沙系统治理，持续开展生态保护与修复工程，加大环境污染防治力度，完善绿色生态基础设施，全面建成宁夏东部地区绿色生态屏障。以资源环境承载力为约束，以创新驱动为动力，加快产业转型升级、加快新旧动能转换，优化能矿资源开发利用，培育壮大化工新材料，做大做强石膏精深加工，打造成自治区生态保护修复与高质量发展创新区。</w:t>
      </w:r>
    </w:p>
    <w:p>
      <w:pPr>
        <w:snapToGrid w:val="0"/>
        <w:spacing w:line="580" w:lineRule="exact"/>
        <w:ind w:firstLine="646" w:firstLineChars="201"/>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28"/>
          <w14:textFill>
            <w14:solidFill>
              <w14:schemeClr w14:val="tx1"/>
            </w14:solidFill>
          </w14:textFill>
        </w:rPr>
        <w:t>打造特色文化与全域旅游融合发展示范区。</w:t>
      </w:r>
      <w:r>
        <w:rPr>
          <w:rFonts w:ascii="Times New Roman" w:hAnsi="Times New Roman" w:eastAsia="仿宋_GB2312" w:cs="Times New Roman"/>
          <w:color w:val="000000" w:themeColor="text1"/>
          <w:sz w:val="32"/>
          <w:szCs w:val="28"/>
          <w14:textFill>
            <w14:solidFill>
              <w14:schemeClr w14:val="tx1"/>
            </w14:solidFill>
          </w14:textFill>
        </w:rPr>
        <w:t>以创建国家全域旅游示范区为抓手，紧紧抓住自治区将盐池确定为东部环线边塞旅游板块的机遇，深度挖掘长征、长城、盐州古城文化资源，传承和发扬特色乡土文化和勤劳朴素的传统美德，发展长城观光、生态自驾、航空体验、乡村休闲、革命教育等多类型旅游活动，强化与周边地区的联动，探索符合盐池实际、形式多样、特色鲜明的文化与全域旅游相融合发展模式，打造成西北地区特色文化与全域旅游融合发展示范区。</w:t>
      </w:r>
    </w:p>
    <w:p>
      <w:pPr>
        <w:snapToGrid w:val="0"/>
        <w:spacing w:line="580" w:lineRule="exact"/>
        <w:ind w:firstLine="646" w:firstLineChars="201"/>
        <w:rPr>
          <w:rFonts w:ascii="Times New Roman" w:hAnsi="Times New Roman" w:eastAsia="仿宋_GB2312" w:cs="Times New Roman"/>
          <w:b/>
          <w:bCs/>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28"/>
          <w14:textFill>
            <w14:solidFill>
              <w14:schemeClr w14:val="tx1"/>
            </w14:solidFill>
          </w14:textFill>
        </w:rPr>
        <w:t>打造基层治理体系和治理能力现代化先行区。</w:t>
      </w:r>
      <w:r>
        <w:rPr>
          <w:rFonts w:ascii="Times New Roman" w:hAnsi="Times New Roman" w:eastAsia="仿宋_GB2312" w:cs="Times New Roman"/>
          <w:color w:val="000000" w:themeColor="text1"/>
          <w:sz w:val="32"/>
          <w:szCs w:val="28"/>
          <w14:textFill>
            <w14:solidFill>
              <w14:schemeClr w14:val="tx1"/>
            </w14:solidFill>
          </w14:textFill>
        </w:rPr>
        <w:t>深入贯彻落实中央和区、市关于治理体系和治理能力现代化的决策部署，坚持以人民为中心，创新完善共建共治共享的基层社会治理体系。强化基层组织建设，推动居民自治模式网格化、智能化发展，实现治理能力现代化，打造具有时代特征、盐池特色的基层治理体系和治理能力现代化全国典范。</w:t>
      </w:r>
    </w:p>
    <w:p>
      <w:pPr>
        <w:snapToGrid w:val="0"/>
        <w:spacing w:line="580" w:lineRule="exact"/>
        <w:ind w:firstLine="646" w:firstLineChars="201"/>
        <w:rPr>
          <w:rFonts w:ascii="Times New Roman" w:hAnsi="Times New Roman" w:eastAsia="仿宋_GB2312" w:cs="Times New Roman"/>
          <w:b/>
          <w:bCs/>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28"/>
          <w14:textFill>
            <w14:solidFill>
              <w14:schemeClr w14:val="tx1"/>
            </w14:solidFill>
          </w14:textFill>
        </w:rPr>
        <w:t>打造宁陕甘蒙省际资源要素集聚区。</w:t>
      </w:r>
      <w:r>
        <w:rPr>
          <w:rFonts w:ascii="Times New Roman" w:hAnsi="Times New Roman" w:eastAsia="仿宋_GB2312" w:cs="Times New Roman"/>
          <w:color w:val="000000" w:themeColor="text1"/>
          <w:sz w:val="32"/>
          <w:szCs w:val="28"/>
          <w14:textFill>
            <w14:solidFill>
              <w14:schemeClr w14:val="tx1"/>
            </w14:solidFill>
          </w14:textFill>
        </w:rPr>
        <w:t>以高质量发展为主题，发挥地处银鄂榆能源化工“金三角”腹地的区位优势、资源优势和交通优势，抢抓建设沿黄科技创新改革试验区重大机遇，着力实施创新驱动发展战略，提升省际区域性综合交通枢纽功能，深化对内对外全方位开放，建设宁陕甘蒙交界区对外开放新高地，引导人才、技术、产业、信息等优势要素资源向盐池集聚，推动建立宁陕甘蒙区域经济协作区。</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53" w:name="_Toc59989500"/>
      <w:bookmarkStart w:id="54" w:name="_Toc3666"/>
      <w:bookmarkStart w:id="55" w:name="_Toc601"/>
      <w:bookmarkStart w:id="56" w:name="_Toc1242"/>
      <w:r>
        <w:rPr>
          <w:rFonts w:ascii="Times New Roman" w:hAnsi="Times New Roman" w:eastAsia="楷体_GB2312" w:cs="Times New Roman"/>
          <w:b/>
          <w:bCs/>
          <w:color w:val="000000" w:themeColor="text1"/>
          <w:sz w:val="32"/>
          <w:szCs w:val="28"/>
          <w14:textFill>
            <w14:solidFill>
              <w14:schemeClr w14:val="tx1"/>
            </w14:solidFill>
          </w14:textFill>
        </w:rPr>
        <w:t>（五）发展目标</w:t>
      </w:r>
      <w:bookmarkEnd w:id="53"/>
      <w:bookmarkEnd w:id="54"/>
      <w:bookmarkEnd w:id="55"/>
      <w:bookmarkEnd w:id="56"/>
    </w:p>
    <w:p>
      <w:pPr>
        <w:spacing w:line="580" w:lineRule="exact"/>
        <w:ind w:firstLine="643" w:firstLineChars="200"/>
        <w:rPr>
          <w:rFonts w:ascii="Times New Roman" w:hAnsi="Times New Roman" w:eastAsia="仿宋_GB2312" w:cs="Times New Roman"/>
          <w:b/>
          <w:bCs/>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1. 二</w:t>
      </w:r>
      <w:r>
        <w:rPr>
          <w:rFonts w:ascii="Times New Roman" w:hAnsi="Times New Roman" w:eastAsia="微软雅黑" w:cs="Times New Roman"/>
          <w:color w:val="000000" w:themeColor="text1"/>
          <w:kern w:val="0"/>
          <w:sz w:val="32"/>
          <w:szCs w:val="28"/>
          <w14:textFill>
            <w14:solidFill>
              <w14:schemeClr w14:val="tx1"/>
            </w14:solidFill>
          </w14:textFill>
        </w:rPr>
        <w:t>〇</w:t>
      </w:r>
      <w:r>
        <w:rPr>
          <w:rFonts w:ascii="Times New Roman" w:hAnsi="Times New Roman" w:eastAsia="仿宋_GB2312" w:cs="Times New Roman"/>
          <w:b/>
          <w:bCs/>
          <w:color w:val="000000" w:themeColor="text1"/>
          <w:kern w:val="0"/>
          <w:sz w:val="32"/>
          <w:szCs w:val="28"/>
          <w14:textFill>
            <w14:solidFill>
              <w14:schemeClr w14:val="tx1"/>
            </w14:solidFill>
          </w14:textFill>
        </w:rPr>
        <w:t>三五年基本实现社会主义现代化远景目标</w:t>
      </w:r>
    </w:p>
    <w:p>
      <w:pPr>
        <w:spacing w:line="580" w:lineRule="exact"/>
        <w:ind w:firstLine="66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5"/>
          <w:sz w:val="32"/>
          <w:szCs w:val="32"/>
          <w14:textFill>
            <w14:solidFill>
              <w14:schemeClr w14:val="tx1"/>
            </w14:solidFill>
          </w14:textFill>
        </w:rPr>
        <w:t>深入贯彻落实</w:t>
      </w:r>
      <w:r>
        <w:rPr>
          <w:rFonts w:ascii="Times New Roman" w:hAnsi="Times New Roman" w:eastAsia="仿宋_GB2312" w:cs="Times New Roman"/>
          <w:color w:val="000000" w:themeColor="text1"/>
          <w:sz w:val="32"/>
          <w:szCs w:val="32"/>
          <w14:textFill>
            <w14:solidFill>
              <w14:schemeClr w14:val="tx1"/>
            </w14:solidFill>
          </w14:textFill>
        </w:rPr>
        <w:t>习近平总书记视察宁夏重要讲话精神，紧紧围绕</w:t>
      </w:r>
      <w:r>
        <w:rPr>
          <w:rFonts w:hint="eastAsia" w:ascii="Times New Roman" w:hAnsi="Times New Roman" w:eastAsia="仿宋_GB2312" w:cs="Times New Roman"/>
          <w:color w:val="000000" w:themeColor="text1"/>
          <w:sz w:val="32"/>
          <w:szCs w:val="32"/>
          <w14:textFill>
            <w14:solidFill>
              <w14:schemeClr w14:val="tx1"/>
            </w14:solidFill>
          </w14:textFill>
        </w:rPr>
        <w:t>建设黄河流域生态保护与高质量发展先行区、</w:t>
      </w:r>
      <w:r>
        <w:rPr>
          <w:rFonts w:ascii="Times New Roman" w:hAnsi="Times New Roman" w:eastAsia="仿宋_GB2312" w:cs="Times New Roman"/>
          <w:color w:val="000000" w:themeColor="text1"/>
          <w:sz w:val="32"/>
          <w:szCs w:val="32"/>
          <w14:textFill>
            <w14:solidFill>
              <w14:schemeClr w14:val="tx1"/>
            </w14:solidFill>
          </w14:textFill>
        </w:rPr>
        <w:t>继续建设经济繁荣民族团结环境优美人民富裕的美丽新宁夏的宏伟目标，真抓实干、奋勇争先，确保到2035年与全国全区同步基本实现社会主义现代化。</w:t>
      </w:r>
    </w:p>
    <w:p>
      <w:pPr>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经济繁荣实现大跨越。</w:t>
      </w:r>
      <w:r>
        <w:rPr>
          <w:rFonts w:ascii="Times New Roman" w:hAnsi="Times New Roman" w:eastAsia="仿宋_GB2312" w:cs="Times New Roman"/>
          <w:color w:val="000000" w:themeColor="text1"/>
          <w:sz w:val="32"/>
          <w:szCs w:val="32"/>
          <w14:textFill>
            <w14:solidFill>
              <w14:schemeClr w14:val="tx1"/>
            </w14:solidFill>
          </w14:textFill>
        </w:rPr>
        <w:t>到2035年，全县经济总量比2020年翻一番以上。县域经济活力、特色产业、文化旅游带动能力持续增强，区域协调发展水平、城乡均等化水平显著提升，科技创新能力、企业市场竞争力明显增强，基本实现新型工业化、信息化、城镇化、农业现代化。</w:t>
      </w:r>
    </w:p>
    <w:p>
      <w:pPr>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民族团结实现大进步。</w:t>
      </w:r>
      <w:r>
        <w:rPr>
          <w:rFonts w:ascii="Times New Roman" w:hAnsi="Times New Roman" w:eastAsia="仿宋_GB2312" w:cs="Times New Roman"/>
          <w:color w:val="000000" w:themeColor="text1"/>
          <w:sz w:val="32"/>
          <w:szCs w:val="32"/>
          <w14:textFill>
            <w14:solidFill>
              <w14:schemeClr w14:val="tx1"/>
            </w14:solidFill>
          </w14:textFill>
        </w:rPr>
        <w:t>中华民族共同体意识扎根全民，民族关系团结和谐，宗教关系和顺健康，人民平等参与、平等发展权利得到充分保障，民族团结进步创建走在全国全区前列。</w:t>
      </w:r>
    </w:p>
    <w:p>
      <w:pPr>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环境优美实现大突破。</w:t>
      </w:r>
      <w:r>
        <w:rPr>
          <w:rFonts w:ascii="Times New Roman" w:hAnsi="Times New Roman" w:eastAsia="仿宋_GB2312" w:cs="Times New Roman"/>
          <w:color w:val="000000" w:themeColor="text1"/>
          <w:sz w:val="32"/>
          <w:szCs w:val="32"/>
          <w14:textFill>
            <w14:solidFill>
              <w14:schemeClr w14:val="tx1"/>
            </w14:solidFill>
          </w14:textFill>
        </w:rPr>
        <w:t>生态文明建设取得更大突破，重点生态功能区保护修复持续加强，草原生态实现根本好转，林草融合发展稳步推进，生态格局更加稳固，人与自然更加和谐共生。万元GDP综合能耗、水耗、化学需氧量以及二氧化硫等主要污染物排放量大幅下降，生态环境根本转变、持续向好。</w:t>
      </w:r>
    </w:p>
    <w:p>
      <w:pPr>
        <w:spacing w:line="580" w:lineRule="exact"/>
        <w:ind w:firstLine="643"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人民富裕实现大提升。</w:t>
      </w:r>
      <w:r>
        <w:rPr>
          <w:rFonts w:ascii="Times New Roman" w:hAnsi="Times New Roman" w:eastAsia="仿宋_GB2312" w:cs="Times New Roman"/>
          <w:color w:val="000000" w:themeColor="text1"/>
          <w:sz w:val="32"/>
          <w:szCs w:val="32"/>
          <w14:textFill>
            <w14:solidFill>
              <w14:schemeClr w14:val="tx1"/>
            </w14:solidFill>
          </w14:textFill>
        </w:rPr>
        <w:t>城乡居民人均可支配收入比2020年翻一番以上，城乡居民收入差距显著缩小，基本公共服务体系基本建立，率先实现较高标准的基本公共服务均等化，各级各类教育协调发展，综合医改</w:t>
      </w:r>
      <w:r>
        <w:rPr>
          <w:rFonts w:ascii="Times New Roman" w:hAnsi="Times New Roman" w:eastAsia="仿宋_GB2312" w:cs="Times New Roman"/>
          <w:color w:val="000000" w:themeColor="text1"/>
          <w:spacing w:val="4"/>
          <w:sz w:val="32"/>
          <w:szCs w:val="32"/>
          <w14:textFill>
            <w14:solidFill>
              <w14:schemeClr w14:val="tx1"/>
            </w14:solidFill>
          </w14:textFill>
        </w:rPr>
        <w:t>深入推进，社会就业规模不断扩大，公民素质和社会文明程度达到新高度，基本建成文化强县、教育强县和健康盐池，人民生活水平和质量普遍提高，共同富裕取得新成效。</w:t>
      </w:r>
    </w:p>
    <w:p>
      <w:pPr>
        <w:spacing w:line="580" w:lineRule="exact"/>
        <w:ind w:firstLine="643" w:firstLineChars="200"/>
        <w:rPr>
          <w:rFonts w:ascii="Times New Roman" w:hAnsi="Times New Roman" w:eastAsia="仿宋_GB2312" w:cs="Times New Roman"/>
          <w:b/>
          <w:bCs/>
          <w:color w:val="000000" w:themeColor="text1"/>
          <w:kern w:val="0"/>
          <w:sz w:val="32"/>
          <w:szCs w:val="28"/>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2. “十四五”时期主要发展目标</w:t>
      </w:r>
    </w:p>
    <w:p>
      <w:pPr>
        <w:spacing w:line="580" w:lineRule="exact"/>
        <w:ind w:firstLine="640" w:firstLineChars="200"/>
        <w:rPr>
          <w:rFonts w:ascii="Times New Roman" w:hAnsi="Times New Roman" w:eastAsia="仿宋_GB2312" w:cs="Times New Roman"/>
          <w:color w:val="000000" w:themeColor="text1"/>
          <w:kern w:val="0"/>
          <w:sz w:val="32"/>
          <w:szCs w:val="28"/>
          <w14:textFill>
            <w14:solidFill>
              <w14:schemeClr w14:val="tx1"/>
            </w14:solidFill>
          </w14:textFill>
        </w:rPr>
      </w:pPr>
      <w:r>
        <w:rPr>
          <w:rFonts w:hint="eastAsia" w:ascii="Times New Roman" w:hAnsi="Times New Roman" w:eastAsia="仿宋_GB2312" w:cs="Times New Roman"/>
          <w:color w:val="000000" w:themeColor="text1"/>
          <w:kern w:val="0"/>
          <w:sz w:val="32"/>
          <w:szCs w:val="28"/>
          <w14:textFill>
            <w14:solidFill>
              <w14:schemeClr w14:val="tx1"/>
            </w14:solidFill>
          </w14:textFill>
        </w:rPr>
        <w:t>锚定</w:t>
      </w:r>
      <w:r>
        <w:rPr>
          <w:rFonts w:ascii="Times New Roman" w:hAnsi="Times New Roman" w:eastAsia="仿宋_GB2312" w:cs="Times New Roman"/>
          <w:color w:val="000000" w:themeColor="text1"/>
          <w:kern w:val="0"/>
          <w:sz w:val="32"/>
          <w:szCs w:val="28"/>
          <w14:textFill>
            <w14:solidFill>
              <w14:schemeClr w14:val="tx1"/>
            </w14:solidFill>
          </w14:textFill>
        </w:rPr>
        <w:t>2035年远景目标，立足</w:t>
      </w:r>
      <w:r>
        <w:rPr>
          <w:rFonts w:hint="eastAsia" w:ascii="Times New Roman" w:hAnsi="Times New Roman" w:eastAsia="仿宋_GB2312" w:cs="Times New Roman"/>
          <w:color w:val="000000" w:themeColor="text1"/>
          <w:kern w:val="0"/>
          <w:sz w:val="32"/>
          <w:szCs w:val="28"/>
          <w14:textFill>
            <w14:solidFill>
              <w14:schemeClr w14:val="tx1"/>
            </w14:solidFill>
          </w14:textFill>
        </w:rPr>
        <w:t>盐池</w:t>
      </w:r>
      <w:r>
        <w:rPr>
          <w:rFonts w:ascii="Times New Roman" w:hAnsi="Times New Roman" w:eastAsia="仿宋_GB2312" w:cs="Times New Roman"/>
          <w:color w:val="000000" w:themeColor="text1"/>
          <w:kern w:val="0"/>
          <w:sz w:val="32"/>
          <w:szCs w:val="28"/>
          <w14:textFill>
            <w14:solidFill>
              <w14:schemeClr w14:val="tx1"/>
            </w14:solidFill>
          </w14:textFill>
        </w:rPr>
        <w:t>县情实际</w:t>
      </w:r>
      <w:r>
        <w:rPr>
          <w:rFonts w:hint="eastAsia" w:ascii="Times New Roman" w:hAnsi="Times New Roman" w:eastAsia="仿宋_GB2312" w:cs="Times New Roman"/>
          <w:color w:val="000000" w:themeColor="text1"/>
          <w:kern w:val="0"/>
          <w:sz w:val="32"/>
          <w:szCs w:val="28"/>
          <w14:textFill>
            <w14:solidFill>
              <w14:schemeClr w14:val="tx1"/>
            </w14:solidFill>
          </w14:textFill>
        </w:rPr>
        <w:t>，对标</w:t>
      </w:r>
      <w:r>
        <w:rPr>
          <w:rFonts w:ascii="Times New Roman" w:hAnsi="Times New Roman" w:eastAsia="仿宋_GB2312" w:cs="Times New Roman"/>
          <w:color w:val="000000" w:themeColor="text1"/>
          <w:kern w:val="0"/>
          <w:sz w:val="32"/>
          <w:szCs w:val="28"/>
          <w14:textFill>
            <w14:solidFill>
              <w14:schemeClr w14:val="tx1"/>
            </w14:solidFill>
          </w14:textFill>
        </w:rPr>
        <w:t>区市目标任务，坚持目标导向和问题导向相结合，坚持守正和创新相统一，统筹兼顾经济增长速度合理和质量提升目标，确定“十四五”时期主要目标和指标（表2）：</w:t>
      </w:r>
    </w:p>
    <w:p>
      <w:pPr>
        <w:snapToGrid w:val="0"/>
        <w:spacing w:line="580" w:lineRule="exact"/>
        <w:ind w:firstLine="646"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综合实力显著提高。</w:t>
      </w:r>
      <w:r>
        <w:rPr>
          <w:rFonts w:ascii="Times New Roman" w:hAnsi="Times New Roman" w:eastAsia="仿宋_GB2312" w:cs="Times New Roman"/>
          <w:color w:val="000000" w:themeColor="text1"/>
          <w:sz w:val="32"/>
          <w:szCs w:val="32"/>
          <w14:textFill>
            <w14:solidFill>
              <w14:schemeClr w14:val="tx1"/>
            </w14:solidFill>
          </w14:textFill>
        </w:rPr>
        <w:t>经济保持量的合理增长和质的稳步提升。到“十四五”末，全县地区生产总值年均增速高于全市平均水平1.5个百分点、高于全区平均水平2个百分点，人均GDP与全国平均水平保持一致；城乡居民收入年均增速高于全区平均水平；县级一般公共预算收入年均增速与全区持平。创新能力明显增强，R&amp;D投入强度达到2%以上，经济结构不断优化，农业现代化取得明显进</w:t>
      </w:r>
      <w:r>
        <w:rPr>
          <w:rFonts w:ascii="Times New Roman" w:hAnsi="Times New Roman" w:eastAsia="仿宋_GB2312" w:cs="Times New Roman"/>
          <w:color w:val="000000" w:themeColor="text1"/>
          <w:spacing w:val="-6"/>
          <w:sz w:val="32"/>
          <w:szCs w:val="32"/>
          <w14:textFill>
            <w14:solidFill>
              <w14:schemeClr w14:val="tx1"/>
            </w14:solidFill>
          </w14:textFill>
        </w:rPr>
        <w:t>展，工业转型升级加快，服务业比重稳步上升，新产业新业态新模式逐步壮大，产业发展水平显著提高，初步构建具有地域特色和较强竞争力的现代产业体系，新型城镇化和乡村振兴协同发展取得明显成效，全县高质量发展新格局初步形成。</w:t>
      </w:r>
    </w:p>
    <w:p>
      <w:pPr>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w:t>
      </w:r>
      <w:r>
        <w:rPr>
          <w:rFonts w:ascii="Times New Roman" w:hAnsi="Times New Roman" w:eastAsia="仿宋_GB2312" w:cs="Times New Roman"/>
          <w:b/>
          <w:bCs/>
          <w:color w:val="000000" w:themeColor="text1"/>
          <w:spacing w:val="-6"/>
          <w:sz w:val="32"/>
          <w:szCs w:val="32"/>
          <w14:textFill>
            <w14:solidFill>
              <w14:schemeClr w14:val="tx1"/>
            </w14:solidFill>
          </w14:textFill>
        </w:rPr>
        <w:t>革开放成效显著提高。</w:t>
      </w:r>
      <w:r>
        <w:rPr>
          <w:rFonts w:ascii="Times New Roman" w:hAnsi="Times New Roman" w:eastAsia="仿宋_GB2312" w:cs="Times New Roman"/>
          <w:color w:val="000000" w:themeColor="text1"/>
          <w:spacing w:val="-6"/>
          <w:sz w:val="32"/>
          <w:szCs w:val="32"/>
          <w14:textFill>
            <w14:solidFill>
              <w14:schemeClr w14:val="tx1"/>
            </w14:solidFill>
          </w14:textFill>
        </w:rPr>
        <w:t>到“十四五”末，建成宁陕甘蒙省际区域性综合交通枢纽，辐射宁陕甘蒙资源要素集聚中心和高水平对外开放平台基本建成，宁夏东部对外开放桥头堡作用得到充分发挥，承接产业转移能力不断提升，货物进出口总额稳步增长。</w:t>
      </w:r>
    </w:p>
    <w:p>
      <w:pPr>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社会文明程度显著提高。</w:t>
      </w:r>
      <w:r>
        <w:rPr>
          <w:rFonts w:ascii="Times New Roman" w:hAnsi="Times New Roman" w:eastAsia="仿宋_GB2312" w:cs="Times New Roman"/>
          <w:color w:val="000000" w:themeColor="text1"/>
          <w:sz w:val="32"/>
          <w:szCs w:val="32"/>
          <w14:textFill>
            <w14:solidFill>
              <w14:schemeClr w14:val="tx1"/>
            </w14:solidFill>
          </w14:textFill>
        </w:rPr>
        <w:t>社会主义核心价值观深入人心，全民思想道德素质、科学文化素质和身心健康素质明显提升，公共文化服务体系和文化产业体系更加健全，人民群众精神文化生活日益丰富，革命老区文化传承和创新更加广泛深入，文化自信进一步增强，全县人民共有精神家园根基更加牢固。</w:t>
      </w:r>
    </w:p>
    <w:p>
      <w:pPr>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生态环境质量显著提高。</w:t>
      </w:r>
      <w:r>
        <w:rPr>
          <w:rFonts w:ascii="Times New Roman" w:hAnsi="Times New Roman" w:eastAsia="仿宋_GB2312" w:cs="Times New Roman"/>
          <w:color w:val="000000" w:themeColor="text1"/>
          <w:sz w:val="32"/>
          <w:szCs w:val="32"/>
          <w14:textFill>
            <w14:solidFill>
              <w14:schemeClr w14:val="tx1"/>
            </w14:solidFill>
          </w14:textFill>
        </w:rPr>
        <w:t>到“十四五”末，重点生态功能区保护和修复得到</w:t>
      </w:r>
      <w:r>
        <w:rPr>
          <w:rFonts w:hint="eastAsia" w:ascii="Times New Roman" w:hAnsi="Times New Roman" w:eastAsia="仿宋_GB2312" w:cs="Times New Roman"/>
          <w:color w:val="000000" w:themeColor="text1"/>
          <w:sz w:val="32"/>
          <w:szCs w:val="32"/>
          <w14:textFill>
            <w14:solidFill>
              <w14:schemeClr w14:val="tx1"/>
            </w14:solidFill>
          </w14:textFill>
        </w:rPr>
        <w:t>显著</w:t>
      </w:r>
      <w:r>
        <w:rPr>
          <w:rFonts w:ascii="Times New Roman" w:hAnsi="Times New Roman" w:eastAsia="仿宋_GB2312" w:cs="Times New Roman"/>
          <w:color w:val="000000" w:themeColor="text1"/>
          <w:sz w:val="32"/>
          <w:szCs w:val="32"/>
          <w14:textFill>
            <w14:solidFill>
              <w14:schemeClr w14:val="tx1"/>
            </w14:solidFill>
          </w14:textFill>
        </w:rPr>
        <w:t>加强，草原生态实现根本好转，林草融合发展稳步推进，森林覆盖率、草原综合植被盖度分别达到30%、60%，资源综合利用率和废弃物处理率稳步提高，万元GDP综合能耗、水耗以及二氧化硫、化学需氧量等主要污染物排放量继续下降。</w:t>
      </w:r>
    </w:p>
    <w:p>
      <w:pPr>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民生水平显著提高。</w:t>
      </w:r>
      <w:r>
        <w:rPr>
          <w:rFonts w:ascii="Times New Roman" w:hAnsi="Times New Roman" w:eastAsia="仿宋_GB2312" w:cs="Times New Roman"/>
          <w:color w:val="000000" w:themeColor="text1"/>
          <w:sz w:val="32"/>
          <w:szCs w:val="32"/>
          <w14:textFill>
            <w14:solidFill>
              <w14:schemeClr w14:val="tx1"/>
            </w14:solidFill>
          </w14:textFill>
        </w:rPr>
        <w:t>到“十四五”末，人民生活水平和质量普遍提高，城乡居民收入差距进一步缩小，高标准实现基本公共服务均等化，社会就业规模不断扩大，实现零就业家庭动态清零。教育、医疗等</w:t>
      </w:r>
      <w:r>
        <w:rPr>
          <w:rFonts w:hint="eastAsia" w:ascii="Times New Roman" w:hAnsi="Times New Roman" w:eastAsia="仿宋_GB2312" w:cs="Times New Roman"/>
          <w:color w:val="000000" w:themeColor="text1"/>
          <w:sz w:val="32"/>
          <w:szCs w:val="32"/>
          <w14:textFill>
            <w14:solidFill>
              <w14:schemeClr w14:val="tx1"/>
            </w14:solidFill>
          </w14:textFill>
        </w:rPr>
        <w:t>公共服务</w:t>
      </w:r>
      <w:r>
        <w:rPr>
          <w:rFonts w:ascii="Times New Roman" w:hAnsi="Times New Roman" w:eastAsia="仿宋_GB2312" w:cs="Times New Roman"/>
          <w:color w:val="000000" w:themeColor="text1"/>
          <w:sz w:val="32"/>
          <w:szCs w:val="32"/>
          <w14:textFill>
            <w14:solidFill>
              <w14:schemeClr w14:val="tx1"/>
            </w14:solidFill>
          </w14:textFill>
        </w:rPr>
        <w:t>水平明显改善，教育现代化进程位居全区前列，社会保障待遇水平明显提升，脱贫攻坚成果不断巩固、深入拓展，乡村振兴战略全面推进。</w:t>
      </w:r>
    </w:p>
    <w:p>
      <w:pPr>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28"/>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治理效能显著提高。</w:t>
      </w:r>
      <w:r>
        <w:rPr>
          <w:rFonts w:ascii="Times New Roman" w:hAnsi="Times New Roman" w:eastAsia="仿宋_GB2312" w:cs="Times New Roman"/>
          <w:color w:val="000000" w:themeColor="text1"/>
          <w:sz w:val="32"/>
          <w:szCs w:val="32"/>
          <w14:textFill>
            <w14:solidFill>
              <w14:schemeClr w14:val="tx1"/>
            </w14:solidFill>
          </w14:textFill>
        </w:rPr>
        <w:t>社会主义民主法治实践更加广泛深入，法治社会、法治盐池、法治政府建设水平显著提升，行政执行力、司法公信力持续增强，全国市域社会治理现代化试点工作取得明显成效，平安盐池深入推进，基层基础更加稳固，重大风险防范化解能力、突发事件应急处置能力、自然灾害防御能力明显增强，民族团结、社会安定的局面更加牢固，发展安全保障更加有力。</w:t>
      </w:r>
    </w:p>
    <w:p>
      <w:pPr>
        <w:snapToGrid w:val="0"/>
        <w:spacing w:line="420" w:lineRule="exact"/>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表2 “十四五”规划主要指标</w:t>
      </w:r>
    </w:p>
    <w:tbl>
      <w:tblPr>
        <w:tblStyle w:val="23"/>
        <w:tblW w:w="9524" w:type="dxa"/>
        <w:tblInd w:w="93" w:type="dxa"/>
        <w:tblLayout w:type="fixed"/>
        <w:tblCellMar>
          <w:top w:w="0" w:type="dxa"/>
          <w:left w:w="108" w:type="dxa"/>
          <w:bottom w:w="0" w:type="dxa"/>
          <w:right w:w="108" w:type="dxa"/>
        </w:tblCellMar>
      </w:tblPr>
      <w:tblGrid>
        <w:gridCol w:w="1080"/>
        <w:gridCol w:w="3000"/>
        <w:gridCol w:w="1079"/>
        <w:gridCol w:w="1080"/>
        <w:gridCol w:w="2205"/>
        <w:gridCol w:w="1080"/>
      </w:tblGrid>
      <w:tr>
        <w:tblPrEx>
          <w:tblCellMar>
            <w:top w:w="0" w:type="dxa"/>
            <w:left w:w="108" w:type="dxa"/>
            <w:bottom w:w="0" w:type="dxa"/>
            <w:right w:w="108" w:type="dxa"/>
          </w:tblCellMar>
        </w:tblPrEx>
        <w:trPr>
          <w:trHeight w:val="500" w:hRule="atLeast"/>
        </w:trPr>
        <w:tc>
          <w:tcPr>
            <w:tcW w:w="952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kern w:val="0"/>
                <w:sz w:val="28"/>
                <w:szCs w:val="28"/>
                <w:lang w:bidi="ar"/>
                <w14:textFill>
                  <w14:solidFill>
                    <w14:schemeClr w14:val="tx1"/>
                  </w14:solidFill>
                </w14:textFill>
              </w:rPr>
              <w:t>专栏</w:t>
            </w:r>
            <w:r>
              <w:rPr>
                <w:rStyle w:val="58"/>
                <w:rFonts w:eastAsia="宋体"/>
                <w:color w:val="000000" w:themeColor="text1"/>
                <w:lang w:bidi="ar"/>
                <w14:textFill>
                  <w14:solidFill>
                    <w14:schemeClr w14:val="tx1"/>
                  </w14:solidFill>
                </w14:textFill>
              </w:rPr>
              <w:t>1  “</w:t>
            </w:r>
            <w:r>
              <w:rPr>
                <w:rFonts w:hint="eastAsia" w:ascii="宋体" w:hAnsi="宋体" w:eastAsia="宋体"/>
                <w:color w:val="000000" w:themeColor="text1"/>
                <w:kern w:val="0"/>
                <w:sz w:val="28"/>
                <w:szCs w:val="28"/>
                <w:lang w:bidi="ar"/>
                <w14:textFill>
                  <w14:solidFill>
                    <w14:schemeClr w14:val="tx1"/>
                  </w14:solidFill>
                </w14:textFill>
              </w:rPr>
              <w:t>十四五</w:t>
            </w:r>
            <w:r>
              <w:rPr>
                <w:rStyle w:val="58"/>
                <w:rFonts w:eastAsia="宋体"/>
                <w:color w:val="000000" w:themeColor="text1"/>
                <w:lang w:bidi="ar"/>
                <w14:textFill>
                  <w14:solidFill>
                    <w14:schemeClr w14:val="tx1"/>
                  </w14:solidFill>
                </w14:textFill>
              </w:rPr>
              <w:t>”</w:t>
            </w:r>
            <w:r>
              <w:rPr>
                <w:rStyle w:val="59"/>
                <w:color w:val="000000" w:themeColor="text1"/>
                <w:lang w:bidi="ar"/>
                <w14:textFill>
                  <w14:solidFill>
                    <w14:schemeClr w14:val="tx1"/>
                  </w14:solidFill>
                </w14:textFill>
              </w:rPr>
              <w:t>时期经济社会发展主要指标</w:t>
            </w:r>
          </w:p>
        </w:tc>
      </w:tr>
      <w:tr>
        <w:tblPrEx>
          <w:tblCellMar>
            <w:top w:w="0" w:type="dxa"/>
            <w:left w:w="108" w:type="dxa"/>
            <w:bottom w:w="0" w:type="dxa"/>
            <w:right w:w="108" w:type="dxa"/>
          </w:tblCellMar>
        </w:tblPrEx>
        <w:trPr>
          <w:trHeight w:val="30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类别</w:t>
            </w:r>
          </w:p>
        </w:tc>
        <w:tc>
          <w:tcPr>
            <w:tcW w:w="3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指标</w:t>
            </w:r>
          </w:p>
        </w:tc>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2020</w:t>
            </w:r>
            <w:r>
              <w:rPr>
                <w:rStyle w:val="60"/>
                <w:rFonts w:hint="default"/>
                <w:color w:val="000000" w:themeColor="text1"/>
                <w:lang w:bidi="ar"/>
                <w14:textFill>
                  <w14:solidFill>
                    <w14:schemeClr w14:val="tx1"/>
                  </w14:solidFill>
                </w14:textFill>
              </w:rPr>
              <w:t>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2025</w:t>
            </w:r>
            <w:r>
              <w:rPr>
                <w:rStyle w:val="60"/>
                <w:rFonts w:hint="default"/>
                <w:color w:val="000000" w:themeColor="text1"/>
                <w:lang w:bidi="ar"/>
                <w14:textFill>
                  <w14:solidFill>
                    <w14:schemeClr w14:val="tx1"/>
                  </w14:solidFill>
                </w14:textFill>
              </w:rPr>
              <w:t>年</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年均增速</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属性</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［累计］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54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经济发展</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w:t>
            </w:r>
            <w:r>
              <w:rPr>
                <w:rStyle w:val="60"/>
                <w:rFonts w:hint="default"/>
                <w:color w:val="000000" w:themeColor="text1"/>
                <w:lang w:bidi="ar"/>
                <w14:textFill>
                  <w14:solidFill>
                    <w14:schemeClr w14:val="tx1"/>
                  </w14:solidFill>
                </w14:textFill>
              </w:rPr>
              <w:t>地区生产总值增长（</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8</w:t>
            </w:r>
            <w:r>
              <w:rPr>
                <w:rStyle w:val="60"/>
                <w:rFonts w:hint="default"/>
                <w:color w:val="000000" w:themeColor="text1"/>
                <w:lang w:bidi="ar"/>
                <w14:textFill>
                  <w14:solidFill>
                    <w14:schemeClr w14:val="tx1"/>
                  </w14:solidFill>
                </w14:textFill>
              </w:rPr>
              <w:t>左右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3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w:t>
            </w:r>
            <w:r>
              <w:rPr>
                <w:rStyle w:val="60"/>
                <w:rFonts w:hint="default"/>
                <w:color w:val="000000" w:themeColor="text1"/>
                <w:lang w:bidi="ar"/>
                <w14:textFill>
                  <w14:solidFill>
                    <w14:schemeClr w14:val="tx1"/>
                  </w14:solidFill>
                </w14:textFill>
              </w:rPr>
              <w:t>全员劳动生产率增长（</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Style w:val="60"/>
                <w:rFonts w:hint="default"/>
                <w:color w:val="000000" w:themeColor="text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38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3.</w:t>
            </w:r>
            <w:r>
              <w:rPr>
                <w:rStyle w:val="60"/>
                <w:rFonts w:hint="default"/>
                <w:color w:val="000000" w:themeColor="text1"/>
                <w:lang w:bidi="ar"/>
                <w14:textFill>
                  <w14:solidFill>
                    <w14:schemeClr w14:val="tx1"/>
                  </w14:solidFill>
                </w14:textFill>
              </w:rPr>
              <w:t>常住人口城镇化率（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60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创新驱动</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4.</w:t>
            </w:r>
            <w:r>
              <w:rPr>
                <w:rStyle w:val="60"/>
                <w:rFonts w:hint="default"/>
                <w:color w:val="000000" w:themeColor="text1"/>
                <w:lang w:bidi="ar"/>
                <w14:textFill>
                  <w14:solidFill>
                    <w14:schemeClr w14:val="tx1"/>
                  </w14:solidFill>
                </w14:textFill>
              </w:rPr>
              <w:t>全社会研发支出占</w:t>
            </w:r>
            <w:r>
              <w:rPr>
                <w:rFonts w:ascii="Times New Roman" w:hAnsi="Times New Roman" w:eastAsia="宋体" w:cs="Times New Roman"/>
                <w:color w:val="000000" w:themeColor="text1"/>
                <w:kern w:val="0"/>
                <w:szCs w:val="21"/>
                <w:lang w:bidi="ar"/>
                <w14:textFill>
                  <w14:solidFill>
                    <w14:schemeClr w14:val="tx1"/>
                  </w14:solidFill>
                </w14:textFill>
              </w:rPr>
              <w:t>GDP</w:t>
            </w:r>
            <w:r>
              <w:rPr>
                <w:rStyle w:val="60"/>
                <w:rFonts w:hint="default"/>
                <w:color w:val="000000" w:themeColor="text1"/>
                <w:lang w:bidi="ar"/>
                <w14:textFill>
                  <w14:solidFill>
                    <w14:schemeClr w14:val="tx1"/>
                  </w14:solidFill>
                </w14:textFill>
              </w:rPr>
              <w:t>比重</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w:t>
            </w:r>
            <w:r>
              <w:rPr>
                <w:rStyle w:val="60"/>
                <w:rFonts w:hint="default"/>
                <w:color w:val="000000" w:themeColor="text1"/>
                <w:lang w:bidi="ar"/>
                <w14:textFill>
                  <w14:solidFill>
                    <w14:schemeClr w14:val="tx1"/>
                  </w14:solidFill>
                </w14:textFill>
              </w:rPr>
              <w:t>每万人口（高价值）发明专利拥有量（件）</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3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完成区市下达目标任务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6.</w:t>
            </w:r>
            <w:r>
              <w:rPr>
                <w:rStyle w:val="60"/>
                <w:rFonts w:hint="default"/>
                <w:color w:val="000000" w:themeColor="text1"/>
                <w:lang w:bidi="ar"/>
                <w14:textFill>
                  <w14:solidFill>
                    <w14:schemeClr w14:val="tx1"/>
                  </w14:solidFill>
                </w14:textFill>
              </w:rPr>
              <w:t>战略性新兴产业增加值占地区生产总值比重（</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＞9</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2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7.农村居民人均可支配收入（元）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13922.1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22500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w:t>
            </w:r>
            <w:r>
              <w:rPr>
                <w:rStyle w:val="61"/>
                <w:rFonts w:hAnsi="Times New Roman"/>
                <w:color w:val="000000" w:themeColor="text1"/>
                <w:lang w:bidi="ar"/>
                <w14:textFill>
                  <w14:solidFill>
                    <w14:schemeClr w14:val="tx1"/>
                  </w14:solidFill>
                </w14:textFill>
              </w:rPr>
              <w:t>左右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8.城镇居民人均可支配收入（元）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29830.9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42200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w:t>
            </w:r>
            <w:r>
              <w:rPr>
                <w:rStyle w:val="61"/>
                <w:rFonts w:hAnsi="Times New Roman"/>
                <w:color w:val="000000" w:themeColor="text1"/>
                <w:lang w:bidi="ar"/>
                <w14:textFill>
                  <w14:solidFill>
                    <w14:schemeClr w14:val="tx1"/>
                  </w14:solidFill>
                </w14:textFill>
              </w:rPr>
              <w:t>左右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40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w:t>
            </w:r>
            <w:r>
              <w:rPr>
                <w:rStyle w:val="60"/>
                <w:rFonts w:hint="default"/>
                <w:color w:val="000000" w:themeColor="text1"/>
                <w:lang w:bidi="ar"/>
                <w14:textFill>
                  <w14:solidFill>
                    <w14:schemeClr w14:val="tx1"/>
                  </w14:solidFill>
                </w14:textFill>
              </w:rPr>
              <w:t>城镇调查失业率（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w:t>
            </w:r>
            <w:r>
              <w:rPr>
                <w:rStyle w:val="60"/>
                <w:rFonts w:hint="default"/>
                <w:color w:val="000000" w:themeColor="text1"/>
                <w:lang w:bidi="ar"/>
                <w14:textFill>
                  <w14:solidFill>
                    <w14:schemeClr w14:val="tx1"/>
                  </w14:solidFill>
                </w14:textFill>
              </w:rPr>
              <w:t>劳动年龄人口平均受教育年限（年）</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11.3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2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11.</w:t>
            </w:r>
            <w:r>
              <w:rPr>
                <w:rStyle w:val="60"/>
                <w:rFonts w:hint="default"/>
                <w:color w:val="000000" w:themeColor="text1"/>
                <w:lang w:bidi="ar"/>
                <w14:textFill>
                  <w14:solidFill>
                    <w14:schemeClr w14:val="tx1"/>
                  </w14:solidFill>
                </w14:textFill>
              </w:rPr>
              <w:t>每千人口拥有执业（助理）医师数（人）</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2.8</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12.</w:t>
            </w:r>
            <w:r>
              <w:rPr>
                <w:rStyle w:val="60"/>
                <w:rFonts w:hint="default"/>
                <w:color w:val="000000" w:themeColor="text1"/>
                <w:lang w:bidi="ar"/>
                <w14:textFill>
                  <w14:solidFill>
                    <w14:schemeClr w14:val="tx1"/>
                  </w14:solidFill>
                </w14:textFill>
              </w:rPr>
              <w:t>基本养老保险参保率（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98</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w:t>
            </w:r>
            <w:r>
              <w:rPr>
                <w:rStyle w:val="60"/>
                <w:rFonts w:hint="default"/>
                <w:color w:val="000000" w:themeColor="text1"/>
                <w:lang w:bidi="ar"/>
                <w14:textFill>
                  <w14:solidFill>
                    <w14:schemeClr w14:val="tx1"/>
                  </w14:solidFill>
                </w14:textFill>
              </w:rPr>
              <w:t>每千人口拥有</w:t>
            </w:r>
            <w:r>
              <w:rPr>
                <w:rFonts w:ascii="Times New Roman" w:hAnsi="Times New Roman" w:eastAsia="宋体" w:cs="Times New Roman"/>
                <w:color w:val="000000" w:themeColor="text1"/>
                <w:kern w:val="0"/>
                <w:szCs w:val="21"/>
                <w:lang w:bidi="ar"/>
                <w14:textFill>
                  <w14:solidFill>
                    <w14:schemeClr w14:val="tx1"/>
                  </w14:solidFill>
                </w14:textFill>
              </w:rPr>
              <w:t>3</w:t>
            </w:r>
            <w:r>
              <w:rPr>
                <w:rStyle w:val="60"/>
                <w:rFonts w:hint="default"/>
                <w:color w:val="000000" w:themeColor="text1"/>
                <w:lang w:bidi="ar"/>
                <w14:textFill>
                  <w14:solidFill>
                    <w14:schemeClr w14:val="tx1"/>
                  </w14:solidFill>
                </w14:textFill>
              </w:rPr>
              <w:t>岁以下婴幼儿托位数（个）</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14.</w:t>
            </w:r>
            <w:r>
              <w:rPr>
                <w:rStyle w:val="60"/>
                <w:rFonts w:hint="default"/>
                <w:color w:val="000000" w:themeColor="text1"/>
                <w:lang w:bidi="ar"/>
                <w14:textFill>
                  <w14:solidFill>
                    <w14:schemeClr w14:val="tx1"/>
                  </w14:solidFill>
                </w14:textFill>
              </w:rPr>
              <w:t>人均预期寿命（岁）</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77</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绿色生态</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r>
              <w:rPr>
                <w:rStyle w:val="60"/>
                <w:rFonts w:hint="default"/>
                <w:color w:val="000000" w:themeColor="text1"/>
                <w:lang w:bidi="ar"/>
                <w14:textFill>
                  <w14:solidFill>
                    <w14:schemeClr w14:val="tx1"/>
                  </w14:solidFill>
                </w14:textFill>
              </w:rPr>
              <w:t>非化石能源占能源消费总量比重（</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3.8</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16.</w:t>
            </w:r>
            <w:r>
              <w:rPr>
                <w:rStyle w:val="60"/>
                <w:rFonts w:hint="default"/>
                <w:color w:val="000000" w:themeColor="text1"/>
                <w:lang w:bidi="ar"/>
                <w14:textFill>
                  <w14:solidFill>
                    <w14:schemeClr w14:val="tx1"/>
                  </w14:solidFill>
                </w14:textFill>
              </w:rPr>
              <w:t>单位地区生产总值能源消耗降低（</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3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完成区市下达目标任务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17.</w:t>
            </w:r>
            <w:r>
              <w:rPr>
                <w:rStyle w:val="60"/>
                <w:rFonts w:hint="default"/>
                <w:color w:val="000000" w:themeColor="text1"/>
                <w:lang w:bidi="ar"/>
                <w14:textFill>
                  <w14:solidFill>
                    <w14:schemeClr w14:val="tx1"/>
                  </w14:solidFill>
                </w14:textFill>
              </w:rPr>
              <w:t>单位地区生产总值二氧化碳排放降低（</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3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完成区市下达目标任务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w:t>
            </w:r>
            <w:r>
              <w:rPr>
                <w:rStyle w:val="60"/>
                <w:rFonts w:hint="default"/>
                <w:color w:val="000000" w:themeColor="text1"/>
                <w:lang w:bidi="ar"/>
                <w14:textFill>
                  <w14:solidFill>
                    <w14:schemeClr w14:val="tx1"/>
                  </w14:solidFill>
                </w14:textFill>
              </w:rPr>
              <w:t>单位地区生产总值用水量降低（</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Style w:val="60"/>
                <w:rFonts w:hint="default"/>
                <w:color w:val="000000" w:themeColor="text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15</w:t>
            </w:r>
            <w:r>
              <w:rPr>
                <w:rStyle w:val="60"/>
                <w:rFonts w:hint="default"/>
                <w:color w:val="000000" w:themeColor="text1"/>
                <w:lang w:bidi="ar"/>
                <w14:textFill>
                  <w14:solidFill>
                    <w14:schemeClr w14:val="tx1"/>
                  </w14:solidFill>
                </w14:textFill>
              </w:rPr>
              <w:t>］</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19.</w:t>
            </w:r>
            <w:r>
              <w:rPr>
                <w:rStyle w:val="60"/>
                <w:rFonts w:hint="default"/>
                <w:color w:val="000000" w:themeColor="text1"/>
                <w:lang w:bidi="ar"/>
                <w14:textFill>
                  <w14:solidFill>
                    <w14:schemeClr w14:val="tx1"/>
                  </w14:solidFill>
                </w14:textFill>
              </w:rPr>
              <w:t>城市空气质量优良天数比率（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90</w:t>
            </w:r>
          </w:p>
        </w:tc>
        <w:tc>
          <w:tcPr>
            <w:tcW w:w="3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完成区市下达目标任务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w:t>
            </w:r>
            <w:r>
              <w:rPr>
                <w:rStyle w:val="60"/>
                <w:rFonts w:hint="default"/>
                <w:color w:val="000000" w:themeColor="text1"/>
                <w:lang w:bidi="ar"/>
                <w14:textFill>
                  <w14:solidFill>
                    <w14:schemeClr w14:val="tx1"/>
                  </w14:solidFill>
                </w14:textFill>
              </w:rPr>
              <w:t>地表水国考断面达到或好于Ⅲ类水体比例（</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3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完成自治区下达目标任务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21.</w:t>
            </w:r>
            <w:r>
              <w:rPr>
                <w:rStyle w:val="60"/>
                <w:rFonts w:hint="default"/>
                <w:color w:val="000000" w:themeColor="text1"/>
                <w:lang w:bidi="ar"/>
                <w14:textFill>
                  <w14:solidFill>
                    <w14:schemeClr w14:val="tx1"/>
                  </w14:solidFill>
                </w14:textFill>
              </w:rPr>
              <w:t>森林覆盖率（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27.32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30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22.</w:t>
            </w:r>
            <w:r>
              <w:rPr>
                <w:rStyle w:val="60"/>
                <w:rFonts w:hint="default"/>
                <w:color w:val="000000" w:themeColor="text1"/>
                <w:lang w:bidi="ar"/>
                <w14:textFill>
                  <w14:solidFill>
                    <w14:schemeClr w14:val="tx1"/>
                  </w14:solidFill>
                </w14:textFill>
              </w:rPr>
              <w:t>湿地保护率（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58</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23.</w:t>
            </w:r>
            <w:r>
              <w:rPr>
                <w:rStyle w:val="60"/>
                <w:rFonts w:hint="default"/>
                <w:color w:val="000000" w:themeColor="text1"/>
                <w:lang w:bidi="ar"/>
                <w14:textFill>
                  <w14:solidFill>
                    <w14:schemeClr w14:val="tx1"/>
                  </w14:solidFill>
                </w14:textFill>
              </w:rPr>
              <w:t>水土保持率（</w:t>
            </w:r>
            <w:r>
              <w:rPr>
                <w:rFonts w:ascii="Times New Roman" w:hAnsi="Times New Roman" w:eastAsia="宋体" w:cs="Times New Roman"/>
                <w:color w:val="000000" w:themeColor="text1"/>
                <w:kern w:val="0"/>
                <w:szCs w:val="21"/>
                <w:lang w:bidi="ar"/>
                <w14:textFill>
                  <w14:solidFill>
                    <w14:schemeClr w14:val="tx1"/>
                  </w14:solidFill>
                </w14:textFill>
              </w:rPr>
              <w:t>%</w:t>
            </w:r>
            <w:r>
              <w:rPr>
                <w:rStyle w:val="60"/>
                <w:rFonts w:hint="default"/>
                <w:color w:val="000000" w:themeColor="text1"/>
                <w:lang w:bidi="ar"/>
                <w14:textFill>
                  <w14:solidFill>
                    <w14:schemeClr w14:val="tx1"/>
                  </w14:solidFill>
                </w14:textFill>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预期性</w:t>
            </w:r>
          </w:p>
        </w:tc>
      </w:tr>
      <w:tr>
        <w:tblPrEx>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安全保障</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24.</w:t>
            </w:r>
            <w:r>
              <w:rPr>
                <w:rStyle w:val="60"/>
                <w:rFonts w:hint="default"/>
                <w:color w:val="000000" w:themeColor="text1"/>
                <w:lang w:bidi="ar"/>
                <w14:textFill>
                  <w14:solidFill>
                    <w14:schemeClr w14:val="tx1"/>
                  </w14:solidFill>
                </w14:textFill>
              </w:rPr>
              <w:t>粮食综合生产能力（万吨）</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13.5</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52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olor w:val="000000" w:themeColor="text1"/>
                <w:szCs w:val="21"/>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25.</w:t>
            </w:r>
            <w:r>
              <w:rPr>
                <w:rStyle w:val="60"/>
                <w:rFonts w:hint="default"/>
                <w:color w:val="000000" w:themeColor="text1"/>
                <w:lang w:bidi="ar"/>
                <w14:textFill>
                  <w14:solidFill>
                    <w14:schemeClr w14:val="tx1"/>
                  </w14:solidFill>
                </w14:textFill>
              </w:rPr>
              <w:t>能源综合生产能力（万吨标准煤）</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541.3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1000</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约束性</w:t>
            </w:r>
          </w:p>
        </w:tc>
      </w:tr>
      <w:tr>
        <w:tblPrEx>
          <w:tblCellMar>
            <w:top w:w="0" w:type="dxa"/>
            <w:left w:w="108" w:type="dxa"/>
            <w:bottom w:w="0" w:type="dxa"/>
            <w:right w:w="108" w:type="dxa"/>
          </w:tblCellMar>
        </w:tblPrEx>
        <w:trPr>
          <w:trHeight w:val="70" w:hRule="atLeast"/>
        </w:trPr>
        <w:tc>
          <w:tcPr>
            <w:tcW w:w="9524" w:type="dxa"/>
            <w:gridSpan w:val="6"/>
            <w:tcBorders>
              <w:top w:val="nil"/>
              <w:left w:val="nil"/>
              <w:bottom w:val="nil"/>
              <w:right w:val="nil"/>
            </w:tcBorders>
            <w:shd w:val="clear" w:color="auto" w:fill="auto"/>
            <w:vAlign w:val="center"/>
          </w:tcPr>
          <w:p>
            <w:pPr>
              <w:widowControl/>
              <w:jc w:val="left"/>
              <w:textAlignment w:val="cente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kern w:val="0"/>
                <w:szCs w:val="21"/>
                <w:lang w:bidi="ar"/>
                <w14:textFill>
                  <w14:solidFill>
                    <w14:schemeClr w14:val="tx1"/>
                  </w14:solidFill>
                </w14:textFill>
              </w:rPr>
              <w:t>注：①［ ］内为5年累计数。②能源综合生产能力指煤炭、石油、天然气、非化石能源生产能力之和。</w:t>
            </w:r>
          </w:p>
        </w:tc>
      </w:tr>
    </w:tbl>
    <w:p>
      <w:pPr>
        <w:tabs>
          <w:tab w:val="left" w:pos="7230"/>
        </w:tabs>
        <w:rPr>
          <w:color w:val="000000" w:themeColor="text1"/>
          <w14:textFill>
            <w14:solidFill>
              <w14:schemeClr w14:val="tx1"/>
            </w14:solidFill>
          </w14:textFill>
        </w:rPr>
        <w:sectPr>
          <w:footerReference r:id="rId7" w:type="default"/>
          <w:pgSz w:w="11906" w:h="16838"/>
          <w:pgMar w:top="1417" w:right="1474" w:bottom="1417" w:left="1588" w:header="851" w:footer="1134" w:gutter="0"/>
          <w:cols w:space="0" w:num="1"/>
          <w:docGrid w:linePitch="312" w:charSpace="0"/>
        </w:sectPr>
      </w:pPr>
    </w:p>
    <w:p>
      <w:pPr>
        <w:spacing w:line="600" w:lineRule="exact"/>
        <w:jc w:val="center"/>
        <w:outlineLvl w:val="0"/>
        <w:rPr>
          <w:rFonts w:ascii="Times New Roman" w:hAnsi="Times New Roman" w:eastAsia="黑体" w:cs="Times New Roman"/>
          <w:color w:val="000000" w:themeColor="text1"/>
          <w:sz w:val="36"/>
          <w:szCs w:val="36"/>
          <w14:textFill>
            <w14:solidFill>
              <w14:schemeClr w14:val="tx1"/>
            </w14:solidFill>
          </w14:textFill>
        </w:rPr>
      </w:pPr>
      <w:bookmarkStart w:id="57" w:name="_Toc24312"/>
      <w:bookmarkStart w:id="58" w:name="_Toc15049"/>
      <w:bookmarkStart w:id="59" w:name="_Toc59989501"/>
      <w:bookmarkStart w:id="60" w:name="_Toc6526"/>
      <w:r>
        <w:rPr>
          <w:rFonts w:ascii="Times New Roman" w:hAnsi="Times New Roman" w:eastAsia="黑体" w:cs="Times New Roman"/>
          <w:color w:val="000000" w:themeColor="text1"/>
          <w:sz w:val="36"/>
          <w:szCs w:val="36"/>
          <w14:textFill>
            <w14:solidFill>
              <w14:schemeClr w14:val="tx1"/>
            </w14:solidFill>
          </w14:textFill>
        </w:rPr>
        <w:t>第二章 实施创新驱动战略，培育高质量发展新动能</w:t>
      </w:r>
      <w:bookmarkEnd w:id="57"/>
      <w:bookmarkEnd w:id="58"/>
      <w:bookmarkEnd w:id="59"/>
      <w:bookmarkEnd w:id="60"/>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坚持创新是引领发展的第一动力，以科技创新、产业创新和管理创新为突破，紧抓建设沿黄科技创新改革试验区重大机遇，着力破解影响科技创新的突出问题，加快构建以企业为主体、市场为导向、产学研深度融合为支撑的科技创新体系，培育创新主体，集聚创新人才，营造创新环境，努力建成具有区域特色的自治区科技成果转移转化示范区和国家级创新实验基地，提升县域创新发展能力，培育高质量发展的新动能。</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61" w:name="_Toc26304"/>
      <w:bookmarkStart w:id="62" w:name="_Toc32157"/>
      <w:bookmarkStart w:id="63" w:name="_Toc59989502"/>
      <w:bookmarkStart w:id="64" w:name="_Toc14292"/>
      <w:r>
        <w:rPr>
          <w:rFonts w:ascii="Times New Roman" w:hAnsi="Times New Roman" w:eastAsia="楷体_GB2312" w:cs="Times New Roman"/>
          <w:b/>
          <w:bCs/>
          <w:color w:val="000000" w:themeColor="text1"/>
          <w:sz w:val="32"/>
          <w:szCs w:val="32"/>
          <w14:textFill>
            <w14:solidFill>
              <w14:schemeClr w14:val="tx1"/>
            </w14:solidFill>
          </w14:textFill>
        </w:rPr>
        <w:t>第一节 提升县域科技创新能力</w:t>
      </w:r>
      <w:bookmarkEnd w:id="61"/>
      <w:bookmarkEnd w:id="62"/>
      <w:bookmarkEnd w:id="63"/>
      <w:bookmarkEnd w:id="64"/>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65" w:name="_Toc59989503"/>
      <w:bookmarkStart w:id="66" w:name="_Toc21431"/>
      <w:bookmarkStart w:id="67" w:name="_Toc13475"/>
      <w:bookmarkStart w:id="68" w:name="_Toc52"/>
      <w:r>
        <w:rPr>
          <w:rFonts w:ascii="Times New Roman" w:hAnsi="Times New Roman" w:eastAsia="楷体_GB2312" w:cs="Times New Roman"/>
          <w:b/>
          <w:bCs/>
          <w:color w:val="000000" w:themeColor="text1"/>
          <w:sz w:val="32"/>
          <w:szCs w:val="28"/>
          <w14:textFill>
            <w14:solidFill>
              <w14:schemeClr w14:val="tx1"/>
            </w14:solidFill>
          </w14:textFill>
        </w:rPr>
        <w:t>（一）培育壮大创新型企业</w:t>
      </w:r>
      <w:bookmarkEnd w:id="65"/>
      <w:bookmarkEnd w:id="66"/>
      <w:bookmarkEnd w:id="67"/>
      <w:bookmarkEnd w:id="68"/>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着力优化配置各类创新要素资源，激发企业自主创新活力，加快构建多层次、分阶段、递进式的创新型企业培育体系。建立健全高新技术企业培育认定统计监测制度，培育区级科技创新领军企业，对列入自治区级及以上高新技术企业予以奖励。突出企业在创新驱动发展中的主体作用，引导有条件的中小企业设立研发机构或组建产业技术创新团队，开展新产品研发和现有技术集成、应用和推广等工作。围绕经济社会发展重点领域和特色优势产业，着力实施一批科技推广应用专项工程，重点推进滩羊、中药材、黄花、新能源、节能环保和资源综合利用等产业关键技术、共性技术的推广应用，鼓励企业对先进科技成果进行后续试验、开发、应用、推广。围绕煤化工、油气精细化工、石膏精深加工等主导产业，以科技领军企业为主体成立产业技术联盟，支持创新型企业和创新团队开展关键技术攻关，努力提升县域企业竞争力。提升科技研发组织管理与协调能力，助力企业掌握核心自主知识产权，推动现有规模以上工业企业升级为高新技术企业。到“十四五”期末，培育自治区级高新技术企业10家、专精特新企业40家、绿色工厂3家，企业在技术创新中的主体地位更加稳固，主导产业创新水平明显提升，中小企业创新活力竞相迸发，科技创新引领经济社会发展作用凸显。</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69" w:name="_Toc59989504"/>
      <w:bookmarkStart w:id="70" w:name="_Toc27506"/>
      <w:bookmarkStart w:id="71" w:name="_Toc18654"/>
      <w:bookmarkStart w:id="72" w:name="_Toc4311"/>
      <w:r>
        <w:rPr>
          <w:rFonts w:ascii="Times New Roman" w:hAnsi="Times New Roman" w:eastAsia="楷体_GB2312" w:cs="Times New Roman"/>
          <w:b/>
          <w:bCs/>
          <w:color w:val="000000" w:themeColor="text1"/>
          <w:sz w:val="32"/>
          <w:szCs w:val="28"/>
          <w14:textFill>
            <w14:solidFill>
              <w14:schemeClr w14:val="tx1"/>
            </w14:solidFill>
          </w14:textFill>
        </w:rPr>
        <w:t>（二）加强产学研合作与成果转化应用</w:t>
      </w:r>
      <w:bookmarkEnd w:id="69"/>
      <w:bookmarkEnd w:id="70"/>
      <w:bookmarkEnd w:id="71"/>
      <w:bookmarkEnd w:id="72"/>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按照“政府引导、专家指导、企业主导”的原则，紧紧围绕产业发展，引导企业、行业协会主动与中科院、四川大学、内蒙古大学、宁夏大学等区内外科研院校建立稳定的产学研联盟，深入开展产学研合作，提高科技研发和创新能力，加速新品种、新技术、新工艺的推广应用，解决企业发展中的重大技术难题和技术瓶颈问题。鼓励企业独立或与科研院所、高校联合设立工程技术（研究）中心、技术创新中心、农业科技专家大院和硕博士工作站，加快建设院士工作站、专家服务基地，打造滩羊产业研究院、宁夏生态草牧业技术研究院和石膏产业研究院等产业创新平台，为区域生态建设和草畜产业发展提供支撑。引导企业在东部沿海发达地区设立“飞地”研发中心、科技成果育成平台。深化与“一带一路”沿线地区和国家的科技创新合作，主动融入区域创新网络，构建开放式创新格局。通过加强东西协作、院企合作，推进自治区科技成果转移转化示范区建设，探索产学研系统推进科技成果转移转化新模式，重点围绕深燃众源BOG低温提氦、阿波罗低温试验、螺旋藻蛋白时效提取等现代产业技术，推进科技成果转移转化，鼓励企业进行二次研发，形成新产品、新工艺、新材料。</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73" w:name="_Toc13519"/>
      <w:bookmarkStart w:id="74" w:name="_Toc18872"/>
      <w:bookmarkStart w:id="75" w:name="_Toc26069"/>
      <w:bookmarkStart w:id="76" w:name="_Toc59989505"/>
      <w:r>
        <w:rPr>
          <w:rFonts w:ascii="Times New Roman" w:hAnsi="Times New Roman" w:eastAsia="楷体_GB2312" w:cs="Times New Roman"/>
          <w:b/>
          <w:bCs/>
          <w:color w:val="000000" w:themeColor="text1"/>
          <w:sz w:val="32"/>
          <w:szCs w:val="28"/>
          <w14:textFill>
            <w14:solidFill>
              <w14:schemeClr w14:val="tx1"/>
            </w14:solidFill>
          </w14:textFill>
        </w:rPr>
        <w:t>（三）完善科技创新投入机制</w:t>
      </w:r>
      <w:bookmarkEnd w:id="73"/>
      <w:bookmarkEnd w:id="74"/>
      <w:bookmarkEnd w:id="75"/>
      <w:bookmarkEnd w:id="76"/>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加大财政对科技创新的投入，建立财政科技投入稳定增长机制与多元化的科技创新投入体系，县财政科技研发投入每年增长30%。建立以企业投资为主体、社会资本广泛参与的多元化科技创新投入体系，促进各类创新要素向企业集聚，鼓励科技风险投资机构支持企业、科研单位开展研发创新活动，推动产业链上中下游、大中小企业融通创新。引导金融机构支持县域科技创新，提升县域科技资源配置和使用效率。加大创新产品和服务采购力度，鼓励采用首购、订购等方式支持县域企业发展。支持符合条件的高成长性科技企业上市，引导企业有效利用主板、中小板、创业板、新三板、区域性股权交易市场等多层次资本市场融资。到“十四五”期末，全社会R&amp;D投入达到2%以上，科技进步贡献率达到60%。</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77" w:name="_Toc4659"/>
      <w:bookmarkStart w:id="78" w:name="_Toc17818"/>
      <w:bookmarkStart w:id="79" w:name="_Toc25018"/>
      <w:bookmarkStart w:id="80" w:name="_Toc59989506"/>
      <w:r>
        <w:rPr>
          <w:rFonts w:ascii="Times New Roman" w:hAnsi="Times New Roman" w:eastAsia="楷体_GB2312" w:cs="Times New Roman"/>
          <w:b/>
          <w:bCs/>
          <w:color w:val="000000" w:themeColor="text1"/>
          <w:sz w:val="32"/>
          <w:szCs w:val="32"/>
          <w14:textFill>
            <w14:solidFill>
              <w14:schemeClr w14:val="tx1"/>
            </w14:solidFill>
          </w14:textFill>
        </w:rPr>
        <w:t>第二节 强化人才队伍建设</w:t>
      </w:r>
      <w:bookmarkEnd w:id="77"/>
      <w:bookmarkEnd w:id="78"/>
      <w:bookmarkEnd w:id="79"/>
      <w:bookmarkEnd w:id="80"/>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全面推进人才强县工程，以自治区县域创新改革试点单位和全国创新型县建设为契机，以高层次人才引进和创新团队建设为重点，通过实施“引凤还巢”和“筑巢引凤”工程，实现培养和引进人才“双轮驱动”，用好用活各类人才，强化人才服务保障，努力打造更有吸引力的县域人才高地，以人才带动创新，以创新推动经济社会高质量发展。</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81" w:name="_Toc59989507"/>
      <w:bookmarkStart w:id="82" w:name="_Toc20449"/>
      <w:bookmarkStart w:id="83" w:name="_Toc28608"/>
      <w:bookmarkStart w:id="84" w:name="_Toc3225"/>
      <w:r>
        <w:rPr>
          <w:rFonts w:ascii="Times New Roman" w:hAnsi="Times New Roman" w:eastAsia="楷体_GB2312" w:cs="Times New Roman"/>
          <w:b/>
          <w:bCs/>
          <w:color w:val="000000" w:themeColor="text1"/>
          <w:sz w:val="32"/>
          <w:szCs w:val="28"/>
          <w14:textFill>
            <w14:solidFill>
              <w14:schemeClr w14:val="tx1"/>
            </w14:solidFill>
          </w14:textFill>
        </w:rPr>
        <w:t>（一）积极引进各类紧缺专业人才</w:t>
      </w:r>
      <w:bookmarkEnd w:id="81"/>
      <w:bookmarkEnd w:id="82"/>
      <w:bookmarkEnd w:id="83"/>
      <w:bookmarkEnd w:id="84"/>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全面落实区、市人才激励政策，不断加强招才引智平台建设，打好招引、培育、平台、服务四位一体的“引、育、用、留”人才组合拳，积极引进各类专业人才。着力引进我县重点优势特色产业人才，实施主导产业和特色产业人才支持计划，重点实施油气化工、石膏精深加工、现代物流管理以及甘草、滩羊、黄花、小杂粮等品种选育、精深加工等专业技术人才和经营管理人才，以人才优先发展促进产业转型升级和提质增效，推动人才链与产业链深度融合。</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85" w:name="_Toc9177"/>
      <w:bookmarkStart w:id="86" w:name="_Toc17173"/>
      <w:bookmarkStart w:id="87" w:name="_Toc14058"/>
      <w:bookmarkStart w:id="88" w:name="_Toc59989508"/>
      <w:r>
        <w:rPr>
          <w:rFonts w:ascii="Times New Roman" w:hAnsi="Times New Roman" w:eastAsia="楷体_GB2312" w:cs="Times New Roman"/>
          <w:b/>
          <w:bCs/>
          <w:color w:val="000000" w:themeColor="text1"/>
          <w:sz w:val="32"/>
          <w:szCs w:val="28"/>
          <w14:textFill>
            <w14:solidFill>
              <w14:schemeClr w14:val="tx1"/>
            </w14:solidFill>
          </w14:textFill>
        </w:rPr>
        <w:t>（二）搭建高层次人才柔性引进平台</w:t>
      </w:r>
      <w:bookmarkEnd w:id="85"/>
      <w:bookmarkEnd w:id="86"/>
      <w:bookmarkEnd w:id="87"/>
      <w:bookmarkEnd w:id="88"/>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建立健全人才引进激励机制和灵活的人才管理机制。通过项目合作、联合攻关、委托研发和挂职兼职、特聘专家等方式，定向精准引进一批在教育、医疗等重点行业学术技术水平高、能力强、急需紧缺的高层次人才。鼓励园区、企业和事业单位建立“院士工作站”</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“专家工作站”</w:t>
      </w:r>
      <w:r>
        <w:rPr>
          <w:rFonts w:hint="eastAsia" w:ascii="Times New Roman" w:hAnsi="Times New Roman" w:eastAsia="仿宋_GB2312" w:cs="Times New Roman"/>
          <w:color w:val="000000" w:themeColor="text1"/>
          <w:sz w:val="32"/>
          <w:szCs w:val="28"/>
          <w14:textFill>
            <w14:solidFill>
              <w14:schemeClr w14:val="tx1"/>
            </w14:solidFill>
          </w14:textFill>
        </w:rPr>
        <w:t>、</w:t>
      </w:r>
      <w:r>
        <w:rPr>
          <w:rFonts w:ascii="Times New Roman" w:hAnsi="Times New Roman" w:eastAsia="仿宋_GB2312" w:cs="Times New Roman"/>
          <w:color w:val="000000" w:themeColor="text1"/>
          <w:sz w:val="32"/>
          <w:szCs w:val="28"/>
          <w14:textFill>
            <w14:solidFill>
              <w14:schemeClr w14:val="tx1"/>
            </w14:solidFill>
          </w14:textFill>
        </w:rPr>
        <w:t>“专家服务基地”等面向全国吸引高层次人才来我县开展创新研究。积极开展“知名专家投智盐池”高层次人才柔性引进活动，围绕教育教学、医疗卫生、工业园区及企事业单位的需求，与国内高校、科研院所联合共建。实施“盐池籍人才返乡创新创业计划”，引导盐池籍在外各类人才回报家乡，实现智力、技术、项目、资金回流。充分发挥企业主体作用，重点围绕特色产业、油气化工、石膏精深加工、健康服务等重点领域，不断加大“周末工程师”、“假日专家”、项目聘用、课题研究等柔性人才引进力度，完善科研人员职务发明成果权益分享机制，打造区域性人才“小高地”。到“十四五”末，柔性引进各类高层次人才50人以上。</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89" w:name="_Toc2827"/>
      <w:bookmarkStart w:id="90" w:name="_Toc798"/>
      <w:bookmarkStart w:id="91" w:name="_Toc31943"/>
      <w:bookmarkStart w:id="92" w:name="_Toc59989509"/>
      <w:r>
        <w:rPr>
          <w:rFonts w:ascii="Times New Roman" w:hAnsi="Times New Roman" w:eastAsia="楷体_GB2312" w:cs="Times New Roman"/>
          <w:b/>
          <w:bCs/>
          <w:color w:val="000000" w:themeColor="text1"/>
          <w:sz w:val="32"/>
          <w:szCs w:val="28"/>
          <w14:textFill>
            <w14:solidFill>
              <w14:schemeClr w14:val="tx1"/>
            </w14:solidFill>
          </w14:textFill>
        </w:rPr>
        <w:t>（三）重视和加强本地专业人才培养</w:t>
      </w:r>
      <w:bookmarkEnd w:id="89"/>
      <w:bookmarkEnd w:id="90"/>
      <w:bookmarkEnd w:id="91"/>
      <w:bookmarkEnd w:id="92"/>
    </w:p>
    <w:p>
      <w:pPr>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围绕重点项目建设和特色优势产业发展，以人才技术支持、项目资助等手段，培养一批专业技能高、经营管理强、示范作用明显的本地实用型人才。建立“创新团队+基层农技推广体系+高素质农民培育”的农业科技服务新模式，持续壮大“三农”人才队伍建设，强化乡村振兴人才支撑。建立以企业为主体、职业院校为基础、政府推动与社会支持相结合的技能人才培养体系，加大“订单式”人才培养力度，培养电子商务、康养服务等企业急需技能人才。深化拓展“党校+高校+企业”的三位一体培训模式，着力培养一批懂技术、善经营、会管理的企业经营管理人才。大力开展专业技术人才继续教育培训工作，着力提升教育、卫生、农业、工程等专业技术人员的能力和水平，切实培养一批专业基础扎实、创新能力强、掌握产业发展关键技术的本地化人才。构建地方特色产业人才评价体系，开展本地能工巧匠、特色人才的认定与评价工作，积极培育木雕、泥塑、地毯、皮毛等民间工艺能人，着力促进当地非遗等物质文化遗产与民俗传承。</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93" w:name="_Toc30994"/>
      <w:bookmarkStart w:id="94" w:name="_Toc19446"/>
      <w:bookmarkStart w:id="95" w:name="_Toc59989510"/>
      <w:bookmarkStart w:id="96" w:name="_Toc7063"/>
      <w:r>
        <w:rPr>
          <w:rFonts w:ascii="Times New Roman" w:hAnsi="Times New Roman" w:eastAsia="楷体_GB2312" w:cs="Times New Roman"/>
          <w:b/>
          <w:bCs/>
          <w:color w:val="000000" w:themeColor="text1"/>
          <w:sz w:val="32"/>
          <w:szCs w:val="32"/>
          <w14:textFill>
            <w14:solidFill>
              <w14:schemeClr w14:val="tx1"/>
            </w14:solidFill>
          </w14:textFill>
        </w:rPr>
        <w:t>第三节 积极营造创新环境</w:t>
      </w:r>
      <w:bookmarkEnd w:id="93"/>
      <w:bookmarkEnd w:id="94"/>
      <w:bookmarkEnd w:id="95"/>
      <w:bookmarkEnd w:id="96"/>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97" w:name="_Toc28822"/>
      <w:bookmarkStart w:id="98" w:name="_Toc1800"/>
      <w:bookmarkStart w:id="99" w:name="_Toc59989511"/>
      <w:bookmarkStart w:id="100" w:name="_Toc2205"/>
      <w:r>
        <w:rPr>
          <w:rFonts w:ascii="Times New Roman" w:hAnsi="Times New Roman" w:eastAsia="楷体_GB2312" w:cs="Times New Roman"/>
          <w:b/>
          <w:bCs/>
          <w:color w:val="000000" w:themeColor="text1"/>
          <w:sz w:val="32"/>
          <w:szCs w:val="28"/>
          <w14:textFill>
            <w14:solidFill>
              <w14:schemeClr w14:val="tx1"/>
            </w14:solidFill>
          </w14:textFill>
        </w:rPr>
        <w:t>（一）完善激励创新机制</w:t>
      </w:r>
      <w:bookmarkEnd w:id="97"/>
      <w:bookmarkEnd w:id="98"/>
      <w:bookmarkEnd w:id="99"/>
      <w:bookmarkEnd w:id="100"/>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主动衔接国家和自治区科技创新政策，加大普惠性科技创新政策落实力度，落实企业研发费用税前加计扣除、高新技术企业所得税优惠等创新政策，引导企业加大创新投入。深化科技领域“放管服”改革，实行科研经费“包干制”改革。推动科技与金融深入融合，设立科技型中小企业风险补偿金，引导社会资本投资科技型中小企业。加快建设研发设计、检验检测、科技咨询等公共服务平台，促进科技服务向市场化、专业化、网络化发展。大力培育和弘扬企业家精神，形成崇尚创新、勇于创新、激励创新的价值导向和社会氛围。</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01" w:name="_Toc31527"/>
      <w:bookmarkStart w:id="102" w:name="_Toc16313"/>
      <w:bookmarkStart w:id="103" w:name="_Toc24034"/>
      <w:bookmarkStart w:id="104" w:name="_Toc59989512"/>
      <w:r>
        <w:rPr>
          <w:rFonts w:ascii="Times New Roman" w:hAnsi="Times New Roman" w:eastAsia="楷体_GB2312" w:cs="Times New Roman"/>
          <w:b/>
          <w:bCs/>
          <w:color w:val="000000" w:themeColor="text1"/>
          <w:sz w:val="32"/>
          <w:szCs w:val="28"/>
          <w14:textFill>
            <w14:solidFill>
              <w14:schemeClr w14:val="tx1"/>
            </w14:solidFill>
          </w14:textFill>
        </w:rPr>
        <w:t>（二）加大科学普及力度</w:t>
      </w:r>
      <w:bookmarkEnd w:id="101"/>
      <w:bookmarkEnd w:id="102"/>
      <w:bookmarkEnd w:id="103"/>
      <w:bookmarkEnd w:id="104"/>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把县域科学普及摆在与科技创新同等重要的位置，深入开展农业科技教育培训和农村科普活动，切实提高农民科学素质。以社会主义核心价值观为引领，着重在县域普及科学知识、弘扬科学精神、传播科学思想、倡导科学方法，推动形成讲科学、爱科学、学科学、用科学的良好氛围。充分发挥县级学会、企业科协、农技协会开展农村科普的独特优势和科技社团促进科技成果转移转化的纽带作用，面向县域有针对性地开展科学普及和信息服务。提高县域中小学科普教育质量，为青少年提供更多科普活动机会。</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05" w:name="_Toc4408"/>
      <w:bookmarkStart w:id="106" w:name="_Toc59989513"/>
      <w:bookmarkStart w:id="107" w:name="_Toc4242"/>
      <w:bookmarkStart w:id="108" w:name="_Toc31579"/>
      <w:r>
        <w:rPr>
          <w:rFonts w:ascii="Times New Roman" w:hAnsi="Times New Roman" w:eastAsia="楷体_GB2312" w:cs="Times New Roman"/>
          <w:b/>
          <w:bCs/>
          <w:color w:val="000000" w:themeColor="text1"/>
          <w:sz w:val="32"/>
          <w:szCs w:val="28"/>
          <w14:textFill>
            <w14:solidFill>
              <w14:schemeClr w14:val="tx1"/>
            </w14:solidFill>
          </w14:textFill>
        </w:rPr>
        <w:t>（三）拓展科技创新载体</w:t>
      </w:r>
      <w:bookmarkEnd w:id="105"/>
      <w:bookmarkEnd w:id="106"/>
      <w:bookmarkEnd w:id="107"/>
      <w:bookmarkEnd w:id="108"/>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依</w:t>
      </w:r>
      <w:r>
        <w:rPr>
          <w:rFonts w:ascii="Times New Roman" w:hAnsi="Times New Roman" w:eastAsia="仿宋_GB2312" w:cs="Times New Roman"/>
          <w:color w:val="000000" w:themeColor="text1"/>
          <w:spacing w:val="-6"/>
          <w:sz w:val="32"/>
          <w:szCs w:val="28"/>
          <w14:textFill>
            <w14:solidFill>
              <w14:schemeClr w14:val="tx1"/>
            </w14:solidFill>
          </w14:textFill>
        </w:rPr>
        <w:t>托科技园区、高等学校、科研院所等，加快发展“互联网+”创业网络体系，建设一批低成本、便利化、全要素、开放式的众创空间、星创天地，降低创业门槛，促进创业与创新、创业与就业、线上与线下相结合，打造创新创业协同新载体。推动县域生产力促进中心建设，提升知识产权代理、交易、咨询、评估等服务水平。培育创新型乡镇，重点打造3-5个在科技支撑特色产业发展、创新创业、成果转化、科技示范带动方面创新优势明显的乡镇。</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109" w:name="_Toc2677"/>
      <w:bookmarkStart w:id="110" w:name="_Toc59989514"/>
      <w:bookmarkStart w:id="111" w:name="_Toc4201"/>
      <w:bookmarkStart w:id="112" w:name="_Toc12041"/>
      <w:r>
        <w:rPr>
          <w:rFonts w:ascii="Times New Roman" w:hAnsi="Times New Roman" w:eastAsia="楷体_GB2312" w:cs="Times New Roman"/>
          <w:b/>
          <w:bCs/>
          <w:color w:val="000000" w:themeColor="text1"/>
          <w:sz w:val="32"/>
          <w:szCs w:val="32"/>
          <w14:textFill>
            <w14:solidFill>
              <w14:schemeClr w14:val="tx1"/>
            </w14:solidFill>
          </w14:textFill>
        </w:rPr>
        <w:t>第四节 深化科技创新体制改革</w:t>
      </w:r>
      <w:bookmarkEnd w:id="109"/>
      <w:bookmarkEnd w:id="110"/>
      <w:bookmarkEnd w:id="111"/>
      <w:bookmarkEnd w:id="112"/>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13" w:name="_Toc59989515"/>
      <w:bookmarkStart w:id="114" w:name="_Toc17560"/>
      <w:bookmarkStart w:id="115" w:name="_Toc8677"/>
      <w:bookmarkStart w:id="116" w:name="_Toc1008"/>
      <w:r>
        <w:rPr>
          <w:rFonts w:ascii="Times New Roman" w:hAnsi="Times New Roman" w:eastAsia="楷体_GB2312" w:cs="Times New Roman"/>
          <w:b/>
          <w:bCs/>
          <w:color w:val="000000" w:themeColor="text1"/>
          <w:sz w:val="32"/>
          <w:szCs w:val="28"/>
          <w14:textFill>
            <w14:solidFill>
              <w14:schemeClr w14:val="tx1"/>
            </w14:solidFill>
          </w14:textFill>
        </w:rPr>
        <w:t>（一）深化科技管理制度改革</w:t>
      </w:r>
      <w:bookmarkEnd w:id="113"/>
      <w:bookmarkEnd w:id="114"/>
      <w:bookmarkEnd w:id="115"/>
      <w:bookmarkEnd w:id="116"/>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建立以需求为导向的科技项目形成机制，完善企业创新后补助机制和科技服务后补助等资源配置方式，促进科技管理向科技治理转变。强化知识产权法律保护与纠纷执行机制，探索科技成果使用权、处置权和收益权分配方式，赋予科研人员职务科技成果所有权或长期使用权。构建科学、规范、高效、诚信的科技评价体系。建立健全科研诚信制度和工作机制，完善失信行为记录信息系统，有效释放科技创新活力，提升科技创新能力和水平。</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17" w:name="_Toc23416"/>
      <w:bookmarkStart w:id="118" w:name="_Toc28918"/>
      <w:bookmarkStart w:id="119" w:name="_Toc2650"/>
      <w:bookmarkStart w:id="120" w:name="_Toc59989516"/>
      <w:r>
        <w:rPr>
          <w:rFonts w:ascii="Times New Roman" w:hAnsi="Times New Roman" w:eastAsia="楷体_GB2312" w:cs="Times New Roman"/>
          <w:b/>
          <w:bCs/>
          <w:color w:val="000000" w:themeColor="text1"/>
          <w:sz w:val="32"/>
          <w:szCs w:val="28"/>
          <w14:textFill>
            <w14:solidFill>
              <w14:schemeClr w14:val="tx1"/>
            </w14:solidFill>
          </w14:textFill>
        </w:rPr>
        <w:t>（二）建立健全创新创业机制</w:t>
      </w:r>
      <w:bookmarkEnd w:id="117"/>
      <w:bookmarkEnd w:id="118"/>
      <w:bookmarkEnd w:id="119"/>
      <w:bookmarkEnd w:id="120"/>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建立“创业培训＋担保贷款＋创新服务”三位一体服务机制。为创业人员提供免费创业培训、指导创业担保贷款和推荐入驻创业示范园区（孵化基地）等全方位服务，解决创业者后顾之忧。开展创业训练营、创业大赛、创业辅导等活动，提升创业者的创新能力。开展农产品线上线下营销服务，打造集种植、养殖、加工、研发、营销、文化、生态于一体的现代农业全产业链，构建现代农业经营体系，促进农村一二三产业融合发展。</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21" w:name="_Toc10479"/>
      <w:bookmarkStart w:id="122" w:name="_Toc13963"/>
      <w:bookmarkStart w:id="123" w:name="_Toc16776"/>
      <w:bookmarkStart w:id="124" w:name="_Toc59989517"/>
      <w:r>
        <w:rPr>
          <w:rFonts w:ascii="Times New Roman" w:hAnsi="Times New Roman" w:eastAsia="楷体_GB2312" w:cs="Times New Roman"/>
          <w:b/>
          <w:bCs/>
          <w:color w:val="000000" w:themeColor="text1"/>
          <w:sz w:val="32"/>
          <w:szCs w:val="28"/>
          <w14:textFill>
            <w14:solidFill>
              <w14:schemeClr w14:val="tx1"/>
            </w14:solidFill>
          </w14:textFill>
        </w:rPr>
        <w:t>（三）深化农业科技推广体系改革</w:t>
      </w:r>
      <w:bookmarkEnd w:id="121"/>
      <w:bookmarkEnd w:id="122"/>
      <w:bookmarkEnd w:id="123"/>
      <w:bookmarkEnd w:id="124"/>
    </w:p>
    <w:p>
      <w:pPr>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充分调动各级各类农业技术推广机构的积极性，发挥农业专家大院、科技特派员、农民技术员的作用，支持农业科研、教学单位、涉农企业等社会力量广泛参与农业技术推广，提升农业技术推广能力。建立健全科技特派员制度，完善科技特派员选派政策，壮大科技特派员队伍。引导大学生、返乡农民工、退伍转业军人等参与农村科技创业。鼓励和支持农村实用人才、专业大户、致富能手、协会带头人加入科技特派员队伍，在各环节开展创业和服务，通过组建专业协会、合作社等形式，将农民组织起来，实现小生产与大市场的有效衔接。实施一批科技创业项目，推广一批先进实用技术，转化一批科技成果，扶持一批科技创业服务示范典型，培育一批农村生产经营创新主体。</w:t>
      </w:r>
    </w:p>
    <w:p>
      <w:pPr>
        <w:pStyle w:val="4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专栏一：科技创新重点工程项目</w:t>
      </w:r>
    </w:p>
    <w:tbl>
      <w:tblPr>
        <w:tblStyle w:val="2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4" w:type="dxa"/>
          </w:tcPr>
          <w:p>
            <w:pPr>
              <w:pStyle w:val="50"/>
              <w:widowControl w:val="0"/>
              <w:ind w:firstLine="447"/>
              <w:jc w:val="both"/>
              <w:rPr>
                <w:color w:val="000000" w:themeColor="text1"/>
                <w14:textFill>
                  <w14:solidFill>
                    <w14:schemeClr w14:val="tx1"/>
                  </w14:solidFill>
                </w14:textFill>
              </w:rPr>
            </w:pPr>
            <w:r>
              <w:rPr>
                <w:b/>
                <w:color w:val="000000" w:themeColor="text1"/>
                <w14:textFill>
                  <w14:solidFill>
                    <w14:schemeClr w14:val="tx1"/>
                  </w14:solidFill>
                </w14:textFill>
              </w:rPr>
              <w:t>科技创新平台建设：</w:t>
            </w:r>
            <w:r>
              <w:rPr>
                <w:color w:val="000000" w:themeColor="text1"/>
                <w14:textFill>
                  <w14:solidFill>
                    <w14:schemeClr w14:val="tx1"/>
                  </w14:solidFill>
                </w14:textFill>
              </w:rPr>
              <w:t>与中国科学院、宁夏大学等高校、科研机构合作，加快建设院士工作站、专家服务基地、技术创新联盟和工程研究中心。培育建设宁夏滩羊工程技术研究中心、宁夏沙旱生中药材工程技术研究中心、宁夏螺旋藻（盐池）技术创新中心等5个创新平台。</w:t>
            </w:r>
          </w:p>
          <w:p>
            <w:pPr>
              <w:pStyle w:val="50"/>
              <w:widowControl w:val="0"/>
              <w:ind w:firstLine="447"/>
              <w:jc w:val="both"/>
              <w:rPr>
                <w:color w:val="000000" w:themeColor="text1"/>
                <w14:textFill>
                  <w14:solidFill>
                    <w14:schemeClr w14:val="tx1"/>
                  </w14:solidFill>
                </w14:textFill>
              </w:rPr>
            </w:pPr>
            <w:r>
              <w:rPr>
                <w:b/>
                <w:color w:val="000000" w:themeColor="text1"/>
                <w14:textFill>
                  <w14:solidFill>
                    <w14:schemeClr w14:val="tx1"/>
                  </w14:solidFill>
                </w14:textFill>
              </w:rPr>
              <w:t>关键技术成果转化：</w:t>
            </w:r>
            <w:r>
              <w:rPr>
                <w:color w:val="000000" w:themeColor="text1"/>
                <w14:textFill>
                  <w14:solidFill>
                    <w14:schemeClr w14:val="tx1"/>
                  </w14:solidFill>
                </w14:textFill>
              </w:rPr>
              <w:t>深燃众源BOG提氦、阿波罗低温试验技术创新与成果转化项目30个，煤化工、油气精细化工、石膏精深加工等主导产业技术成果转化工程。</w:t>
            </w:r>
          </w:p>
          <w:p>
            <w:pPr>
              <w:pStyle w:val="50"/>
              <w:widowControl w:val="0"/>
              <w:ind w:firstLine="447"/>
              <w:jc w:val="both"/>
              <w:rPr>
                <w:color w:val="000000" w:themeColor="text1"/>
                <w14:textFill>
                  <w14:solidFill>
                    <w14:schemeClr w14:val="tx1"/>
                  </w14:solidFill>
                </w14:textFill>
              </w:rPr>
            </w:pPr>
            <w:r>
              <w:rPr>
                <w:b/>
                <w:color w:val="000000" w:themeColor="text1"/>
                <w14:textFill>
                  <w14:solidFill>
                    <w14:schemeClr w14:val="tx1"/>
                  </w14:solidFill>
                </w14:textFill>
              </w:rPr>
              <w:t>人才引培计划：</w:t>
            </w:r>
            <w:r>
              <w:rPr>
                <w:color w:val="000000" w:themeColor="text1"/>
                <w14:textFill>
                  <w14:solidFill>
                    <w14:schemeClr w14:val="tx1"/>
                  </w14:solidFill>
                </w14:textFill>
              </w:rPr>
              <w:t>实施“引凤还巢”和“筑巢引凤”工程，油气化工、特色产业、石膏产业等领域柔性人才引进项目。到“十四五”期末，全县科技特派员达到260人。</w:t>
            </w:r>
          </w:p>
        </w:tc>
      </w:tr>
    </w:tbl>
    <w:p>
      <w:pPr>
        <w:tabs>
          <w:tab w:val="left" w:pos="4905"/>
        </w:tabs>
        <w:adjustRightInd w:val="0"/>
        <w:snapToGrid w:val="0"/>
        <w:spacing w:line="600" w:lineRule="exact"/>
        <w:ind w:left="945" w:leftChars="450" w:right="945" w:rightChars="450"/>
        <w:jc w:val="left"/>
        <w:rPr>
          <w:rFonts w:ascii="Times New Roman" w:hAnsi="Times New Roman" w:cs="Times New Roman"/>
          <w:color w:val="000000" w:themeColor="text1"/>
          <w14:textFill>
            <w14:solidFill>
              <w14:schemeClr w14:val="tx1"/>
            </w14:solidFill>
          </w14:textFill>
        </w:rPr>
      </w:pPr>
      <w:bookmarkStart w:id="125" w:name="_Toc59989518"/>
      <w:r>
        <w:rPr>
          <w:rFonts w:ascii="Times New Roman" w:hAnsi="Times New Roman" w:eastAsia="黑体" w:cs="Times New Roman"/>
          <w:b/>
          <w:bCs/>
          <w:color w:val="000000" w:themeColor="text1"/>
          <w:sz w:val="32"/>
          <w:szCs w:val="32"/>
          <w14:textFill>
            <w14:solidFill>
              <w14:schemeClr w14:val="tx1"/>
            </w14:solidFill>
          </w14:textFill>
        </w:rPr>
        <w:tab/>
      </w:r>
    </w:p>
    <w:p>
      <w:pPr>
        <w:adjustRightInd w:val="0"/>
        <w:snapToGrid w:val="0"/>
        <w:spacing w:line="600" w:lineRule="exact"/>
        <w:jc w:val="center"/>
        <w:outlineLvl w:val="0"/>
        <w:rPr>
          <w:rFonts w:ascii="Times New Roman" w:hAnsi="Times New Roman" w:eastAsia="黑体" w:cs="Times New Roman"/>
          <w:color w:val="000000" w:themeColor="text1"/>
          <w:sz w:val="36"/>
          <w:szCs w:val="36"/>
          <w14:textFill>
            <w14:solidFill>
              <w14:schemeClr w14:val="tx1"/>
            </w14:solidFill>
          </w14:textFill>
        </w:rPr>
      </w:pPr>
      <w:bookmarkStart w:id="126" w:name="_Toc21870"/>
      <w:bookmarkStart w:id="127" w:name="_Toc13346"/>
      <w:bookmarkStart w:id="128" w:name="_Toc24489"/>
      <w:r>
        <w:rPr>
          <w:rFonts w:ascii="Times New Roman" w:hAnsi="Times New Roman" w:eastAsia="黑体" w:cs="Times New Roman"/>
          <w:color w:val="000000" w:themeColor="text1"/>
          <w:sz w:val="36"/>
          <w:szCs w:val="36"/>
          <w14:textFill>
            <w14:solidFill>
              <w14:schemeClr w14:val="tx1"/>
            </w14:solidFill>
          </w14:textFill>
        </w:rPr>
        <w:t>第三章  建设现代产业体系，夯实高质量发展基础</w:t>
      </w:r>
      <w:bookmarkEnd w:id="125"/>
      <w:bookmarkEnd w:id="126"/>
      <w:bookmarkEnd w:id="127"/>
      <w:bookmarkEnd w:id="128"/>
    </w:p>
    <w:p>
      <w:pPr>
        <w:adjustRightInd w:val="0"/>
        <w:snapToGrid w:val="0"/>
        <w:spacing w:line="600" w:lineRule="exact"/>
        <w:ind w:firstLine="640" w:firstLineChars="200"/>
        <w:rPr>
          <w:rFonts w:ascii="Times New Roman" w:hAnsi="Times New Roman" w:eastAsia="仿宋_GB2312" w:cs="Times New Roman"/>
          <w:color w:val="000000" w:themeColor="text1"/>
          <w:sz w:val="32"/>
          <w:szCs w:val="30"/>
          <w14:textFill>
            <w14:solidFill>
              <w14:schemeClr w14:val="tx1"/>
            </w14:solidFill>
          </w14:textFill>
        </w:rPr>
      </w:pPr>
    </w:p>
    <w:p>
      <w:pPr>
        <w:adjustRightInd w:val="0"/>
        <w:snapToGrid w:val="0"/>
        <w:spacing w:line="600" w:lineRule="exact"/>
        <w:ind w:firstLine="616" w:firstLineChars="200"/>
        <w:rPr>
          <w:rFonts w:ascii="Times New Roman" w:hAnsi="Times New Roman" w:eastAsia="仿宋_GB2312" w:cs="Times New Roman"/>
          <w:color w:val="000000" w:themeColor="text1"/>
          <w:spacing w:val="-6"/>
          <w:sz w:val="32"/>
          <w:szCs w:val="30"/>
          <w14:textFill>
            <w14:solidFill>
              <w14:schemeClr w14:val="tx1"/>
            </w14:solidFill>
          </w14:textFill>
        </w:rPr>
      </w:pPr>
      <w:r>
        <w:rPr>
          <w:rFonts w:ascii="Times New Roman" w:hAnsi="Times New Roman" w:eastAsia="仿宋_GB2312" w:cs="Times New Roman"/>
          <w:color w:val="000000" w:themeColor="text1"/>
          <w:spacing w:val="-6"/>
          <w:sz w:val="32"/>
          <w:szCs w:val="30"/>
          <w14:textFill>
            <w14:solidFill>
              <w14:schemeClr w14:val="tx1"/>
            </w14:solidFill>
          </w14:textFill>
        </w:rPr>
        <w:t>围绕自治区重点特色“九大产业”、吴忠市重点特色“十大产业”、盐池县重点特色“六大产业”，加快转型升级和新旧动能转换，着力构建具有地域特色的智慧、绿色、创新、高效、融合的现代产业体系，打造自治区生态保护修复与高质量发展创新区。</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129" w:name="_Toc59989519"/>
      <w:bookmarkStart w:id="130" w:name="_Toc14917"/>
      <w:bookmarkStart w:id="131" w:name="_Toc10337"/>
      <w:bookmarkStart w:id="132" w:name="_Toc31445"/>
      <w:r>
        <w:rPr>
          <w:rFonts w:ascii="Times New Roman" w:hAnsi="Times New Roman" w:eastAsia="楷体_GB2312" w:cs="Times New Roman"/>
          <w:b/>
          <w:bCs/>
          <w:color w:val="000000" w:themeColor="text1"/>
          <w:sz w:val="32"/>
          <w:szCs w:val="32"/>
          <w14:textFill>
            <w14:solidFill>
              <w14:schemeClr w14:val="tx1"/>
            </w14:solidFill>
          </w14:textFill>
        </w:rPr>
        <w:t>第一节 促进特色农业提质增效</w:t>
      </w:r>
      <w:bookmarkEnd w:id="129"/>
      <w:bookmarkEnd w:id="130"/>
      <w:bookmarkEnd w:id="131"/>
      <w:bookmarkEnd w:id="132"/>
    </w:p>
    <w:p>
      <w:pPr>
        <w:adjustRightInd w:val="0"/>
        <w:snapToGrid w:val="0"/>
        <w:spacing w:line="580" w:lineRule="exact"/>
        <w:ind w:firstLine="640" w:firstLineChars="200"/>
        <w:rPr>
          <w:rFonts w:ascii="Times New Roman" w:hAnsi="Times New Roman" w:eastAsia="仿宋_GB2312" w:cs="Times New Roman"/>
          <w:color w:val="000000" w:themeColor="text1"/>
          <w:sz w:val="32"/>
          <w:szCs w:val="30"/>
          <w14:textFill>
            <w14:solidFill>
              <w14:schemeClr w14:val="tx1"/>
            </w14:solidFill>
          </w14:textFill>
        </w:rPr>
      </w:pPr>
      <w:r>
        <w:rPr>
          <w:rFonts w:ascii="Times New Roman" w:hAnsi="Times New Roman" w:eastAsia="仿宋_GB2312" w:cs="Times New Roman"/>
          <w:color w:val="000000" w:themeColor="text1"/>
          <w:sz w:val="32"/>
          <w:szCs w:val="30"/>
          <w14:textFill>
            <w14:solidFill>
              <w14:schemeClr w14:val="tx1"/>
            </w14:solidFill>
          </w14:textFill>
        </w:rPr>
        <w:t>坚持调结构、转方式、创品牌、促增收的基本思路，稳步推进农业供给侧结构性改革和适度规模经营，积极培育新型农业经营主体，做大做强优势特色农业，促进农业生产向规模化、产业化、标准化、品牌化转变，拓展农业功能，提升农业质量效益和竞争力。</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33" w:name="_Toc22952"/>
      <w:bookmarkStart w:id="134" w:name="_Toc59989520"/>
      <w:bookmarkStart w:id="135" w:name="_Toc27150"/>
      <w:bookmarkStart w:id="136" w:name="_Toc20890"/>
      <w:r>
        <w:rPr>
          <w:rFonts w:ascii="Times New Roman" w:hAnsi="Times New Roman" w:eastAsia="楷体_GB2312" w:cs="Times New Roman"/>
          <w:b/>
          <w:bCs/>
          <w:color w:val="000000" w:themeColor="text1"/>
          <w:sz w:val="32"/>
          <w:szCs w:val="28"/>
          <w14:textFill>
            <w14:solidFill>
              <w14:schemeClr w14:val="tx1"/>
            </w14:solidFill>
          </w14:textFill>
        </w:rPr>
        <w:t>（一）建设高质量的“1+4+X”特色产业体系</w:t>
      </w:r>
      <w:bookmarkEnd w:id="133"/>
      <w:bookmarkEnd w:id="134"/>
      <w:bookmarkEnd w:id="135"/>
      <w:bookmarkEnd w:id="136"/>
    </w:p>
    <w:p>
      <w:pPr>
        <w:adjustRightInd w:val="0"/>
        <w:snapToGrid w:val="0"/>
        <w:spacing w:line="580" w:lineRule="exact"/>
        <w:ind w:firstLine="640" w:firstLineChars="200"/>
        <w:rPr>
          <w:rFonts w:ascii="Times New Roman" w:hAnsi="Times New Roman" w:eastAsia="仿宋_GB2312" w:cs="Times New Roman"/>
          <w:color w:val="000000" w:themeColor="text1"/>
          <w:spacing w:val="-6"/>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以</w:t>
      </w:r>
      <w:r>
        <w:rPr>
          <w:rFonts w:ascii="Times New Roman" w:hAnsi="Times New Roman" w:eastAsia="仿宋_GB2312" w:cs="Times New Roman"/>
          <w:color w:val="000000" w:themeColor="text1"/>
          <w:spacing w:val="-6"/>
          <w:sz w:val="32"/>
          <w:szCs w:val="28"/>
          <w14:textFill>
            <w14:solidFill>
              <w14:schemeClr w14:val="tx1"/>
            </w14:solidFill>
          </w14:textFill>
        </w:rPr>
        <w:t>高质量发展为目标，继续完善滩羊特色优势产业为主导，黄花菜、中药材、小杂粮、优质牧草为辅助的“1+4+X”特色产业体系。</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做优做强滩羊产业</w:t>
      </w:r>
      <w:r>
        <w:rPr>
          <w:rFonts w:ascii="Times New Roman" w:hAnsi="Times New Roman" w:eastAsia="仿宋_GB2312" w:cs="Times New Roman"/>
          <w:color w:val="000000" w:themeColor="text1"/>
          <w:sz w:val="32"/>
          <w:szCs w:val="28"/>
          <w14:textFill>
            <w14:solidFill>
              <w14:schemeClr w14:val="tx1"/>
            </w14:solidFill>
          </w14:textFill>
        </w:rPr>
        <w:t>。推动滩羊产业链延长、价值链再造，培育一批滩羊龙头企业，</w:t>
      </w:r>
      <w:r>
        <w:rPr>
          <w:rFonts w:hint="eastAsia" w:ascii="Times New Roman" w:hAnsi="Times New Roman" w:eastAsia="仿宋_GB2312" w:cs="Times New Roman"/>
          <w:color w:val="000000" w:themeColor="text1"/>
          <w:sz w:val="32"/>
          <w:szCs w:val="28"/>
          <w14:textFill>
            <w14:solidFill>
              <w14:schemeClr w14:val="tx1"/>
            </w14:solidFill>
          </w14:textFill>
        </w:rPr>
        <w:t>全面提升滩羊产业发展的质量、效益和竞争力，</w:t>
      </w:r>
      <w:r>
        <w:rPr>
          <w:rFonts w:ascii="Times New Roman" w:hAnsi="Times New Roman" w:eastAsia="仿宋_GB2312" w:cs="Times New Roman"/>
          <w:color w:val="000000" w:themeColor="text1"/>
          <w:sz w:val="32"/>
          <w:szCs w:val="28"/>
          <w14:textFill>
            <w14:solidFill>
              <w14:schemeClr w14:val="tx1"/>
            </w14:solidFill>
          </w14:textFill>
        </w:rPr>
        <w:t>打造全国高端羊肉生产基地，扎实推进滩羊产业融合示范园和滩羊养殖生态牧场建设。到“十四五”期末，滩羊养殖生态牧场达到150个，滩羊饲养量稳定在330万只，出栏180万只以上。</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大力做优四大特色农业</w:t>
      </w:r>
      <w:r>
        <w:rPr>
          <w:rFonts w:ascii="Times New Roman" w:hAnsi="Times New Roman" w:eastAsia="仿宋_GB2312" w:cs="Times New Roman"/>
          <w:color w:val="000000" w:themeColor="text1"/>
          <w:sz w:val="32"/>
          <w:szCs w:val="28"/>
          <w14:textFill>
            <w14:solidFill>
              <w14:schemeClr w14:val="tx1"/>
            </w14:solidFill>
          </w14:textFill>
        </w:rPr>
        <w:t>。依托产学研融合做大黄花产业，提升黄花精深加工能力，延伸黄花产业链条，推进盐池黄花菜标准化高水平发展。做精小杂粮产业，推动小杂粮有机化、标准化种植，打造全域绿色农产品生产基地，积极支持小杂粮精细化加工，提高产品附加值。</w:t>
      </w:r>
      <w:r>
        <w:rPr>
          <w:rFonts w:hint="eastAsia" w:ascii="Times New Roman" w:hAnsi="Times New Roman" w:eastAsia="仿宋_GB2312" w:cs="Times New Roman"/>
          <w:color w:val="000000" w:themeColor="text1"/>
          <w:sz w:val="32"/>
          <w:szCs w:val="28"/>
          <w14:textFill>
            <w14:solidFill>
              <w14:schemeClr w14:val="tx1"/>
            </w14:solidFill>
          </w14:textFill>
        </w:rPr>
        <w:t>积极推进杂粮杂豆良种繁育基地建设，提升生产能力、良种创新能力和信息化水平。</w:t>
      </w:r>
      <w:r>
        <w:rPr>
          <w:rFonts w:ascii="Times New Roman" w:hAnsi="Times New Roman" w:eastAsia="仿宋_GB2312" w:cs="Times New Roman"/>
          <w:color w:val="000000" w:themeColor="text1"/>
          <w:sz w:val="32"/>
          <w:szCs w:val="28"/>
          <w14:textFill>
            <w14:solidFill>
              <w14:schemeClr w14:val="tx1"/>
            </w14:solidFill>
          </w14:textFill>
        </w:rPr>
        <w:t>提高小杂粮良种化水平，建立小杂粮收购、加工、食品研发和线上线下销售模式，积极创建农村产业融合发展先导区。强化绿色导向、标准引领和质量安全监管，建设农业现代化示范区。积极推进以甘草、麻黄为主的中药材加工和产品研发，加大滩羊饲草研发、加工和秸秆综合利用，着力打造百万亩优质牧草示范带。到“十四五”期末，优质粮食产量稳定在1亿公斤以上，黄花留床面积稳定在8万亩、小杂粮年种植面积稳定在40万亩以上，一年生优质牧草和中药材年种植留床面积分别达到30万亩和6万亩。</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积极发展特色养殖</w:t>
      </w:r>
      <w:r>
        <w:rPr>
          <w:rFonts w:ascii="Times New Roman" w:hAnsi="Times New Roman" w:eastAsia="仿宋_GB2312" w:cs="Times New Roman"/>
          <w:color w:val="000000" w:themeColor="text1"/>
          <w:sz w:val="32"/>
          <w:szCs w:val="28"/>
          <w14:textFill>
            <w14:solidFill>
              <w14:schemeClr w14:val="tx1"/>
            </w14:solidFill>
          </w14:textFill>
        </w:rPr>
        <w:t>。坚持种养结合、草畜一体、循环发展，稳步推进生猪、奶牛、肉牛的养殖、加工、销售全产业链建设。到“十四五”期末，全县生猪、奶牛、肉牛存栏量分别达到20万头、4万头、2万头。</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37" w:name="_Toc17226"/>
      <w:bookmarkStart w:id="138" w:name="_Toc59989521"/>
      <w:bookmarkStart w:id="139" w:name="_Toc20681"/>
      <w:bookmarkStart w:id="140" w:name="_Toc27128"/>
      <w:r>
        <w:rPr>
          <w:rFonts w:ascii="Times New Roman" w:hAnsi="Times New Roman" w:eastAsia="楷体_GB2312" w:cs="Times New Roman"/>
          <w:b/>
          <w:bCs/>
          <w:color w:val="000000" w:themeColor="text1"/>
          <w:sz w:val="32"/>
          <w:szCs w:val="28"/>
          <w14:textFill>
            <w14:solidFill>
              <w14:schemeClr w14:val="tx1"/>
            </w14:solidFill>
          </w14:textFill>
        </w:rPr>
        <w:t>（二）推动特色产业品牌化和标准化发展</w:t>
      </w:r>
      <w:bookmarkEnd w:id="137"/>
      <w:bookmarkEnd w:id="138"/>
      <w:bookmarkEnd w:id="139"/>
      <w:bookmarkEnd w:id="140"/>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继续实施特色农产品规模化、品牌化、高端化发展战略。围绕“1+4+X”特色产业，依托“中国滩羊之乡”、“中国甘草之乡”品牌优势，加大农产品区域公用品牌、企业品牌和优质农产品品牌培育，提升农产品品牌溢价能力。以“盐池滩羊肉”、“盐池黄花菜”为突破，建立健全覆盖产前、产中、产后生产全过程的标准化体系和质量追溯体系，搭建适应绿色食品网络销售的供应体系、运输服务体系和支撑保障体系，推进农业生产的标准化，提升农产品的质量和档次。加强“盐”字号特色产品商标使用监管，保护百年滩羊品牌和黄花区域公用品牌，精准开展宣传推介活动，支持企业不断提高高端市场产品占有率。支持种植、加工等各种经营主体立标、达标、按标生产，提升标准化水平。</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41" w:name="_Toc31446"/>
      <w:bookmarkStart w:id="142" w:name="_Toc59989522"/>
      <w:bookmarkStart w:id="143" w:name="_Toc32627"/>
      <w:bookmarkStart w:id="144" w:name="_Toc28335"/>
      <w:r>
        <w:rPr>
          <w:rFonts w:ascii="Times New Roman" w:hAnsi="Times New Roman" w:eastAsia="楷体_GB2312" w:cs="Times New Roman"/>
          <w:b/>
          <w:bCs/>
          <w:color w:val="000000" w:themeColor="text1"/>
          <w:sz w:val="32"/>
          <w:szCs w:val="28"/>
          <w14:textFill>
            <w14:solidFill>
              <w14:schemeClr w14:val="tx1"/>
            </w14:solidFill>
          </w14:textFill>
        </w:rPr>
        <w:t>（三）推动农业接二连三深度融合发展</w:t>
      </w:r>
      <w:bookmarkEnd w:id="141"/>
      <w:bookmarkEnd w:id="142"/>
      <w:bookmarkEnd w:id="143"/>
      <w:bookmarkEnd w:id="144"/>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实施特色农产品加工业提升行动，培育一批带动能力强的加工企业，大力开发优质农产品精深加工，实现农产品加工提速度、扩规模、</w:t>
      </w:r>
      <w:r>
        <w:rPr>
          <w:rFonts w:hint="eastAsia" w:ascii="Times New Roman" w:hAnsi="Times New Roman" w:eastAsia="仿宋_GB2312" w:cs="Times New Roman"/>
          <w:color w:val="000000" w:themeColor="text1"/>
          <w:sz w:val="32"/>
          <w:szCs w:val="28"/>
          <w14:textFill>
            <w14:solidFill>
              <w14:schemeClr w14:val="tx1"/>
            </w14:solidFill>
          </w14:textFill>
        </w:rPr>
        <w:t>提</w:t>
      </w:r>
      <w:r>
        <w:rPr>
          <w:rFonts w:ascii="Times New Roman" w:hAnsi="Times New Roman" w:eastAsia="仿宋_GB2312" w:cs="Times New Roman"/>
          <w:color w:val="000000" w:themeColor="text1"/>
          <w:sz w:val="32"/>
          <w:szCs w:val="28"/>
          <w14:textFill>
            <w14:solidFill>
              <w14:schemeClr w14:val="tx1"/>
            </w14:solidFill>
          </w14:textFill>
        </w:rPr>
        <w:t>质效，着力提升滩羊、小杂粮、黄花菜、中药材等特色农牧产品精深加工水平，提高加工转化增值率和副产物综合利用水平。加快建设全国农村一二三产业融合发展先导区、中国特色农产品优势区等国家级示范园区，积极推进国家现代农业产业园等项目申报工作，争创农业现代化示范区。依托农业示范基地和农产品加工园区建设，整合聚集资源，推进农业“接二连三”，构建完整活跃的农业产业链条，形成集生产、加工、销售、服务于一体的现代农业全产业链，促进特色农牧业立体化、复合式全产业链、价值链转型升级，培育农村产业发展新动能，丰富农村经济业态，拓展农民增收空间。以创建全域旅游示范县为契机，充分挖掘农业产业、生态、文化价值以及农业观光旅游、休闲体验等功能，推进滩羊、黄花菜等特色农业与旅游、教育、文化、康养等产业深度融合发展。</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45" w:name="_Toc2754"/>
      <w:bookmarkStart w:id="146" w:name="_Toc59989523"/>
      <w:bookmarkStart w:id="147" w:name="_Toc13455"/>
      <w:bookmarkStart w:id="148" w:name="_Toc14359"/>
      <w:r>
        <w:rPr>
          <w:rFonts w:ascii="Times New Roman" w:hAnsi="Times New Roman" w:eastAsia="楷体_GB2312" w:cs="Times New Roman"/>
          <w:b/>
          <w:bCs/>
          <w:color w:val="000000" w:themeColor="text1"/>
          <w:sz w:val="32"/>
          <w:szCs w:val="28"/>
          <w14:textFill>
            <w14:solidFill>
              <w14:schemeClr w14:val="tx1"/>
            </w14:solidFill>
          </w14:textFill>
        </w:rPr>
        <w:t>（四）加快培育新型农业经营和服务主体</w:t>
      </w:r>
      <w:bookmarkEnd w:id="145"/>
      <w:bookmarkEnd w:id="146"/>
      <w:bookmarkEnd w:id="147"/>
      <w:bookmarkEnd w:id="148"/>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积极培育新型农业经营主体</w:t>
      </w:r>
      <w:r>
        <w:rPr>
          <w:rFonts w:ascii="Times New Roman" w:hAnsi="Times New Roman" w:eastAsia="仿宋_GB2312" w:cs="Times New Roman"/>
          <w:color w:val="000000" w:themeColor="text1"/>
          <w:sz w:val="32"/>
          <w:szCs w:val="28"/>
          <w14:textFill>
            <w14:solidFill>
              <w14:schemeClr w14:val="tx1"/>
            </w14:solidFill>
          </w14:textFill>
        </w:rPr>
        <w:t>。以集约化、专业化、组织化、社会化为发展方向，加快培育职业农民、种养大户、家庭农场、农民合作社、龙头企业、农业产业化联合体等多种类型的新型农业经营主体。大力发展多种形式适度规模经营，促进小农户和现代农业有机衔接。支持各主体间相互合作形成风险共担、利益共享的产业化联合体，建立契约型、股权型利益联结机制。积极落实第二轮土地承包到期后再延长三十年政策，完善土地经营权流转市场，鼓励土地向各类新型经营主体适度集中、规模经营。</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完善提升农业现代化服务体系</w:t>
      </w:r>
      <w:r>
        <w:rPr>
          <w:rFonts w:ascii="Times New Roman" w:hAnsi="Times New Roman" w:eastAsia="仿宋_GB2312" w:cs="Times New Roman"/>
          <w:color w:val="000000" w:themeColor="text1"/>
          <w:sz w:val="32"/>
          <w:szCs w:val="28"/>
          <w14:textFill>
            <w14:solidFill>
              <w14:schemeClr w14:val="tx1"/>
            </w14:solidFill>
          </w14:textFill>
        </w:rPr>
        <w:t>。按照主体多元化、服务专业化、运行市场化的原则，加快培育新型农业服务主体，建立健全多元化和多层次的农业社会化服务体系。积极推广托管式、订单式、平台式、站点式等综合性服务模式，扶持一批代耕代种、代收代储、病虫统防统治、肥料统配统施等服务组织。开展农民专业合作社示范创建和星级家庭农场评定，建立和完善示范社、星级场奖励和支持政策。到“十四五”期末，全县家庭农场和专业合作社分别达到350家和500家，初步构建起以农户家庭经营为基础、合作与联合为纽带、社会化服务为支撑的立体式复合型现代农业经营体系。</w:t>
      </w:r>
    </w:p>
    <w:p>
      <w:pPr>
        <w:pStyle w:val="49"/>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color w:val="000000" w:themeColor="text1"/>
          <w14:textFill>
            <w14:solidFill>
              <w14:schemeClr w14:val="tx1"/>
            </w14:solidFill>
          </w14:textFill>
        </w:rPr>
        <w:t>专栏二：特色产业提质增效重点工程项目</w:t>
      </w:r>
    </w:p>
    <w:tbl>
      <w:tblPr>
        <w:tblStyle w:val="24"/>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37" w:hRule="atLeast"/>
          <w:jc w:val="center"/>
        </w:trPr>
        <w:tc>
          <w:tcPr>
            <w:tcW w:w="8834" w:type="dxa"/>
          </w:tcPr>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1.滩羊保种与扩繁基地建设项目：</w:t>
            </w:r>
            <w:r>
              <w:rPr>
                <w:rFonts w:ascii="Times New Roman" w:hAnsi="Times New Roman" w:eastAsia="仿宋_GB2312" w:cs="Times New Roman"/>
                <w:bCs/>
                <w:color w:val="000000" w:themeColor="text1"/>
                <w:sz w:val="28"/>
                <w:szCs w:val="24"/>
                <w14:textFill>
                  <w14:solidFill>
                    <w14:schemeClr w14:val="tx1"/>
                  </w14:solidFill>
                </w14:textFill>
              </w:rPr>
              <w:t>滩羊育种场基础母羊种群保种1万只，年提供优质种公羊3000只以上；组建滩羊能繁母羊群2.5万只。</w:t>
            </w:r>
          </w:p>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2.草畜产业转型升级工程：</w:t>
            </w:r>
            <w:r>
              <w:rPr>
                <w:rFonts w:ascii="Times New Roman" w:hAnsi="Times New Roman" w:eastAsia="仿宋_GB2312" w:cs="Times New Roman"/>
                <w:bCs/>
                <w:color w:val="000000" w:themeColor="text1"/>
                <w:sz w:val="28"/>
                <w:szCs w:val="24"/>
                <w14:textFill>
                  <w14:solidFill>
                    <w14:schemeClr w14:val="tx1"/>
                  </w14:solidFill>
                </w14:textFill>
              </w:rPr>
              <w:t>推进现代草畜一体化科技创新示范项目建设，建设百万亩牧草种植示范基地。</w:t>
            </w:r>
          </w:p>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3.农业种植标准化工程：</w:t>
            </w:r>
            <w:r>
              <w:rPr>
                <w:rFonts w:ascii="Times New Roman" w:hAnsi="Times New Roman" w:eastAsia="仿宋_GB2312" w:cs="Times New Roman"/>
                <w:bCs/>
                <w:color w:val="000000" w:themeColor="text1"/>
                <w:sz w:val="28"/>
                <w:szCs w:val="24"/>
                <w14:textFill>
                  <w14:solidFill>
                    <w14:schemeClr w14:val="tx1"/>
                  </w14:solidFill>
                </w14:textFill>
              </w:rPr>
              <w:t>建设8万亩黄花菜绿色标准化种植基地、3万亩国家级小杂粮标准化繁育基地。</w:t>
            </w:r>
          </w:p>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4.新型农业经营主体培育工程：</w:t>
            </w:r>
            <w:r>
              <w:rPr>
                <w:rFonts w:ascii="Times New Roman" w:hAnsi="Times New Roman" w:eastAsia="仿宋_GB2312" w:cs="Times New Roman"/>
                <w:bCs/>
                <w:color w:val="000000" w:themeColor="text1"/>
                <w:sz w:val="28"/>
                <w:szCs w:val="24"/>
                <w14:textFill>
                  <w14:solidFill>
                    <w14:schemeClr w14:val="tx1"/>
                  </w14:solidFill>
                </w14:textFill>
              </w:rPr>
              <w:t>建设农村实用人才实训基地8个，培育高素质农民1万人次；培育龙头企业、合作社、家庭农场150家以上。</w:t>
            </w:r>
          </w:p>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5.高标准农田建设工程：</w:t>
            </w:r>
            <w:r>
              <w:rPr>
                <w:rFonts w:ascii="Times New Roman" w:hAnsi="Times New Roman" w:eastAsia="仿宋_GB2312" w:cs="Times New Roman"/>
                <w:color w:val="000000" w:themeColor="text1"/>
                <w:sz w:val="28"/>
                <w:szCs w:val="24"/>
                <w14:textFill>
                  <w14:solidFill>
                    <w14:schemeClr w14:val="tx1"/>
                  </w14:solidFill>
                </w14:textFill>
              </w:rPr>
              <w:t>推进土地综合整治和节水灌溉设施项目，建设高标准农田19.3万亩。</w:t>
            </w:r>
          </w:p>
          <w:p>
            <w:pPr>
              <w:numPr>
                <w:ilvl w:val="255"/>
                <w:numId w:val="0"/>
              </w:numPr>
              <w:adjustRightInd w:val="0"/>
              <w:snapToGrid w:val="0"/>
              <w:spacing w:line="480" w:lineRule="exact"/>
              <w:ind w:left="164" w:leftChars="7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6.农产品加工提升工程：</w:t>
            </w:r>
            <w:r>
              <w:rPr>
                <w:rFonts w:ascii="Times New Roman" w:hAnsi="Times New Roman" w:eastAsia="仿宋_GB2312" w:cs="Times New Roman"/>
                <w:bCs/>
                <w:color w:val="000000" w:themeColor="text1"/>
                <w:sz w:val="28"/>
                <w:szCs w:val="24"/>
                <w14:textFill>
                  <w14:solidFill>
                    <w14:schemeClr w14:val="tx1"/>
                  </w14:solidFill>
                </w14:textFill>
              </w:rPr>
              <w:t>开展农产品加工副产物和农业废弃物综合利用试点项目。</w:t>
            </w:r>
          </w:p>
          <w:p>
            <w:pPr>
              <w:adjustRightInd w:val="0"/>
              <w:snapToGrid w:val="0"/>
              <w:spacing w:line="480" w:lineRule="exact"/>
              <w:ind w:left="164" w:leftChars="78" w:firstLine="562" w:firstLineChars="200"/>
              <w:rPr>
                <w:rFonts w:ascii="Times New Roman" w:hAnsi="Times New Roman" w:eastAsia="仿宋_GB2312" w:cs="Times New Roman"/>
                <w:color w:val="000000" w:themeColor="text1"/>
                <w:sz w:val="30"/>
                <w:szCs w:val="30"/>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7.现代农业产业园区项目：</w:t>
            </w:r>
            <w:r>
              <w:rPr>
                <w:rFonts w:ascii="Times New Roman" w:hAnsi="Times New Roman" w:eastAsia="仿宋_GB2312" w:cs="Times New Roman"/>
                <w:bCs/>
                <w:color w:val="000000" w:themeColor="text1"/>
                <w:sz w:val="28"/>
                <w:szCs w:val="24"/>
                <w14:textFill>
                  <w14:solidFill>
                    <w14:schemeClr w14:val="tx1"/>
                  </w14:solidFill>
                </w14:textFill>
              </w:rPr>
              <w:t>创建以滩羊产业为主的国家级和自治区级产业融合示范园3个。</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149" w:name="_Toc59989524"/>
      <w:bookmarkStart w:id="150" w:name="_Toc2999"/>
      <w:bookmarkStart w:id="151" w:name="_Toc3869"/>
      <w:bookmarkStart w:id="152" w:name="_Toc18423"/>
      <w:r>
        <w:rPr>
          <w:rFonts w:ascii="Times New Roman" w:hAnsi="Times New Roman" w:eastAsia="楷体_GB2312" w:cs="Times New Roman"/>
          <w:b/>
          <w:bCs/>
          <w:color w:val="000000" w:themeColor="text1"/>
          <w:sz w:val="32"/>
          <w:szCs w:val="32"/>
          <w14:textFill>
            <w14:solidFill>
              <w14:schemeClr w14:val="tx1"/>
            </w14:solidFill>
          </w14:textFill>
        </w:rPr>
        <w:t>第二节 推进工业经济转型升级</w:t>
      </w:r>
      <w:bookmarkEnd w:id="149"/>
      <w:bookmarkEnd w:id="150"/>
      <w:bookmarkEnd w:id="151"/>
      <w:bookmarkEnd w:id="152"/>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坚持高端化、智能化、绿色化、融合化发展方向，全面落实中央、自治区推动制造业高质量发展决策部署，锻长板、补短板，促进工业经济质量变革、效率变革和动力变革，构建绿色、低碳、循环发展的新型工业体系。到“十四五”期末，完成规模以上工业总产值240亿元，工业增加值年均增长11%。</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53" w:name="_Toc2726"/>
      <w:bookmarkStart w:id="154" w:name="_Toc26391"/>
      <w:bookmarkStart w:id="155" w:name="_Toc7647"/>
      <w:bookmarkStart w:id="156" w:name="_Toc59989525"/>
      <w:r>
        <w:rPr>
          <w:rFonts w:ascii="Times New Roman" w:hAnsi="Times New Roman" w:eastAsia="楷体_GB2312" w:cs="Times New Roman"/>
          <w:b/>
          <w:bCs/>
          <w:color w:val="000000" w:themeColor="text1"/>
          <w:sz w:val="32"/>
          <w:szCs w:val="28"/>
          <w14:textFill>
            <w14:solidFill>
              <w14:schemeClr w14:val="tx1"/>
            </w14:solidFill>
          </w14:textFill>
        </w:rPr>
        <w:t>（一）推动传统产业改造提升</w:t>
      </w:r>
      <w:bookmarkEnd w:id="153"/>
      <w:bookmarkEnd w:id="154"/>
      <w:bookmarkEnd w:id="155"/>
      <w:bookmarkEnd w:id="156"/>
    </w:p>
    <w:p>
      <w:pPr>
        <w:adjustRightInd w:val="0"/>
        <w:snapToGrid w:val="0"/>
        <w:spacing w:line="580" w:lineRule="exact"/>
        <w:ind w:firstLine="640" w:firstLineChars="200"/>
        <w:rPr>
          <w:rFonts w:ascii="Times New Roman" w:hAnsi="Times New Roman" w:eastAsia="仿宋_GB2312" w:cs="Times New Roman"/>
          <w:bCs/>
          <w:color w:val="000000" w:themeColor="text1"/>
          <w:sz w:val="32"/>
          <w:szCs w:val="28"/>
          <w14:textFill>
            <w14:solidFill>
              <w14:schemeClr w14:val="tx1"/>
            </w14:solidFill>
          </w14:textFill>
        </w:rPr>
      </w:pPr>
      <w:r>
        <w:rPr>
          <w:rFonts w:ascii="Times New Roman" w:hAnsi="Times New Roman" w:eastAsia="仿宋_GB2312" w:cs="Times New Roman"/>
          <w:bCs/>
          <w:color w:val="000000" w:themeColor="text1"/>
          <w:sz w:val="32"/>
          <w:szCs w:val="28"/>
          <w14:textFill>
            <w14:solidFill>
              <w14:schemeClr w14:val="tx1"/>
            </w14:solidFill>
          </w14:textFill>
        </w:rPr>
        <w:t>以能矿资源的集约、绿色、高效开发利用为原则，积极推行矿产智能开采技术工艺，运用大数据、自动化、物联网、北斗高精度定位等现代化智能化技术，提高作业效率与安全性，提高石油、煤炭、天然气、石膏等矿产资源的</w:t>
      </w:r>
      <w:r>
        <w:rPr>
          <w:rFonts w:ascii="Times New Roman" w:hAnsi="Times New Roman" w:eastAsia="仿宋_GB2312" w:cs="Times New Roman"/>
          <w:color w:val="000000" w:themeColor="text1"/>
          <w:sz w:val="32"/>
          <w:szCs w:val="28"/>
          <w14:textFill>
            <w14:solidFill>
              <w14:schemeClr w14:val="tx1"/>
            </w14:solidFill>
          </w14:textFill>
        </w:rPr>
        <w:t>开采效率和资源综合利用效益</w:t>
      </w:r>
      <w:r>
        <w:rPr>
          <w:rFonts w:ascii="Times New Roman" w:hAnsi="Times New Roman" w:eastAsia="仿宋_GB2312" w:cs="Times New Roman"/>
          <w:bCs/>
          <w:color w:val="000000" w:themeColor="text1"/>
          <w:sz w:val="32"/>
          <w:szCs w:val="28"/>
          <w14:textFill>
            <w14:solidFill>
              <w14:schemeClr w14:val="tx1"/>
            </w14:solidFill>
          </w14:textFill>
        </w:rPr>
        <w:t>。推动煤矿技术改造和扩产增效，到“十四五”末，煤炭年产能突破1000万吨。抓住石油二次加快发展和青石峁、定北区块</w:t>
      </w:r>
      <w:r>
        <w:rPr>
          <w:rFonts w:ascii="Times New Roman" w:hAnsi="Times New Roman" w:eastAsia="仿宋_GB2312" w:cs="Times New Roman"/>
          <w:color w:val="000000" w:themeColor="text1"/>
          <w:sz w:val="32"/>
          <w:szCs w:val="28"/>
          <w14:textFill>
            <w14:solidFill>
              <w14:schemeClr w14:val="tx1"/>
            </w14:solidFill>
          </w14:textFill>
        </w:rPr>
        <w:t>两个千亿方级气田开发建设机遇，</w:t>
      </w:r>
      <w:r>
        <w:rPr>
          <w:rFonts w:ascii="Times New Roman" w:hAnsi="Times New Roman" w:eastAsia="仿宋_GB2312" w:cs="Times New Roman"/>
          <w:bCs/>
          <w:color w:val="000000" w:themeColor="text1"/>
          <w:sz w:val="32"/>
          <w:szCs w:val="28"/>
          <w14:textFill>
            <w14:solidFill>
              <w14:schemeClr w14:val="tx1"/>
            </w14:solidFill>
          </w14:textFill>
        </w:rPr>
        <w:t>进一步做好中石油、中石化油气开采协调服务工作，营造良好的勘探开发环境，</w:t>
      </w:r>
      <w:r>
        <w:rPr>
          <w:rFonts w:hint="eastAsia" w:ascii="Times New Roman" w:hAnsi="Times New Roman" w:eastAsia="仿宋_GB2312" w:cs="Times New Roman"/>
          <w:bCs/>
          <w:color w:val="000000" w:themeColor="text1"/>
          <w:sz w:val="32"/>
          <w:szCs w:val="28"/>
          <w14:textFill>
            <w14:solidFill>
              <w14:schemeClr w14:val="tx1"/>
            </w14:solidFill>
          </w14:textFill>
        </w:rPr>
        <w:t>推进盐池至银川天然气管道建设，</w:t>
      </w:r>
      <w:r>
        <w:rPr>
          <w:rFonts w:ascii="Times New Roman" w:hAnsi="Times New Roman" w:eastAsia="仿宋_GB2312" w:cs="Times New Roman"/>
          <w:bCs/>
          <w:color w:val="000000" w:themeColor="text1"/>
          <w:sz w:val="32"/>
          <w:szCs w:val="28"/>
          <w14:textFill>
            <w14:solidFill>
              <w14:schemeClr w14:val="tx1"/>
            </w14:solidFill>
          </w14:textFill>
        </w:rPr>
        <w:t>到“十四五”末全面实现气化盐池目标，原油年产能达到200万吨、天然气年开发产能突破30亿方。</w:t>
      </w:r>
      <w:r>
        <w:rPr>
          <w:rFonts w:ascii="Times New Roman" w:hAnsi="Times New Roman" w:eastAsia="仿宋_GB2312" w:cs="Times New Roman"/>
          <w:color w:val="000000" w:themeColor="text1"/>
          <w:sz w:val="32"/>
          <w:szCs w:val="28"/>
          <w14:textFill>
            <w14:solidFill>
              <w14:schemeClr w14:val="tx1"/>
            </w14:solidFill>
          </w14:textFill>
        </w:rPr>
        <w:t>建设绿色矿业发展示范区，进一步优化整合石膏开采企业，大力推行石膏开采梯级选矿和尾矿渣综合利用技术，优先支持生产规模大、采矿技术先进、资源利用率高、符合环保安全和绿色矿山建设要求的大中型综合性开采及加工企业3-5家，打造全国石膏生产、加工、销售为一体的基地，确保“十四五”期间石膏矿开采能力达到600万吨以上。</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57" w:name="_Toc59989526"/>
      <w:bookmarkStart w:id="158" w:name="_Toc29370"/>
      <w:bookmarkStart w:id="159" w:name="_Toc9307"/>
      <w:bookmarkStart w:id="160" w:name="_Toc19442"/>
      <w:r>
        <w:rPr>
          <w:rFonts w:ascii="Times New Roman" w:hAnsi="Times New Roman" w:eastAsia="楷体_GB2312" w:cs="Times New Roman"/>
          <w:b/>
          <w:bCs/>
          <w:color w:val="000000" w:themeColor="text1"/>
          <w:sz w:val="32"/>
          <w:szCs w:val="28"/>
          <w14:textFill>
            <w14:solidFill>
              <w14:schemeClr w14:val="tx1"/>
            </w14:solidFill>
          </w14:textFill>
        </w:rPr>
        <w:t>（二）培育壮大化工新材料产业</w:t>
      </w:r>
      <w:bookmarkEnd w:id="157"/>
      <w:bookmarkEnd w:id="158"/>
      <w:bookmarkEnd w:id="159"/>
      <w:bookmarkEnd w:id="160"/>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以高端化、绿色化、智能化、融合化为发展方向，依靠技术创新，继续做强做优油气化工与煤化工等主导产业，推动油气化工与煤化工产业延链展链、纵横融合发展。依托重点能源企业打造宁夏LNG生产加工及天然气储气调峰基地和国内氦气产业基地，以精细化、高效化、差异化为发展方向，推进油气化工与煤化工企业延链发展，重点支持宁鲁石化、金裕海化工等重点企业改造提升，加快推进优维生物食品添加剂、苏沪新材料等精细化工产业向煤化工下游发展，促进现代煤化工与油气化工、电力、化纤等产业融合发展，构建高效率、低排放、清洁加工转化利用的油气化工和煤化工、下游化工新材料体系。立足能源化工“金三角”腹地的优势，主动融入宁东、鄂尔多斯、榆林能源化工产业分工与协作发展，重点打造煤化工及油气化工下游产业融合发展集聚区，实现主导产业提质增效。</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61" w:name="_Toc59989527"/>
      <w:bookmarkStart w:id="162" w:name="_Toc17218"/>
      <w:bookmarkStart w:id="163" w:name="_Toc26776"/>
      <w:bookmarkStart w:id="164" w:name="_Toc31459"/>
      <w:r>
        <w:rPr>
          <w:rFonts w:ascii="Times New Roman" w:hAnsi="Times New Roman" w:eastAsia="楷体_GB2312" w:cs="Times New Roman"/>
          <w:b/>
          <w:bCs/>
          <w:color w:val="000000" w:themeColor="text1"/>
          <w:sz w:val="32"/>
          <w:szCs w:val="28"/>
          <w14:textFill>
            <w14:solidFill>
              <w14:schemeClr w14:val="tx1"/>
            </w14:solidFill>
          </w14:textFill>
        </w:rPr>
        <w:t>（三）打造中国天然石膏制品基地</w:t>
      </w:r>
      <w:bookmarkEnd w:id="161"/>
      <w:bookmarkEnd w:id="162"/>
      <w:bookmarkEnd w:id="163"/>
      <w:bookmarkEnd w:id="164"/>
    </w:p>
    <w:p>
      <w:pPr>
        <w:adjustRightInd w:val="0"/>
        <w:snapToGrid w:val="0"/>
        <w:spacing w:line="580" w:lineRule="exact"/>
        <w:ind w:firstLine="640" w:firstLineChars="200"/>
        <w:rPr>
          <w:rFonts w:ascii="Times New Roman" w:hAnsi="Times New Roman" w:eastAsia="仿宋_GB2312" w:cs="Times New Roman"/>
          <w:b/>
          <w:bCs/>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依托巨拓、盛华龙等石膏企业建设全国天然石膏生产加工研发集聚区，推进传统石膏产业技术改造创新升级，提高石膏产品的技术含量和附加值，重点发展新型石膏建材产品、石膏晶须、GRG装配材料、轻质板材，支持发展高强石膏粉、自流平石膏、抹灰石膏、节能保温石膏建筑材料，积极开发食品、医用、化工、陶瓷、工艺品等行业石膏应用新产品，建设全国天然石膏生产加工研发集聚区。依托高品质石膏采选矿、石膏粉深加工和中高端石膏制品生产加工平台，构建原矿开采、石膏粉深加工、中高端石膏制品加工、科技支撑、物流配送等为一体的全产业链发展格局，将盐池石膏产业基地打造成为全国规模最大、最具影响力的中高端天然石膏产业基地和石膏产制品产供销集散中心，打响“盐池石膏”品牌。到“十四五”期末，石膏粉产量达到400万吨，石膏制品达到100万吨，就地加工转化率达到80%以上，力争石膏及建筑新材料产业总产值突破</w:t>
      </w:r>
      <w:r>
        <w:rPr>
          <w:rFonts w:hint="eastAsia" w:ascii="Times New Roman" w:hAnsi="Times New Roman" w:eastAsia="仿宋_GB2312" w:cs="Times New Roman"/>
          <w:color w:val="000000" w:themeColor="text1"/>
          <w:sz w:val="32"/>
          <w:szCs w:val="28"/>
          <w14:textFill>
            <w14:solidFill>
              <w14:schemeClr w14:val="tx1"/>
            </w14:solidFill>
          </w14:textFill>
        </w:rPr>
        <w:t>3</w:t>
      </w:r>
      <w:r>
        <w:rPr>
          <w:rFonts w:ascii="Times New Roman" w:hAnsi="Times New Roman" w:eastAsia="仿宋_GB2312" w:cs="Times New Roman"/>
          <w:color w:val="000000" w:themeColor="text1"/>
          <w:sz w:val="32"/>
          <w:szCs w:val="28"/>
          <w14:textFill>
            <w14:solidFill>
              <w14:schemeClr w14:val="tx1"/>
            </w14:solidFill>
          </w14:textFill>
        </w:rPr>
        <w:t>0亿元。</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65" w:name="_Toc5165"/>
      <w:bookmarkStart w:id="166" w:name="_Toc26339"/>
      <w:bookmarkStart w:id="167" w:name="_Toc1012"/>
      <w:bookmarkStart w:id="168" w:name="_Toc59989528"/>
      <w:r>
        <w:rPr>
          <w:rFonts w:ascii="Times New Roman" w:hAnsi="Times New Roman" w:eastAsia="楷体_GB2312" w:cs="Times New Roman"/>
          <w:b/>
          <w:bCs/>
          <w:color w:val="000000" w:themeColor="text1"/>
          <w:sz w:val="32"/>
          <w:szCs w:val="28"/>
          <w14:textFill>
            <w14:solidFill>
              <w14:schemeClr w14:val="tx1"/>
            </w14:solidFill>
          </w14:textFill>
        </w:rPr>
        <w:t>（四）稳步提升战略型新兴产业发展水平</w:t>
      </w:r>
      <w:bookmarkEnd w:id="165"/>
      <w:bookmarkEnd w:id="166"/>
      <w:bookmarkEnd w:id="167"/>
      <w:bookmarkEnd w:id="168"/>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稳步推进风光电产业发展，依托百万千瓦级光伏基地和麻黄山平价风电基地，</w:t>
      </w:r>
      <w:r>
        <w:rPr>
          <w:rFonts w:hint="eastAsia" w:ascii="Times New Roman" w:hAnsi="Times New Roman" w:eastAsia="仿宋_GB2312" w:cs="Times New Roman"/>
          <w:color w:val="000000" w:themeColor="text1"/>
          <w:sz w:val="32"/>
          <w:szCs w:val="28"/>
          <w14:textFill>
            <w14:solidFill>
              <w14:schemeClr w14:val="tx1"/>
            </w14:solidFill>
          </w14:textFill>
        </w:rPr>
        <w:t>推进风光储一体化发展，</w:t>
      </w:r>
      <w:r>
        <w:rPr>
          <w:rFonts w:ascii="Times New Roman" w:hAnsi="Times New Roman" w:eastAsia="仿宋_GB2312" w:cs="Times New Roman"/>
          <w:color w:val="000000" w:themeColor="text1"/>
          <w:sz w:val="32"/>
          <w:szCs w:val="28"/>
          <w14:textFill>
            <w14:solidFill>
              <w14:schemeClr w14:val="tx1"/>
            </w14:solidFill>
          </w14:textFill>
        </w:rPr>
        <w:t>高水平建设国家新能源示范基地。以新一轮科技革命加速推进为契机，着力推进“互联网+”智慧能源建设。促进设施农业、畜牧养殖、防沙治沙、生态旅游与光伏发电互补发展，提升新能源产业对经济发展和农民增收的带动作用。按照“优先存量、优化增量”的原则，实现资源优化配置，到“十四五”期末，全县风力并网发电稳定在330万千瓦，光伏并网发电达到200万千瓦以上。积极发展节能环保产业，重点培育固废协同处置综合利用、农家肥有机萃取等产业，建设上峰固废危废协同处置环保示范园，打造西北地区处置规模最大、品类最全的固废危废处理基地。拓宽生物医药保健品发展领域，推进特有资源生物成分提取、螺旋藻精深加工、甘草制品、左卡尼汀食品添加剂、活性肽、荞麦保健品等行业发展。</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69" w:name="_Toc9492"/>
      <w:bookmarkStart w:id="170" w:name="_Toc8494"/>
      <w:bookmarkStart w:id="171" w:name="_Toc28095"/>
      <w:bookmarkStart w:id="172" w:name="_Toc59989529"/>
      <w:r>
        <w:rPr>
          <w:rFonts w:ascii="Times New Roman" w:hAnsi="Times New Roman" w:eastAsia="楷体_GB2312" w:cs="Times New Roman"/>
          <w:b/>
          <w:bCs/>
          <w:color w:val="000000" w:themeColor="text1"/>
          <w:sz w:val="32"/>
          <w:szCs w:val="28"/>
          <w14:textFill>
            <w14:solidFill>
              <w14:schemeClr w14:val="tx1"/>
            </w14:solidFill>
          </w14:textFill>
        </w:rPr>
        <w:t>（五）提升工业园区产业集聚和支撑能力</w:t>
      </w:r>
      <w:bookmarkEnd w:id="169"/>
      <w:bookmarkEnd w:id="170"/>
      <w:bookmarkEnd w:id="171"/>
      <w:bookmarkEnd w:id="172"/>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优化园区空间布局，提升园区承载能力。</w:t>
      </w:r>
      <w:r>
        <w:rPr>
          <w:rFonts w:ascii="Times New Roman" w:hAnsi="Times New Roman" w:eastAsia="仿宋_GB2312" w:cs="Times New Roman"/>
          <w:color w:val="000000" w:themeColor="text1"/>
          <w:sz w:val="32"/>
          <w:szCs w:val="28"/>
          <w14:textFill>
            <w14:solidFill>
              <w14:schemeClr w14:val="tx1"/>
            </w14:solidFill>
          </w14:textFill>
        </w:rPr>
        <w:t>继续完善修编园区总体规划，优化发展定位与功能分区，合理布局入园项目。加快园区基础设施建设，采用政府投资与社会投资相结合的方式，建设完善园区集中供热、集中供气（蒸汽）、污水处理、综合服务、现代物流等基础配套设施，实现“九通一平”，不断提升园区承载能力和服务水平。</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优化园区产业布局，提升产业集聚能力。</w:t>
      </w:r>
      <w:r>
        <w:rPr>
          <w:rFonts w:ascii="Times New Roman" w:hAnsi="Times New Roman" w:eastAsia="仿宋_GB2312" w:cs="Times New Roman"/>
          <w:color w:val="000000" w:themeColor="text1"/>
          <w:sz w:val="32"/>
          <w:szCs w:val="28"/>
          <w14:textFill>
            <w14:solidFill>
              <w14:schemeClr w14:val="tx1"/>
            </w14:solidFill>
          </w14:textFill>
        </w:rPr>
        <w:t>完善园区产业规划，明确园区发展主导产业及其空间布局，推动产业结构改造、绿色改造、技术改造、智能改造，加快产业结构、产品结构、产能结构调整。县城区块重点发展油气化工下游产业、特色农副产品加工产业，高沙窝区块重点发展化工新材料产业，青山-大水坑区块重点发展石膏新材料产业，逐步形成布局合理、结构优化、功能互补、分工协作的产业发展格局，切实提高园区集聚能力，促进园区产业集聚发展。</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推进园区集约绿色发展，提升安全环保水平。</w:t>
      </w:r>
      <w:r>
        <w:rPr>
          <w:rFonts w:ascii="Times New Roman" w:hAnsi="Times New Roman" w:eastAsia="仿宋_GB2312" w:cs="Times New Roman"/>
          <w:color w:val="000000" w:themeColor="text1"/>
          <w:sz w:val="32"/>
          <w:szCs w:val="28"/>
          <w14:textFill>
            <w14:solidFill>
              <w14:schemeClr w14:val="tx1"/>
            </w14:solidFill>
          </w14:textFill>
        </w:rPr>
        <w:t>加强园区整合优化提升力度，重点推进闲置土地处置、盘活利用低效用地，加大僵尸企业处置力度，腾退发展空间，提升园区土地集约利用水平。采用先进技术手段，推动园区产业绿色化改造、资源循环化利用和企业清洁化生产，实现集约、绿色、安全、循环发展。</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b/>
          <w:bCs/>
          <w:color w:val="000000" w:themeColor="text1"/>
          <w:sz w:val="32"/>
          <w:szCs w:val="28"/>
          <w14:textFill>
            <w14:solidFill>
              <w14:schemeClr w14:val="tx1"/>
            </w14:solidFill>
          </w14:textFill>
        </w:rPr>
        <w:t>推进智慧园区建设，提升园区智能化服务水平。</w:t>
      </w:r>
      <w:r>
        <w:rPr>
          <w:rFonts w:ascii="Times New Roman" w:hAnsi="Times New Roman" w:eastAsia="仿宋_GB2312" w:cs="Times New Roman"/>
          <w:color w:val="000000" w:themeColor="text1"/>
          <w:sz w:val="32"/>
          <w:szCs w:val="28"/>
          <w14:textFill>
            <w14:solidFill>
              <w14:schemeClr w14:val="tx1"/>
            </w14:solidFill>
          </w14:textFill>
        </w:rPr>
        <w:t>以信息技术为手段、智慧应用为支撑，全面整合园区内外资源，综合运用人工智能、互联网、物联网、云计算、大数据、智慧消防、融合通信等技术，构建园区各区块联动的统一管理平台，连通园区内各部门、各企业间的应用服务平台，形成集运行监测、用地管理、环境监测、安全监管、协同办公等功能为一体的智慧园区管理和服务平台系统。</w:t>
      </w:r>
    </w:p>
    <w:p>
      <w:pPr>
        <w:pStyle w:val="2"/>
      </w:pPr>
    </w:p>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专栏三：工业转型升级重点工程项目</w:t>
      </w:r>
    </w:p>
    <w:tbl>
      <w:tblPr>
        <w:tblStyle w:val="23"/>
        <w:tblW w:w="892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85" w:type="dxa"/>
          <w:left w:w="227" w:type="dxa"/>
          <w:bottom w:w="85" w:type="dxa"/>
          <w:right w:w="227" w:type="dxa"/>
        </w:tblCellMar>
      </w:tblPr>
      <w:tblGrid>
        <w:gridCol w:w="89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8921" w:type="dxa"/>
            <w:tcBorders>
              <w:top w:val="single" w:color="auto" w:sz="8" w:space="0"/>
              <w:left w:val="single" w:color="auto" w:sz="8" w:space="0"/>
              <w:bottom w:val="single" w:color="auto" w:sz="8" w:space="0"/>
              <w:right w:val="single" w:color="auto" w:sz="8" w:space="0"/>
            </w:tcBorders>
            <w:shd w:val="clear" w:color="auto" w:fill="auto"/>
          </w:tcPr>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能矿资源高效开发项目：</w:t>
            </w:r>
            <w:r>
              <w:rPr>
                <w:rFonts w:ascii="Times New Roman" w:hAnsi="Times New Roman" w:eastAsia="仿宋_GB2312" w:cs="Times New Roman"/>
                <w:bCs/>
                <w:color w:val="000000" w:themeColor="text1"/>
                <w:sz w:val="28"/>
                <w:szCs w:val="24"/>
                <w14:textFill>
                  <w14:solidFill>
                    <w14:schemeClr w14:val="tx1"/>
                  </w14:solidFill>
                </w14:textFill>
              </w:rPr>
              <w:t>青石峁区域、定北区块天然气综合转化利用项目，宋新庄煤矿、李家坝煤矿、贺家窑煤矿、惠安煤矿等开采项目，石膏矿开采项目。</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油气及煤化工延链项目：</w:t>
            </w:r>
            <w:r>
              <w:rPr>
                <w:rFonts w:ascii="Times New Roman" w:hAnsi="Times New Roman" w:eastAsia="仿宋_GB2312" w:cs="Times New Roman"/>
                <w:bCs/>
                <w:color w:val="000000" w:themeColor="text1"/>
                <w:sz w:val="28"/>
                <w:szCs w:val="24"/>
                <w14:textFill>
                  <w14:solidFill>
                    <w14:schemeClr w14:val="tx1"/>
                  </w14:solidFill>
                </w14:textFill>
              </w:rPr>
              <w:t>哈纳斯盐池县液化天然气一期建设项目、宁夏瑞峰能源有限公司焦炉煤气制20万吨LNG联产30万吨合成氨项目、汉唐能源科技有限公司50万吨/年甲醇制乙醇及产业链一体化项目、深燃众源天然气有限公司200万方/日液化天然气及BOG提氦项目、天利丰能源利用有限公司年产40万方液化天然气及50万方高纯氦气项目、新珂源日处理150万方液化天然气项目、丰利源4万吨轻烃精细化加工项目、金裕海化工产品质量升级项目。</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新材料项目：</w:t>
            </w:r>
            <w:r>
              <w:rPr>
                <w:rFonts w:ascii="Times New Roman" w:hAnsi="Times New Roman" w:eastAsia="仿宋_GB2312" w:cs="Times New Roman"/>
                <w:bCs/>
                <w:color w:val="000000" w:themeColor="text1"/>
                <w:sz w:val="28"/>
                <w:szCs w:val="24"/>
                <w14:textFill>
                  <w14:solidFill>
                    <w14:schemeClr w14:val="tx1"/>
                  </w14:solidFill>
                </w14:textFill>
              </w:rPr>
              <w:t>20万吨碳酸二甲酯、12万吨生物可降解聚酯新材料、30万吨新型瓶级聚酯切片项目、5万吨醋酸乙烯-乙烯共聚乳液生产项目、6万吨EVA树脂生产项目。</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石膏精深加工项目：</w:t>
            </w:r>
            <w:r>
              <w:rPr>
                <w:rFonts w:ascii="Times New Roman" w:hAnsi="Times New Roman" w:eastAsia="仿宋_GB2312" w:cs="Times New Roman"/>
                <w:bCs/>
                <w:color w:val="000000" w:themeColor="text1"/>
                <w:spacing w:val="-6"/>
                <w:sz w:val="28"/>
                <w:szCs w:val="24"/>
                <w14:textFill>
                  <w14:solidFill>
                    <w14:schemeClr w14:val="tx1"/>
                  </w14:solidFill>
                </w14:textFill>
              </w:rPr>
              <w:t>大水坑石膏制品加工项目、盛华龙矿业400万吨石膏深加工项目、巨拓二期石膏制品项目、青山石膏粉深加工项目。</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新能源项目：</w:t>
            </w:r>
            <w:r>
              <w:rPr>
                <w:rFonts w:ascii="Times New Roman" w:hAnsi="Times New Roman" w:eastAsia="仿宋_GB2312" w:cs="Times New Roman"/>
                <w:bCs/>
                <w:color w:val="000000" w:themeColor="text1"/>
                <w:sz w:val="28"/>
                <w:szCs w:val="24"/>
                <w14:textFill>
                  <w14:solidFill>
                    <w14:schemeClr w14:val="tx1"/>
                  </w14:solidFill>
                </w14:textFill>
              </w:rPr>
              <w:t>王乐井50万千瓦光伏产业园、高沙窝50万千瓦光伏产业园、广东猛狮新能源储能研究应用一体化综合示范基地、中民投20万千瓦、北京中兴光伏10万千瓦、中能建投盐池光伏发电项目、泽凯三道山风电项目。</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生物医药项目：</w:t>
            </w:r>
            <w:r>
              <w:rPr>
                <w:rFonts w:ascii="Times New Roman" w:hAnsi="Times New Roman" w:eastAsia="仿宋_GB2312" w:cs="Times New Roman"/>
                <w:bCs/>
                <w:color w:val="000000" w:themeColor="text1"/>
                <w:sz w:val="28"/>
                <w:szCs w:val="24"/>
                <w14:textFill>
                  <w14:solidFill>
                    <w14:schemeClr w14:val="tx1"/>
                  </w14:solidFill>
                </w14:textFill>
              </w:rPr>
              <w:t>宁夏优维生物科技有限公司左卡尼汀等食品添加剂、环太荞麦健康产业园项目、国泽生物甘草加工、微藻生物深加工项目，闽宁生物科技产业园。</w:t>
            </w:r>
          </w:p>
          <w:p>
            <w:pPr>
              <w:numPr>
                <w:ilvl w:val="0"/>
                <w:numId w:val="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园区基础设施建设：</w:t>
            </w:r>
            <w:r>
              <w:rPr>
                <w:rFonts w:ascii="Times New Roman" w:hAnsi="Times New Roman" w:eastAsia="仿宋_GB2312" w:cs="Times New Roman"/>
                <w:bCs/>
                <w:color w:val="000000" w:themeColor="text1"/>
                <w:sz w:val="28"/>
                <w:szCs w:val="24"/>
                <w14:textFill>
                  <w14:solidFill>
                    <w14:schemeClr w14:val="tx1"/>
                  </w14:solidFill>
                </w14:textFill>
              </w:rPr>
              <w:t>盐池工业园区集中供能、天然气管网、供水管网改造、雨污管线改造、污水处理厂提标改造、中水回用等基础设施建设项目</w:t>
            </w:r>
            <w:r>
              <w:rPr>
                <w:rFonts w:hint="eastAsia" w:ascii="Times New Roman" w:hAnsi="Times New Roman" w:eastAsia="仿宋_GB2312" w:cs="Times New Roman"/>
                <w:bCs/>
                <w:color w:val="000000" w:themeColor="text1"/>
                <w:sz w:val="28"/>
                <w:szCs w:val="24"/>
                <w14:textFill>
                  <w14:solidFill>
                    <w14:schemeClr w14:val="tx1"/>
                  </w14:solidFill>
                </w14:textFill>
              </w:rPr>
              <w:t>，大水坑、青山石膏工业园区低成本园区天然气及镇区民用天然气建设项目。</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173" w:name="_Toc25856"/>
      <w:bookmarkStart w:id="174" w:name="_Toc6308"/>
      <w:bookmarkStart w:id="175" w:name="_Toc59989530"/>
      <w:bookmarkStart w:id="176" w:name="_Toc9674"/>
      <w:r>
        <w:rPr>
          <w:rFonts w:ascii="Times New Roman" w:hAnsi="Times New Roman" w:eastAsia="楷体_GB2312" w:cs="Times New Roman"/>
          <w:b/>
          <w:bCs/>
          <w:color w:val="000000" w:themeColor="text1"/>
          <w:sz w:val="32"/>
          <w:szCs w:val="32"/>
          <w14:textFill>
            <w14:solidFill>
              <w14:schemeClr w14:val="tx1"/>
            </w14:solidFill>
          </w14:textFill>
        </w:rPr>
        <w:t>第三节 加速现代服务业发展</w:t>
      </w:r>
      <w:bookmarkEnd w:id="173"/>
      <w:bookmarkEnd w:id="174"/>
      <w:bookmarkEnd w:id="175"/>
      <w:bookmarkEnd w:id="176"/>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坚持紧跟消费需求、紧贴生产需要，推进服务业标准化、品牌化建设，扩大服务业规模，提升服务业质量，促进服务业提档升级。</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77" w:name="_Toc14523"/>
      <w:bookmarkStart w:id="178" w:name="_Toc32345"/>
      <w:bookmarkStart w:id="179" w:name="_Toc23422"/>
      <w:r>
        <w:rPr>
          <w:rFonts w:ascii="Times New Roman" w:hAnsi="Times New Roman" w:eastAsia="楷体_GB2312" w:cs="Times New Roman"/>
          <w:b/>
          <w:bCs/>
          <w:color w:val="000000" w:themeColor="text1"/>
          <w:sz w:val="32"/>
          <w:szCs w:val="28"/>
          <w14:textFill>
            <w14:solidFill>
              <w14:schemeClr w14:val="tx1"/>
            </w14:solidFill>
          </w14:textFill>
        </w:rPr>
        <w:t>（一）提升现代服务业发展水平</w:t>
      </w:r>
      <w:bookmarkEnd w:id="177"/>
      <w:bookmarkEnd w:id="178"/>
      <w:bookmarkEnd w:id="179"/>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顺应科技革命、产业变革、消费升级的趋势，把加快发展现代服务业摆在优先位置，坚持突出特色、打造亮点、补齐短板的思路，推动生产性服务业向专业化和价值链高端化延伸，推进现代服务业同先进制造业、现代农业深度融合发展，着力培育信息服务、电子商务、现代物流等新型服务业发展。推动生活性服务业向高品质和多样化转型升级，加快发展健康、养老、育幼、文化、旅游、体育、家政、物业等服务业，加强公益性、基础性服务业供给。到“十四五”末，服务业增加值占GDP比重达到45%以上。</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80" w:name="_Toc59989531"/>
      <w:bookmarkStart w:id="181" w:name="_Toc4041"/>
      <w:bookmarkStart w:id="182" w:name="_Toc224"/>
      <w:bookmarkStart w:id="183" w:name="_Toc645"/>
      <w:r>
        <w:rPr>
          <w:rFonts w:ascii="Times New Roman" w:hAnsi="Times New Roman" w:eastAsia="楷体_GB2312" w:cs="Times New Roman"/>
          <w:b/>
          <w:bCs/>
          <w:color w:val="000000" w:themeColor="text1"/>
          <w:sz w:val="32"/>
          <w:szCs w:val="28"/>
          <w14:textFill>
            <w14:solidFill>
              <w14:schemeClr w14:val="tx1"/>
            </w14:solidFill>
          </w14:textFill>
        </w:rPr>
        <w:t>（二）打造特色生态文化旅游目的地</w:t>
      </w:r>
      <w:bookmarkEnd w:id="180"/>
      <w:bookmarkEnd w:id="181"/>
      <w:bookmarkEnd w:id="182"/>
      <w:bookmarkEnd w:id="183"/>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以创建国家全域旅游示范区为抓手，抢抓长城、长征、黄河国家文化公园建设机遇，坚持把旅游业融入经济社会发展全局和“+旅游”、“旅游+”多业融合发展，完善吃、住、行、游、购、娱旅游产品体系，全面构建“一心三横一纵四板块”的全域旅游发展格局。实施旅游精准工程，完善提升旅游基础设施，重点优化旅游交通线路，打造特色“快旅慢游”交通网络系统，全面提升智慧旅游服务水平，积极推动盐州古城历史文化旅游区5A景区创建工作。整合革命历史纪念园、长城博物馆、古城墙、通用机场、哈巴湖等文化旅游资源，大力开发生态休闲游、航空体验游、长城观光游、革命教育游等旅游产品。继续举办国际自行车邀请赛、长城徒步走、全国跳伞锦标赛等品牌赛事。进一步完善曹泥洼、兴武营全国乡村旅游示范点旅游设施配套，集中打造红山沟、何家大院等一批内涵丰富、特色鲜明的乡村旅游示范点，发展一批休闲农庄、田园综合体、精品农家乐和特色民宿。到“十四五”末，旅游接待人数达到260万人次、综合收入突破10亿元，文化及相关产业增加值占GDP比重达到5%以上。</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84" w:name="_Toc15265"/>
      <w:bookmarkStart w:id="185" w:name="_Toc59989532"/>
      <w:bookmarkStart w:id="186" w:name="_Toc18579"/>
      <w:bookmarkStart w:id="187" w:name="_Toc20512"/>
      <w:r>
        <w:rPr>
          <w:rFonts w:ascii="Times New Roman" w:hAnsi="Times New Roman" w:eastAsia="楷体_GB2312" w:cs="Times New Roman"/>
          <w:b/>
          <w:bCs/>
          <w:color w:val="000000" w:themeColor="text1"/>
          <w:sz w:val="32"/>
          <w:szCs w:val="28"/>
          <w14:textFill>
            <w14:solidFill>
              <w14:schemeClr w14:val="tx1"/>
            </w14:solidFill>
          </w14:textFill>
        </w:rPr>
        <w:t>（三）建设区域性物流集散中心</w:t>
      </w:r>
      <w:bookmarkEnd w:id="184"/>
      <w:bookmarkEnd w:id="185"/>
      <w:bookmarkEnd w:id="186"/>
      <w:bookmarkEnd w:id="187"/>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依托综合交通枢纽区位优势，推动物流与交通融合发展，建设大型智慧物流园区，健全以德昌铁路物流中心为主、以专业市场为辅的物流产业体系，优化发展城北物流中心、大水坑石膏扶贫基地服务区（物流）。整合提升韵达、中通、顺丰等快递物流网点服务能力，搭建智能物流仓储系统，完善跨区域多式联运物流体系，建设辐射陕甘宁蒙的跨区域的集散物流中心和快递物流周转基地。加快宁夏德昌铁路物流园二期项目建设，提升危化物流、综合仓储、公铁联运等配套服务功能，到“十四五”末，铁路货物到发量达到300万吨以上。以农产品优势产区为主体，加强农产品集散中心、物流配送中心和展销中心建设，加强特色优势农产品生产基地冷链设施建设，健全完善县城物流配送中心、乡镇配送节点、村末端公共服务站点为支撑的农村物流配送网络。加快发展电商物流、供应链物流、冷链物流和智慧物流等物流新业态，建设货物运输信息分布与共享平台，形成统一的货物联运机制。</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88" w:name="_Toc10993"/>
      <w:bookmarkStart w:id="189" w:name="_Toc23448"/>
      <w:bookmarkStart w:id="190" w:name="_Toc31297"/>
      <w:bookmarkStart w:id="191" w:name="_Toc59989533"/>
      <w:r>
        <w:rPr>
          <w:rFonts w:ascii="Times New Roman" w:hAnsi="Times New Roman" w:eastAsia="楷体_GB2312" w:cs="Times New Roman"/>
          <w:b/>
          <w:bCs/>
          <w:color w:val="000000" w:themeColor="text1"/>
          <w:sz w:val="32"/>
          <w:szCs w:val="28"/>
          <w14:textFill>
            <w14:solidFill>
              <w14:schemeClr w14:val="tx1"/>
            </w14:solidFill>
          </w14:textFill>
        </w:rPr>
        <w:t>（四）构建现代商贸金融服务体系</w:t>
      </w:r>
      <w:bookmarkEnd w:id="188"/>
      <w:bookmarkEnd w:id="189"/>
      <w:bookmarkEnd w:id="190"/>
      <w:bookmarkEnd w:id="191"/>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充分发挥陕甘宁蒙交界区的枢纽区位优势，统筹规划县城中心商业区、城镇和农村商业网点，合理规划布局各类综合市场、专业市场、特色街区，重点推进城北商贸集聚区、芙蓉特色商业街、滩羊美食文化街等特色街区建设，加快推进建材、机械租赁、二手车交易、古玩奇石花鸟鱼宠等专业市场发展，全面构建充满活力、竞争有序、特色明显、优势互补的现代商贸发展新格局。依托国家级电子商务进农村示范项目，进一步提升电商运营中心、农村电商站点服务功能，拓宽农产品进城、工业品下乡渠道。运用现代信息技术、经营理念、商业形态，培育和提升现代物流、社区服务、商品专营销售、文化消费、休闲娱乐等服务业，构建多元化的现代商贸服务体系。支持发展新兴金融业，鼓励发展多种形式的风险创业投资，支持开展融资租赁、消费金融发展，规范引导股权众筹、第三方支付等互联网金融发展。争取中国银行、交通银行等金融机构在盐池设立分支机构，支持本地信用社、村镇银行、小额贷款公司等金融机构发展壮大。加大涉农金融产品开发力度，巩固发展村级互助资金，设立产业引导基金，综合运用财政贴息、保费补偿等方式，支持财政、银行、证券、保险、担保等新型金融业态建立对接合作机制。培育上市公司“种子”群，鼓励企业改制进入新三板或地方股权交易所直接融资，推动融资渠道多元化发展。</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92" w:name="_Toc59989534"/>
      <w:bookmarkStart w:id="193" w:name="_Toc14443"/>
      <w:bookmarkStart w:id="194" w:name="_Toc7245"/>
      <w:bookmarkStart w:id="195" w:name="_Toc27782"/>
      <w:r>
        <w:rPr>
          <w:rFonts w:ascii="Times New Roman" w:hAnsi="Times New Roman" w:eastAsia="楷体_GB2312" w:cs="Times New Roman"/>
          <w:b/>
          <w:bCs/>
          <w:color w:val="000000" w:themeColor="text1"/>
          <w:sz w:val="32"/>
          <w:szCs w:val="28"/>
          <w14:textFill>
            <w14:solidFill>
              <w14:schemeClr w14:val="tx1"/>
            </w14:solidFill>
          </w14:textFill>
        </w:rPr>
        <w:t>（五）打造高质量通航产业示范区</w:t>
      </w:r>
      <w:bookmarkEnd w:id="192"/>
      <w:bookmarkEnd w:id="193"/>
      <w:bookmarkEnd w:id="194"/>
      <w:bookmarkEnd w:id="195"/>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抢抓国家开放低空空域和国内通用航空业大发展机遇，依托通用机场，立足现有通航产业基础，发展航空旅游、航空体育和航空物流三大特色产业，积极争取建设全国无人机驾驶航空试验区。提升完善通用航空设施，积极融入自治区通用航空网络，培育发展旅游航线、包机飞行、公务航空业务，以通用航空产业制造和运营的其他相关产业为延伸，促进上下游产业创新与融合发展。结合本地及周边市场需求，优化至月牙湖等短途旅游运输航线，拓展通用机场至沙坡头、六盘山、鄂尔多斯、榆林等景区低空旅游、短途运输航线。规划建设通用航空产业园，发展通用航空小型航空器制造、组装、测试、展销、维修等产业，开展空中摄影、气象探测、飞行培训、航空器托管、森林防火、应急救援、城市管理等通用航空服务。</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196" w:name="_Toc5903"/>
      <w:bookmarkStart w:id="197" w:name="_Toc31679"/>
      <w:bookmarkStart w:id="198" w:name="_Toc6876"/>
      <w:bookmarkStart w:id="199" w:name="_Toc59989535"/>
      <w:r>
        <w:rPr>
          <w:rFonts w:ascii="Times New Roman" w:hAnsi="Times New Roman" w:eastAsia="楷体_GB2312" w:cs="Times New Roman"/>
          <w:b/>
          <w:bCs/>
          <w:color w:val="000000" w:themeColor="text1"/>
          <w:sz w:val="32"/>
          <w:szCs w:val="28"/>
          <w14:textFill>
            <w14:solidFill>
              <w14:schemeClr w14:val="tx1"/>
            </w14:solidFill>
          </w14:textFill>
        </w:rPr>
        <w:t>（六）促进文化及相关产业快速发展</w:t>
      </w:r>
      <w:bookmarkEnd w:id="196"/>
      <w:bookmarkEnd w:id="197"/>
      <w:bookmarkEnd w:id="198"/>
      <w:bookmarkEnd w:id="199"/>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以增强人民群众获得感、幸福感为出发点和落脚点，以深化文化供给侧结构性改革为主线，以提升文化及相关产业发展质量和整体水平为重点，充分利用我县独特的文化遗产和自然资源优势，统筹文化资源保护和利用，完善公共文化设施和基础服务，放大文化及相关产业综合效应，从供需两端发力，挖潜力、增活力、补短板，强弱项，创品牌，大力促进文化及相关产业从资源依赖型向创新开发型转变，从观光消费型向综合效益型转变，从自然增长型向高质量发展型转变，推进新时代文化及相关产业发展迈上新台阶，真正把文化及相关产业打造成为推动绿色发展崛起的首位产业和支柱产业，全县文化市场繁荣发展，市场主体活力迸发，文化产业结构更优、业态更新、品牌更响、质量更高、效益显著，形成完善的现代文化产业体系和市场体系。</w:t>
      </w:r>
      <w:r>
        <w:rPr>
          <w:rFonts w:ascii="Times New Roman" w:hAnsi="Times New Roman" w:eastAsia="仿宋_GB2312" w:cs="Times New Roman"/>
          <w:color w:val="000000" w:themeColor="text1"/>
          <w:sz w:val="32"/>
          <w:szCs w:val="32"/>
          <w14:textFill>
            <w14:solidFill>
              <w14:schemeClr w14:val="tx1"/>
            </w14:solidFill>
          </w14:textFill>
        </w:rPr>
        <w:t>以朔方书院为中心，强化盐州古城历史文化旅游区文化建设内容，着力打造“长城关—老制药厂（五七厂、白皮厂）—花马池古城北—滩羊雕塑”文化创意主题公园建设项目。实施文艺作品质量提升工程，结合文艺精品创作，打造《盐州胡旋》舞大型主题演绎活动，借助网络的传播优势，不断创造有特色、有人气、有流量的文化符号。</w:t>
      </w:r>
    </w:p>
    <w:p>
      <w:pPr>
        <w:pStyle w:val="49"/>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color w:val="000000" w:themeColor="text1"/>
          <w14:textFill>
            <w14:solidFill>
              <w14:schemeClr w14:val="tx1"/>
            </w14:solidFill>
          </w14:textFill>
        </w:rPr>
        <w:t>专栏四：现代服务业重点工程项目</w:t>
      </w:r>
    </w:p>
    <w:tbl>
      <w:tblPr>
        <w:tblStyle w:val="23"/>
        <w:tblW w:w="87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85" w:type="dxa"/>
          <w:left w:w="227" w:type="dxa"/>
          <w:bottom w:w="85" w:type="dxa"/>
          <w:right w:w="227" w:type="dxa"/>
        </w:tblCellMar>
      </w:tblPr>
      <w:tblGrid>
        <w:gridCol w:w="87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871" w:hRule="atLeast"/>
          <w:jc w:val="center"/>
        </w:trPr>
        <w:tc>
          <w:tcPr>
            <w:tcW w:w="8759" w:type="dxa"/>
            <w:tcBorders>
              <w:top w:val="single" w:color="auto" w:sz="8" w:space="0"/>
              <w:left w:val="single" w:color="auto" w:sz="8" w:space="0"/>
              <w:bottom w:val="single" w:color="auto" w:sz="8" w:space="0"/>
              <w:right w:val="single" w:color="auto" w:sz="8" w:space="0"/>
            </w:tcBorders>
            <w:shd w:val="clear" w:color="auto" w:fill="auto"/>
          </w:tcPr>
          <w:p>
            <w:pPr>
              <w:numPr>
                <w:ilvl w:val="0"/>
                <w:numId w:val="3"/>
              </w:numPr>
              <w:spacing w:line="480" w:lineRule="exact"/>
              <w:ind w:left="-2" w:leftChars="-1"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文化旅游：</w:t>
            </w:r>
            <w:r>
              <w:rPr>
                <w:rFonts w:ascii="Times New Roman" w:hAnsi="Times New Roman" w:eastAsia="仿宋_GB2312" w:cs="Times New Roman"/>
                <w:bCs/>
                <w:color w:val="000000" w:themeColor="text1"/>
                <w:sz w:val="28"/>
                <w:szCs w:val="24"/>
                <w14:textFill>
                  <w14:solidFill>
                    <w14:schemeClr w14:val="tx1"/>
                  </w14:solidFill>
                </w14:textFill>
              </w:rPr>
              <w:t>实施长城、长征、黄河国家文化公园（盐池段）项目，建设长城关、高平堡、八步战台、兴武营古城保护等长城遗址关键节点保护利用项目，积极推进张家边壕至兴武营风景廊道建设和基础设施配套、高平堡旅游服务区</w:t>
            </w:r>
            <w:r>
              <w:rPr>
                <w:rFonts w:hint="eastAsia" w:ascii="Times New Roman" w:hAnsi="Times New Roman" w:eastAsia="仿宋_GB2312" w:cs="Times New Roman"/>
                <w:bCs/>
                <w:color w:val="000000" w:themeColor="text1"/>
                <w:sz w:val="28"/>
                <w:szCs w:val="24"/>
                <w14:textFill>
                  <w14:solidFill>
                    <w14:schemeClr w14:val="tx1"/>
                  </w14:solidFill>
                </w14:textFill>
              </w:rPr>
              <w:t>项目</w:t>
            </w:r>
            <w:r>
              <w:rPr>
                <w:rFonts w:ascii="Times New Roman" w:hAnsi="Times New Roman" w:eastAsia="仿宋_GB2312" w:cs="Times New Roman"/>
                <w:bCs/>
                <w:color w:val="000000" w:themeColor="text1"/>
                <w:sz w:val="28"/>
                <w:szCs w:val="24"/>
                <w14:textFill>
                  <w14:solidFill>
                    <w14:schemeClr w14:val="tx1"/>
                  </w14:solidFill>
                </w14:textFill>
              </w:rPr>
              <w:t>建设等，实施长城关至安定堡步道项目；实施李塬畔革命旧址、高崾岘炮楼、唐平庄宁夏工委旧址等红色资源整合开发项目建设。</w:t>
            </w:r>
            <w:r>
              <w:rPr>
                <w:rFonts w:hint="eastAsia" w:ascii="Times New Roman" w:hAnsi="Times New Roman" w:eastAsia="仿宋_GB2312" w:cs="Times New Roman"/>
                <w:bCs/>
                <w:color w:val="000000" w:themeColor="text1"/>
                <w:sz w:val="28"/>
                <w:szCs w:val="24"/>
                <w14:textFill>
                  <w14:solidFill>
                    <w14:schemeClr w14:val="tx1"/>
                  </w14:solidFill>
                </w14:textFill>
              </w:rPr>
              <w:t>启动</w:t>
            </w:r>
            <w:r>
              <w:rPr>
                <w:rFonts w:ascii="Times New Roman" w:hAnsi="Times New Roman" w:eastAsia="仿宋_GB2312" w:cs="Times New Roman"/>
                <w:bCs/>
                <w:color w:val="000000" w:themeColor="text1"/>
                <w:sz w:val="28"/>
                <w:szCs w:val="24"/>
                <w14:textFill>
                  <w14:solidFill>
                    <w14:schemeClr w14:val="tx1"/>
                  </w14:solidFill>
                </w14:textFill>
              </w:rPr>
              <w:t>大水坑阎王碥文物调查和旅游开发</w:t>
            </w:r>
            <w:r>
              <w:rPr>
                <w:rFonts w:hint="eastAsia" w:ascii="Times New Roman" w:hAnsi="Times New Roman" w:eastAsia="仿宋_GB2312" w:cs="Times New Roman"/>
                <w:bCs/>
                <w:color w:val="000000" w:themeColor="text1"/>
                <w:sz w:val="28"/>
                <w:szCs w:val="24"/>
                <w14:textFill>
                  <w14:solidFill>
                    <w14:schemeClr w14:val="tx1"/>
                  </w14:solidFill>
                </w14:textFill>
              </w:rPr>
              <w:t>项目</w:t>
            </w:r>
            <w:r>
              <w:rPr>
                <w:rFonts w:ascii="Times New Roman" w:hAnsi="Times New Roman" w:eastAsia="仿宋_GB2312" w:cs="Times New Roman"/>
                <w:bCs/>
                <w:color w:val="000000" w:themeColor="text1"/>
                <w:sz w:val="28"/>
                <w:szCs w:val="24"/>
                <w14:textFill>
                  <w14:solidFill>
                    <w14:schemeClr w14:val="tx1"/>
                  </w14:solidFill>
                </w14:textFill>
              </w:rPr>
              <w:t>。创建盐州古城历史文化旅游区5A景区，推进“长城关-九曲民俗文化园-老制药厂-滩羊雕塑”文化创意主题公园、花马湖房车（汽车）旅游度假房车营地、盐湖小镇、滩羊小镇、盐池县全域旅游研学游、盐池县东部环线旅游集散中心数字化、智慧旅游二期等项目建设。</w:t>
            </w:r>
          </w:p>
          <w:p>
            <w:pPr>
              <w:numPr>
                <w:ilvl w:val="0"/>
                <w:numId w:val="3"/>
              </w:numPr>
              <w:spacing w:line="480" w:lineRule="exact"/>
              <w:ind w:left="-2" w:leftChars="-1"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现代物流</w:t>
            </w:r>
            <w:r>
              <w:rPr>
                <w:rFonts w:ascii="Times New Roman" w:hAnsi="Times New Roman" w:eastAsia="仿宋_GB2312" w:cs="Times New Roman"/>
                <w:bCs/>
                <w:color w:val="000000" w:themeColor="text1"/>
                <w:sz w:val="28"/>
                <w:szCs w:val="24"/>
                <w14:textFill>
                  <w14:solidFill>
                    <w14:schemeClr w14:val="tx1"/>
                  </w14:solidFill>
                </w14:textFill>
              </w:rPr>
              <w:t>：宁夏德昌铁路物流园二期项目、汪水塘铁路物流园、三愚铁路物流、危货停车场，寄递物流周转基地，盐池滩羊肉、黄花菜仓储冷链物流园区。</w:t>
            </w:r>
          </w:p>
          <w:p>
            <w:pPr>
              <w:numPr>
                <w:ilvl w:val="0"/>
                <w:numId w:val="3"/>
              </w:numPr>
              <w:spacing w:line="480" w:lineRule="exact"/>
              <w:ind w:left="-2" w:leftChars="-1"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商贸服务：</w:t>
            </w:r>
            <w:r>
              <w:rPr>
                <w:rFonts w:ascii="Times New Roman" w:hAnsi="Times New Roman" w:eastAsia="仿宋_GB2312" w:cs="Times New Roman"/>
                <w:bCs/>
                <w:color w:val="000000" w:themeColor="text1"/>
                <w:sz w:val="28"/>
                <w:szCs w:val="24"/>
                <w14:textFill>
                  <w14:solidFill>
                    <w14:schemeClr w14:val="tx1"/>
                  </w14:solidFill>
                </w14:textFill>
              </w:rPr>
              <w:t>改造提升盐州印巷、振远美食街等特色街区，优化升级综合农贸市场、盐州商贸城等专业市场，实施电子商务进农村示范项目。</w:t>
            </w:r>
          </w:p>
          <w:p>
            <w:pPr>
              <w:numPr>
                <w:ilvl w:val="0"/>
                <w:numId w:val="3"/>
              </w:numPr>
              <w:spacing w:line="480" w:lineRule="exact"/>
              <w:ind w:left="-2" w:leftChars="-1"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通用机场改造提升：</w:t>
            </w:r>
            <w:r>
              <w:rPr>
                <w:rFonts w:ascii="Times New Roman" w:hAnsi="Times New Roman" w:eastAsia="仿宋_GB2312" w:cs="Times New Roman"/>
                <w:bCs/>
                <w:color w:val="000000" w:themeColor="text1"/>
                <w:sz w:val="28"/>
                <w:szCs w:val="24"/>
                <w14:textFill>
                  <w14:solidFill>
                    <w14:schemeClr w14:val="tx1"/>
                  </w14:solidFill>
                </w14:textFill>
              </w:rPr>
              <w:t>新建机库、飞行培训中心、综合物流中心，延长跑道，扩建停机坪。</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00" w:name="_Toc59989536"/>
      <w:bookmarkStart w:id="201" w:name="_Toc12692"/>
      <w:bookmarkStart w:id="202" w:name="_Toc13439"/>
      <w:bookmarkStart w:id="203" w:name="_Toc15113"/>
      <w:r>
        <w:rPr>
          <w:rFonts w:ascii="Times New Roman" w:hAnsi="Times New Roman" w:eastAsia="楷体_GB2312" w:cs="Times New Roman"/>
          <w:b/>
          <w:bCs/>
          <w:color w:val="000000" w:themeColor="text1"/>
          <w:sz w:val="32"/>
          <w:szCs w:val="32"/>
          <w14:textFill>
            <w14:solidFill>
              <w14:schemeClr w14:val="tx1"/>
            </w14:solidFill>
          </w14:textFill>
        </w:rPr>
        <w:t>第四节 推动产业智能化升级</w:t>
      </w:r>
      <w:bookmarkEnd w:id="200"/>
      <w:bookmarkEnd w:id="201"/>
      <w:bookmarkEnd w:id="202"/>
      <w:bookmarkEnd w:id="203"/>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聚焦网络强县建设，加快第五代移动通信、工业互联网、大数据中心等建设，以“5G＋”、“互联网＋”融合应用为重点，运用大数据、人工智能等技术对生产、流通、分配、消费等环节进行改造赋能，加快智慧园区、智慧城管、智慧旅游、智慧水务、智慧光伏、智慧风电、智能化工厂、信息化车间建设步伐，建设农业、工业、服务业数字化转型服务平台，提升产业数字化水平，培育产业智能应用场景，推动智能化改造与产业协同发展，推动数字经济和实体经济深度融合。</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04" w:name="_Toc19834"/>
      <w:bookmarkStart w:id="205" w:name="_Toc59989537"/>
      <w:bookmarkStart w:id="206" w:name="_Toc2986"/>
      <w:bookmarkStart w:id="207" w:name="_Toc15699"/>
      <w:r>
        <w:rPr>
          <w:rFonts w:ascii="Times New Roman" w:hAnsi="Times New Roman" w:eastAsia="楷体_GB2312" w:cs="Times New Roman"/>
          <w:b/>
          <w:bCs/>
          <w:color w:val="000000" w:themeColor="text1"/>
          <w:sz w:val="32"/>
          <w:szCs w:val="28"/>
          <w14:textFill>
            <w14:solidFill>
              <w14:schemeClr w14:val="tx1"/>
            </w14:solidFill>
          </w14:textFill>
        </w:rPr>
        <w:t>（一）支持农业精准化发展</w:t>
      </w:r>
      <w:bookmarkEnd w:id="204"/>
      <w:bookmarkEnd w:id="205"/>
      <w:bookmarkEnd w:id="206"/>
      <w:bookmarkEnd w:id="207"/>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建设智慧农业大数据平台，加快发展精准农业，形成以滩羊为主的全产业链大数据采集、分析和服务机制，增强特色农业科学决策能力。实施智慧农业工程和“互联网+”现代农业行动，提高农业生产的智能决策和精准作业能力。全力抓好黄河黑山峡河段开发工程和陕甘宁革命老区供水工程，着力发展智能化节水灌溉，在扬黄灌区推广使用高效节水灌溉智慧化管理系统，科学指导农户按照作物需水情况定量定时灌溉，节约集约利用水资源。到“十四五”末，力争灌区智能化灌溉实现程度达到60%。</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08" w:name="_Toc21787"/>
      <w:bookmarkStart w:id="209" w:name="_Toc59989538"/>
      <w:bookmarkStart w:id="210" w:name="_Toc5767"/>
      <w:bookmarkStart w:id="211" w:name="_Toc11835"/>
      <w:r>
        <w:rPr>
          <w:rFonts w:ascii="Times New Roman" w:hAnsi="Times New Roman" w:eastAsia="楷体_GB2312" w:cs="Times New Roman"/>
          <w:b/>
          <w:bCs/>
          <w:color w:val="000000" w:themeColor="text1"/>
          <w:sz w:val="32"/>
          <w:szCs w:val="28"/>
          <w14:textFill>
            <w14:solidFill>
              <w14:schemeClr w14:val="tx1"/>
            </w14:solidFill>
          </w14:textFill>
        </w:rPr>
        <w:t>（二）推动工业信息化发展</w:t>
      </w:r>
      <w:bookmarkEnd w:id="208"/>
      <w:bookmarkEnd w:id="209"/>
      <w:bookmarkEnd w:id="210"/>
      <w:bookmarkEnd w:id="211"/>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坚持智能制造和智慧服务的发展方向，加快推进5G网络建设，推进人工智能、区块链、物联网、大数据等技术在工业中的应用，实施“5G+智慧工业”工程，用信息化智能化激发产业发展新动能。推进工业企业上云，加快工业互联网标识解析应用，深化工业大数据协同应用，夯实网络基础设施，研发企业与工业云平台共享信息的技术，实现跨企业跨区域跨行业的产品全生命周期管理，提高工业企业经营管理水平和生产效率。到“十四五”期末，培育数字化车间5家，智能化工厂10家。</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12" w:name="_Toc13799"/>
      <w:bookmarkStart w:id="213" w:name="_Toc59989539"/>
      <w:bookmarkStart w:id="214" w:name="_Toc9816"/>
      <w:bookmarkStart w:id="215" w:name="_Toc20827"/>
      <w:r>
        <w:rPr>
          <w:rFonts w:ascii="Times New Roman" w:hAnsi="Times New Roman" w:eastAsia="楷体_GB2312" w:cs="Times New Roman"/>
          <w:b/>
          <w:bCs/>
          <w:color w:val="000000" w:themeColor="text1"/>
          <w:sz w:val="32"/>
          <w:szCs w:val="28"/>
          <w14:textFill>
            <w14:solidFill>
              <w14:schemeClr w14:val="tx1"/>
            </w14:solidFill>
          </w14:textFill>
        </w:rPr>
        <w:t>（三）促进服务业智慧化发展</w:t>
      </w:r>
      <w:bookmarkEnd w:id="212"/>
      <w:bookmarkEnd w:id="213"/>
      <w:bookmarkEnd w:id="214"/>
      <w:bookmarkEnd w:id="215"/>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打破服务业数字化条块及孤岛现象。以全域旅游为核心，优化提升智慧旅游大数据平台，实现文旅数字化、信息化、智慧化融合发展。鼓励互联网与银行、证券、保险的融合创新，推动“互联网+金融”。突出发展基于“互联网+”的医疗、健康、养老、教育、文旅、社会保障等新兴服务。不断升级电子商务，拓展电子商务新业态、新模式。加快人工智能在智能家居、智能终端等领域推广应用，引导生活领域智能化发展。</w:t>
      </w:r>
      <w:bookmarkStart w:id="216" w:name="_Toc12018"/>
      <w:bookmarkStart w:id="217" w:name="_Toc59989540"/>
      <w:bookmarkStart w:id="218" w:name="_Toc298"/>
      <w:bookmarkStart w:id="219" w:name="_Toc20364"/>
    </w:p>
    <w:p>
      <w:pPr>
        <w:adjustRightInd w:val="0"/>
        <w:snapToGrid w:val="0"/>
        <w:spacing w:before="240" w:beforeLines="100" w:after="240" w:afterLines="100" w:line="580" w:lineRule="exact"/>
        <w:ind w:firstLine="72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第四章 强化区域协同发展，主动融入新发展格局</w:t>
      </w:r>
      <w:bookmarkEnd w:id="216"/>
      <w:bookmarkEnd w:id="217"/>
      <w:bookmarkEnd w:id="218"/>
      <w:bookmarkEnd w:id="219"/>
    </w:p>
    <w:p>
      <w:pPr>
        <w:adjustRightInd w:val="0"/>
        <w:snapToGrid w:val="0"/>
        <w:spacing w:line="60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ascii="Times New Roman" w:hAnsi="Times New Roman" w:eastAsia="仿宋_GB2312" w:cs="Times New Roman"/>
          <w:color w:val="000000" w:themeColor="text1"/>
          <w:sz w:val="32"/>
          <w:szCs w:val="28"/>
          <w14:textFill>
            <w14:solidFill>
              <w14:schemeClr w14:val="tx1"/>
            </w14:solidFill>
          </w14:textFill>
        </w:rPr>
        <w:t>通过深化市场化体制改革、促进消费转型升级、扩大精准有效投资、强化区域合作与对外开放，着力打通生产、分配、流通、消费等经济活动的各个环节，畅通经济循环通道，主动融入以国内大循环为主体、国内国际双循环相互促进的新发展格局。</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20" w:name="_Toc19194"/>
      <w:bookmarkStart w:id="221" w:name="_Toc59989541"/>
      <w:bookmarkStart w:id="222" w:name="_Toc28976"/>
      <w:bookmarkStart w:id="223" w:name="_Toc12372"/>
      <w:r>
        <w:rPr>
          <w:rFonts w:ascii="Times New Roman" w:hAnsi="Times New Roman" w:eastAsia="楷体_GB2312" w:cs="Times New Roman"/>
          <w:b/>
          <w:bCs/>
          <w:color w:val="000000" w:themeColor="text1"/>
          <w:sz w:val="32"/>
          <w:szCs w:val="32"/>
          <w14:textFill>
            <w14:solidFill>
              <w14:schemeClr w14:val="tx1"/>
            </w14:solidFill>
          </w14:textFill>
        </w:rPr>
        <w:t>第一节 深化市场化体制改革</w:t>
      </w:r>
      <w:bookmarkEnd w:id="220"/>
      <w:bookmarkEnd w:id="221"/>
      <w:bookmarkEnd w:id="222"/>
      <w:bookmarkEnd w:id="223"/>
    </w:p>
    <w:p>
      <w:pPr>
        <w:adjustRightInd w:val="0"/>
        <w:snapToGrid w:val="0"/>
        <w:spacing w:line="580" w:lineRule="exact"/>
        <w:ind w:firstLine="640" w:firstLineChars="200"/>
        <w:rPr>
          <w:rFonts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14:textFill>
            <w14:solidFill>
              <w14:schemeClr w14:val="tx1"/>
            </w14:solidFill>
          </w14:textFill>
        </w:rPr>
        <w:t>坚持社会主义市场经济改革方向，充分发挥市场在资源配置中的决定性作用，同时积极发挥政府作用，推动有效市场与有为政府更好地结合，不断激发市场活力，增强发展动力。</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24" w:name="_Toc2212"/>
      <w:bookmarkStart w:id="225" w:name="_Toc31596"/>
      <w:bookmarkStart w:id="226" w:name="_Toc59989542"/>
      <w:bookmarkStart w:id="227" w:name="_Toc6261"/>
      <w:r>
        <w:rPr>
          <w:rFonts w:ascii="Times New Roman" w:hAnsi="Times New Roman" w:eastAsia="楷体_GB2312" w:cs="Times New Roman"/>
          <w:b/>
          <w:bCs/>
          <w:color w:val="000000" w:themeColor="text1"/>
          <w:sz w:val="32"/>
          <w:szCs w:val="28"/>
          <w14:textFill>
            <w14:solidFill>
              <w14:schemeClr w14:val="tx1"/>
            </w14:solidFill>
          </w14:textFill>
        </w:rPr>
        <w:t>（一）深入推进市场化改革，提高资源配置效率</w:t>
      </w:r>
      <w:bookmarkEnd w:id="224"/>
      <w:bookmarkEnd w:id="225"/>
      <w:bookmarkEnd w:id="226"/>
      <w:bookmarkEnd w:id="227"/>
    </w:p>
    <w:p>
      <w:pPr>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社会主义市场经济改革方向，充分发挥市场在资源配置中的决定性作用，破除发展瓶颈，激发市场主体活力和创造力，提高资源配置效率。深化国有企业管理改革，落实自治区国有企业改革三年行动计划。坚持政企分开、政资分开，健全国有资产经营管理机制，完善现代企业制度。健全促进民营企业发展的政策体系，大幅放宽资源能源、交通、环保、文化、教育、医疗卫生、体育等领域市场准入，保障民营企业依法平等使用资源要素、公平公正参与市场竞争。推动国有资本、集体资本、非公有资本等交叉持股、相互融合的混合所有制经济。完善小微企业扶持政策，引导小微企业专业化、特色化发展。依法保护民营企业和企业家人身权、财产权和自主经营权，激发和保护企业家精神，构建亲清新型政商关系。深入实施市场准入负面清单制度，破除市场准入隐性壁垒。全面落实公平竞争的审查制度，建立健全第三方审查和评估机制，加快清理废除妨碍统一市场和公平竞争的各种规定和做法。</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28" w:name="_Toc13218"/>
      <w:bookmarkStart w:id="229" w:name="_Toc13894"/>
      <w:bookmarkStart w:id="230" w:name="_Toc59989543"/>
      <w:bookmarkStart w:id="231" w:name="_Toc8256"/>
      <w:r>
        <w:rPr>
          <w:rFonts w:ascii="Times New Roman" w:hAnsi="Times New Roman" w:eastAsia="楷体_GB2312" w:cs="Times New Roman"/>
          <w:b/>
          <w:bCs/>
          <w:color w:val="000000" w:themeColor="text1"/>
          <w:sz w:val="32"/>
          <w:szCs w:val="28"/>
          <w14:textFill>
            <w14:solidFill>
              <w14:schemeClr w14:val="tx1"/>
            </w14:solidFill>
          </w14:textFill>
        </w:rPr>
        <w:t>（二）改革农村集体产权制度，盘活农村要素资源</w:t>
      </w:r>
      <w:bookmarkEnd w:id="228"/>
      <w:bookmarkEnd w:id="229"/>
      <w:bookmarkEnd w:id="230"/>
      <w:bookmarkEnd w:id="231"/>
    </w:p>
    <w:p>
      <w:pPr>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深化农村集体产权制度改革，加大农村承包地、林权等要素流转力度，提升规模化经营程度，支持产权交易市场多元化发展。稳步推进农村集体经</w:t>
      </w:r>
      <w:r>
        <w:rPr>
          <w:rFonts w:ascii="Times New Roman" w:hAnsi="Times New Roman" w:eastAsia="仿宋_GB2312" w:cs="Times New Roman"/>
          <w:color w:val="000000" w:themeColor="text1"/>
          <w:spacing w:val="-6"/>
          <w:sz w:val="32"/>
          <w:szCs w:val="32"/>
          <w14:textFill>
            <w14:solidFill>
              <w14:schemeClr w14:val="tx1"/>
            </w14:solidFill>
          </w14:textFill>
        </w:rPr>
        <w:t>营性建设用地、农村宅基地改革，探索农村宅基地“三权”分置实现形式，制定和出台农村闲置宅基地和闲置住宅盘活利用办法，支持农村经济组织、经营主体、返乡创业人员以及农民个体采取出租、入股、合作等方式盘活利用农村闲置建设用地发展各类产业。完善国土空间管理机制，推进自然资源资产产权制度改革，探索完善资源有偿使用办法，深化河湖长制改革，系统推进水生态保护、水资源管理和水污染防治。深化农业水价综合改革，深入完善末级渠系农业水价改革制度，建立健全农业水价精准补贴和节水奖励机制。持续推广马儿庄现代化生态灌区发展模式，加快推进现代化灌区和“互联网+城乡供水”智慧一体化管理，着力开展扬黄灌区万亩农业生产全程托管服务试点。</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32" w:name="_Toc14694"/>
      <w:bookmarkStart w:id="233" w:name="_Toc59989544"/>
      <w:bookmarkStart w:id="234" w:name="_Toc26828"/>
      <w:bookmarkStart w:id="235" w:name="_Toc16885"/>
      <w:r>
        <w:rPr>
          <w:rFonts w:ascii="Times New Roman" w:hAnsi="Times New Roman" w:eastAsia="楷体_GB2312" w:cs="Times New Roman"/>
          <w:b/>
          <w:bCs/>
          <w:color w:val="000000" w:themeColor="text1"/>
          <w:sz w:val="32"/>
          <w:szCs w:val="28"/>
          <w14:textFill>
            <w14:solidFill>
              <w14:schemeClr w14:val="tx1"/>
            </w14:solidFill>
          </w14:textFill>
        </w:rPr>
        <w:t>（三）推进审批管理制度改革，持续优化营商环境</w:t>
      </w:r>
      <w:bookmarkEnd w:id="232"/>
      <w:bookmarkEnd w:id="233"/>
      <w:bookmarkEnd w:id="234"/>
      <w:bookmarkEnd w:id="235"/>
    </w:p>
    <w:p>
      <w:pPr>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激发市场活力，提高运行效率，努力营造更加公平的市场环境、公平透明的法律政策环境、开放包容的人文环境。持续深化“放管服”改革，认真落实《优化营商环境条例》、自治区“1+16”政策和吴忠市25条措施，加快推进第二批政务服务事项划转工作，着力破除体制机制障碍，激发市场主体活力和内生动力，持续提升优化营商环境。优化投资项目前期审批流程，提高工程建设项目审批效率。全面推行“一窗受理、集成服务”模式，加快 “一件事一次办”改革，完善县乡村三级政务服务体系。深入实施市场准入负面清单制度，推进“互联网+监管”实现全覆盖。认真落实减税降费政策措施，加大对中小微企业支持力度，让融资更加便利，更加优惠，及时回应民营企业关切，帮助解决实际问题，让“软环境”成为盐池竞争的“硬实力”。 加强社会信用体系建设，不断完善信用服务市场建设，增强全社会诚信意识，全面推行守信联合激励和失信联合惩戒。</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36" w:name="_Toc5117"/>
      <w:bookmarkStart w:id="237" w:name="_Toc1192"/>
      <w:bookmarkStart w:id="238" w:name="_Toc59989545"/>
      <w:bookmarkStart w:id="239" w:name="_Toc16538"/>
      <w:r>
        <w:rPr>
          <w:rFonts w:ascii="Times New Roman" w:hAnsi="Times New Roman" w:eastAsia="楷体_GB2312" w:cs="Times New Roman"/>
          <w:b/>
          <w:bCs/>
          <w:color w:val="000000" w:themeColor="text1"/>
          <w:sz w:val="32"/>
          <w:szCs w:val="32"/>
          <w14:textFill>
            <w14:solidFill>
              <w14:schemeClr w14:val="tx1"/>
            </w14:solidFill>
          </w14:textFill>
        </w:rPr>
        <w:t>第二节 促进消费转型升级</w:t>
      </w:r>
      <w:bookmarkEnd w:id="236"/>
      <w:bookmarkEnd w:id="237"/>
      <w:bookmarkEnd w:id="238"/>
      <w:bookmarkEnd w:id="239"/>
    </w:p>
    <w:p>
      <w:pPr>
        <w:adjustRightInd w:val="0"/>
        <w:snapToGrid w:val="0"/>
        <w:spacing w:line="62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强化消费对经济发展的基础性作用，把扩大消费同改善人民生活品质结合起来，顺应消费新趋势，促进消费提质升级，更好地满足人民日益增长的美好生活需要。</w:t>
      </w:r>
    </w:p>
    <w:p>
      <w:pPr>
        <w:adjustRightInd w:val="0"/>
        <w:snapToGrid w:val="0"/>
        <w:spacing w:line="62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40" w:name="_Toc11072"/>
      <w:bookmarkStart w:id="241" w:name="_Toc24775"/>
      <w:bookmarkStart w:id="242" w:name="_Toc59989546"/>
      <w:bookmarkStart w:id="243" w:name="_Toc24895"/>
      <w:r>
        <w:rPr>
          <w:rFonts w:ascii="Times New Roman" w:hAnsi="Times New Roman" w:eastAsia="楷体_GB2312" w:cs="Times New Roman"/>
          <w:b/>
          <w:bCs/>
          <w:color w:val="000000" w:themeColor="text1"/>
          <w:sz w:val="32"/>
          <w:szCs w:val="28"/>
          <w14:textFill>
            <w14:solidFill>
              <w14:schemeClr w14:val="tx1"/>
            </w14:solidFill>
          </w14:textFill>
        </w:rPr>
        <w:t>（一）挖掘消费潜力</w:t>
      </w:r>
      <w:bookmarkEnd w:id="240"/>
      <w:bookmarkEnd w:id="241"/>
      <w:bookmarkEnd w:id="242"/>
      <w:bookmarkEnd w:id="243"/>
    </w:p>
    <w:p>
      <w:pPr>
        <w:adjustRightInd w:val="0"/>
        <w:snapToGrid w:val="0"/>
        <w:spacing w:line="62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5G全面商用和智能产品推广为契机，推进互联网与服务业的深度融合，打造智慧生活。转变消费观念，探索实行绿色消费积分制度，建立餐饮节约的长效机制，通过适度节制消费，避免或减少对环境的破坏。推进文化与旅游深度融合，积极发展研学旅游、会展旅游、节事旅游、乡村旅游、康养旅游等产品，实现文旅消费多业态、多元化发展。实施“家政无忧”工程，推动养老托幼、医养康养、文化娱乐等消费提质扩容，满足多元化消费需求。以商务预报平台为依托，加大消费信息的发布，推动消费市场分层、领域细分，大力发展定制消费、体验消费等个性化消费。积极调整和优化公共消费的结构，引导财政资金更多向教育、医疗、社保等领域倾斜。降低政府自身消费带来的行政运行成本，提高用于做好“六稳”“六保”、拉动经济高质量发展等社会性消费在公共支出中的比重。精心谋划公共消费项目，发挥“四两拨千斤”的杠杆作用，确保能有效促进居民消费，让人民群众得到实实在在的好处。促进公共消费领域开放，鼓励社会组织和社会资本进入，充分发挥社会建设主体作用，不断提高公共产品及服务的供给质量和水平。</w:t>
      </w:r>
    </w:p>
    <w:p>
      <w:pPr>
        <w:adjustRightInd w:val="0"/>
        <w:snapToGrid w:val="0"/>
        <w:spacing w:line="62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44" w:name="_Toc19637"/>
      <w:bookmarkStart w:id="245" w:name="_Toc14224"/>
      <w:bookmarkStart w:id="246" w:name="_Toc59989547"/>
      <w:bookmarkStart w:id="247" w:name="_Toc7505"/>
      <w:r>
        <w:rPr>
          <w:rFonts w:ascii="Times New Roman" w:hAnsi="Times New Roman" w:eastAsia="楷体_GB2312" w:cs="Times New Roman"/>
          <w:b/>
          <w:bCs/>
          <w:color w:val="000000" w:themeColor="text1"/>
          <w:sz w:val="32"/>
          <w:szCs w:val="28"/>
          <w14:textFill>
            <w14:solidFill>
              <w14:schemeClr w14:val="tx1"/>
            </w14:solidFill>
          </w14:textFill>
        </w:rPr>
        <w:t>（二）升级传统消费</w:t>
      </w:r>
      <w:bookmarkEnd w:id="244"/>
      <w:bookmarkEnd w:id="245"/>
      <w:bookmarkEnd w:id="246"/>
      <w:bookmarkEnd w:id="247"/>
    </w:p>
    <w:p>
      <w:pPr>
        <w:adjustRightInd w:val="0"/>
        <w:snapToGrid w:val="0"/>
        <w:spacing w:line="62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鼓励支持传统百货商店、综合批发市场、闲置厂房改造为商业综合体、消费体验中心、休闲娱乐中心等新型消费载体。深入推进老字号保护发展工程，弘扬老字号“质量至上、精益求精的工匠精神和以德兴商、诚信为本的商业道德”，通过连锁经营、统一品牌管理等方式，不断扩展市场占有率。加强整体规划布局，优化街区环境，整合文化、旅游和商业资源，打造一批特色商业街和文化旅游街。鼓励电商平台、零售企业建立品质的专区、专柜，推动名品名店名区的联动，拓展品质商品的销售渠道。深入推进农业供给侧结构性改革，大力发展生态循环绿色高效农业，增加绿色、有机、安全、特色农产品的供给。实施绿色消费积分制度，建立家用电器、手机、电脑、汽车、家具等回收和循环利用体系，引导消费者加快新能源电车、绿色家电消费升级。实施振兴“小店实体经济”计划，规范夜间经济和路边经济，增添便民消费市场活力。</w:t>
      </w:r>
    </w:p>
    <w:p>
      <w:pPr>
        <w:adjustRightInd w:val="0"/>
        <w:snapToGrid w:val="0"/>
        <w:spacing w:line="62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48" w:name="_Toc1736"/>
      <w:bookmarkStart w:id="249" w:name="_Toc59989548"/>
      <w:bookmarkStart w:id="250" w:name="_Toc3210"/>
      <w:bookmarkStart w:id="251" w:name="_Toc311"/>
      <w:r>
        <w:rPr>
          <w:rFonts w:ascii="Times New Roman" w:hAnsi="Times New Roman" w:eastAsia="楷体_GB2312" w:cs="Times New Roman"/>
          <w:b/>
          <w:bCs/>
          <w:color w:val="000000" w:themeColor="text1"/>
          <w:sz w:val="32"/>
          <w:szCs w:val="28"/>
          <w14:textFill>
            <w14:solidFill>
              <w14:schemeClr w14:val="tx1"/>
            </w14:solidFill>
          </w14:textFill>
        </w:rPr>
        <w:t>（三）优化消费环境</w:t>
      </w:r>
      <w:bookmarkEnd w:id="248"/>
      <w:bookmarkEnd w:id="249"/>
      <w:bookmarkEnd w:id="250"/>
      <w:bookmarkEnd w:id="251"/>
    </w:p>
    <w:p>
      <w:pPr>
        <w:adjustRightInd w:val="0"/>
        <w:snapToGrid w:val="0"/>
        <w:spacing w:line="62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放心消费创建活动为载体，以提高消费环境安全度、经营者诚信度和消费者满意度为目标，积极构建消费者权益保护新机制。加大整顿市场价格秩序，严厉打击侵犯知识产权、销售假冒伪劣产品、发布虚假广告等违法行为。强化消费维权部门协作，凝聚立法、司法、行政、社会组织、媒体等各方力量，实现消费维权多元共治，切实维护消费者合法权益。强化信用体系和联合奖惩机制的建设，扩大重要产品追溯体系的覆盖，引导行业加强自律、规范发展，不断提升产品和服务质量，形成企业守规、行业自律、百姓放心、消费舒心的消费环境。</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52" w:name="_Toc59989549"/>
      <w:bookmarkStart w:id="253" w:name="_Toc15703"/>
      <w:bookmarkStart w:id="254" w:name="_Toc20290"/>
      <w:bookmarkStart w:id="255" w:name="_Toc7237"/>
      <w:r>
        <w:rPr>
          <w:rFonts w:ascii="Times New Roman" w:hAnsi="Times New Roman" w:eastAsia="楷体_GB2312" w:cs="Times New Roman"/>
          <w:b/>
          <w:bCs/>
          <w:color w:val="000000" w:themeColor="text1"/>
          <w:sz w:val="32"/>
          <w:szCs w:val="32"/>
          <w14:textFill>
            <w14:solidFill>
              <w14:schemeClr w14:val="tx1"/>
            </w14:solidFill>
          </w14:textFill>
        </w:rPr>
        <w:t>第三节 扩大精准有效投资</w:t>
      </w:r>
      <w:bookmarkEnd w:id="252"/>
      <w:bookmarkEnd w:id="253"/>
      <w:bookmarkEnd w:id="254"/>
      <w:bookmarkEnd w:id="255"/>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固本培元和改善民生为导向，调整优化投资结构，让投资需求带动有效供给的增加及供给结构的优化，有效弥补经济、社会和生态文明建设等领域的短板和弱项，提升投资质量和效益，为高质量发展提供坚实有力的支撑。</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56" w:name="_Toc27381"/>
      <w:bookmarkStart w:id="257" w:name="_Toc59989550"/>
      <w:bookmarkStart w:id="258" w:name="_Toc15827"/>
      <w:bookmarkStart w:id="259" w:name="_Toc25886"/>
      <w:r>
        <w:rPr>
          <w:rFonts w:ascii="Times New Roman" w:hAnsi="Times New Roman" w:eastAsia="楷体_GB2312" w:cs="Times New Roman"/>
          <w:b/>
          <w:bCs/>
          <w:color w:val="000000" w:themeColor="text1"/>
          <w:sz w:val="32"/>
          <w:szCs w:val="28"/>
          <w14:textFill>
            <w14:solidFill>
              <w14:schemeClr w14:val="tx1"/>
            </w14:solidFill>
          </w14:textFill>
        </w:rPr>
        <w:t>（一）优化投资结构</w:t>
      </w:r>
      <w:bookmarkEnd w:id="256"/>
      <w:bookmarkEnd w:id="257"/>
      <w:bookmarkEnd w:id="258"/>
      <w:bookmarkEnd w:id="259"/>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落实处理好生产性投资和非生产性投资的关系，优化调整投资结构。顺应市场需要，限制高能耗、高物耗、污染重行业和产能过剩行业的投资，继续扩大特色农业、新型工业、现代服务业投资，壮大实体经济，完善现代产业体系，通过投资推动补链、稳链、强链，激发生产活力。深入开展基础设施提升工程，推进5G网络、人工智能、物联网、大数据等新基建项目建设，完善交通网、水利网、能源网、信息网等基础设施体系。聚焦民生热点难点，持续加大公共卫生、医疗艰难、文化教育、应急保障等民生事业投资，加快补强公共服务设施短板，不断提高各项服务品质。发挥政府投资的引导作用和社会投资的主力作用，推动形成各类投资相互促进、良性互动发展的格局。</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60" w:name="_Toc59989551"/>
      <w:bookmarkStart w:id="261" w:name="_Toc7042"/>
      <w:bookmarkStart w:id="262" w:name="_Toc27674"/>
      <w:bookmarkStart w:id="263" w:name="_Toc29801"/>
      <w:r>
        <w:rPr>
          <w:rFonts w:ascii="Times New Roman" w:hAnsi="Times New Roman" w:eastAsia="楷体_GB2312" w:cs="Times New Roman"/>
          <w:b/>
          <w:bCs/>
          <w:color w:val="000000" w:themeColor="text1"/>
          <w:sz w:val="32"/>
          <w:szCs w:val="28"/>
          <w14:textFill>
            <w14:solidFill>
              <w14:schemeClr w14:val="tx1"/>
            </w14:solidFill>
          </w14:textFill>
        </w:rPr>
        <w:t>（二）畅通要素流动</w:t>
      </w:r>
      <w:bookmarkEnd w:id="260"/>
      <w:bookmarkEnd w:id="261"/>
      <w:bookmarkEnd w:id="262"/>
      <w:bookmarkEnd w:id="263"/>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健全投入产出效益评价机制，实施差别化资源要素配置，促进要素资源向优质项目倾斜。深化供给侧结构性改革，优化现有生产要素配置和组合，提高生产要素利用水平，促进全要素生产率提高，不断增强经济内生增长动力。深化流通体制改革，加强全链条标准体系建设，发展“互联网+流通”，降低物流成本。创新完善政银企精准对接与合作机制，畅通项目建设投融资渠道，引导鼓励金融机构加大优质项目支持力度。着力破除体制和机制障碍，促进城乡要素顺畅流动和公共资源合理配置。</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64" w:name="_Toc20119"/>
      <w:bookmarkStart w:id="265" w:name="_Toc22752"/>
      <w:bookmarkStart w:id="266" w:name="_Toc59989552"/>
      <w:bookmarkStart w:id="267" w:name="_Toc26782"/>
      <w:r>
        <w:rPr>
          <w:rFonts w:ascii="Times New Roman" w:hAnsi="Times New Roman" w:eastAsia="楷体_GB2312" w:cs="Times New Roman"/>
          <w:b/>
          <w:bCs/>
          <w:color w:val="000000" w:themeColor="text1"/>
          <w:sz w:val="32"/>
          <w:szCs w:val="28"/>
          <w14:textFill>
            <w14:solidFill>
              <w14:schemeClr w14:val="tx1"/>
            </w14:solidFill>
          </w14:textFill>
        </w:rPr>
        <w:t>（三）激发民间投资</w:t>
      </w:r>
      <w:bookmarkEnd w:id="264"/>
      <w:bookmarkEnd w:id="265"/>
      <w:bookmarkEnd w:id="266"/>
      <w:bookmarkEnd w:id="267"/>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清理规范审批事项，积极推进“减证便民”，简化申请材料，完善一窗受理、网上办理、规范透明、限时办结的投资审批制度，提升民间投资服务效能。落实民间投资准入政策，鼓励民营企业进入水、电、暖等城市基础设施、公用事业等领域，最大限度激发民间投资活力。大力支持双创示范基地、众创空间、产业园区等公共服务平台建设，提高为民营企业投资新兴产业服务的能力和水平。发挥政府资金引导作用，创新财政支持产业发展方式，鼓励民间资本采取混合所有制、设立基金、组建联合体等多种方式，形成市场主导、政府引导的投资内生增长机制。扎实开展送发展理念、送支持政策、送创新项目、送生产要素，服务民营企业，构建新型政商关系。</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68" w:name="_Toc26597"/>
      <w:bookmarkStart w:id="269" w:name="_Toc59989553"/>
      <w:bookmarkStart w:id="270" w:name="_Toc5149"/>
      <w:bookmarkStart w:id="271" w:name="_Toc23148"/>
      <w:r>
        <w:rPr>
          <w:rFonts w:ascii="Times New Roman" w:hAnsi="Times New Roman" w:eastAsia="楷体_GB2312" w:cs="Times New Roman"/>
          <w:b/>
          <w:bCs/>
          <w:color w:val="000000" w:themeColor="text1"/>
          <w:sz w:val="32"/>
          <w:szCs w:val="32"/>
          <w14:textFill>
            <w14:solidFill>
              <w14:schemeClr w14:val="tx1"/>
            </w14:solidFill>
          </w14:textFill>
        </w:rPr>
        <w:t>第四节 强化区域合作与对外开放</w:t>
      </w:r>
      <w:bookmarkEnd w:id="268"/>
      <w:bookmarkEnd w:id="269"/>
      <w:bookmarkEnd w:id="270"/>
      <w:bookmarkEnd w:id="271"/>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打破地区分割和利益藩篱，探索完善区域资源配置、利益分配、服务共享、制度保障等合作新机制，推动陕甘宁蒙交汇区协同发展，拓展区域合作领域、丰富区域合作形式，构建起充分发挥地区比较优势、优化配置经济要素、良性互动的区域发展格局。</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28"/>
          <w14:textFill>
            <w14:solidFill>
              <w14:schemeClr w14:val="tx1"/>
            </w14:solidFill>
          </w14:textFill>
        </w:rPr>
      </w:pPr>
      <w:bookmarkStart w:id="272" w:name="_Toc20462"/>
      <w:bookmarkStart w:id="273" w:name="_Toc24647"/>
      <w:bookmarkStart w:id="274" w:name="_Toc59989554"/>
      <w:bookmarkStart w:id="275" w:name="_Toc12835"/>
      <w:r>
        <w:rPr>
          <w:rFonts w:ascii="Times New Roman" w:hAnsi="Times New Roman" w:eastAsia="楷体_GB2312" w:cs="Times New Roman"/>
          <w:b/>
          <w:bCs/>
          <w:color w:val="000000" w:themeColor="text1"/>
          <w:sz w:val="32"/>
          <w:szCs w:val="28"/>
          <w14:textFill>
            <w14:solidFill>
              <w14:schemeClr w14:val="tx1"/>
            </w14:solidFill>
          </w14:textFill>
        </w:rPr>
        <w:t>（一）强化区域协作与共赢发展</w:t>
      </w:r>
      <w:bookmarkEnd w:id="272"/>
      <w:bookmarkEnd w:id="273"/>
      <w:bookmarkEnd w:id="274"/>
      <w:bookmarkEnd w:id="275"/>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推动成立区域协同发展联盟</w:t>
      </w:r>
      <w:r>
        <w:rPr>
          <w:rFonts w:ascii="Times New Roman" w:hAnsi="Times New Roman" w:eastAsia="仿宋_GB2312" w:cs="Times New Roman"/>
          <w:color w:val="000000" w:themeColor="text1"/>
          <w:sz w:val="32"/>
          <w:szCs w:val="32"/>
          <w14:textFill>
            <w14:solidFill>
              <w14:schemeClr w14:val="tx1"/>
            </w14:solidFill>
          </w14:textFill>
        </w:rPr>
        <w:t>。创新区域统筹发展机制，推进区域合作与协同发展的载体和纽带建设，积极推动成立陕甘宁蒙交界区协同发展联盟，实行轮值主席制度，强化组织建设，发挥政府的引导作用，加强政府联动和部门之间的协调配合，抓住促进合作发展的关键环节有序推进，以重点突破带动区域合作向深层次、宽领域、高水平方向发展。通过考察交流、专题培训、项目对接、政策研究等多种方式，促进区域产业统筹布局、区域创新协同、资源精准配置、政策协同配合，深化区域联动发展模式。同时，充分发挥区域合作组织、科研机构、社会团体以及市场主体的积极作用，形成区域合作发展的合力，推动区域协同发展。</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合力推进区域基础设施建设</w:t>
      </w:r>
      <w:r>
        <w:rPr>
          <w:rFonts w:ascii="Times New Roman" w:hAnsi="Times New Roman" w:eastAsia="仿宋_GB2312" w:cs="Times New Roman"/>
          <w:color w:val="000000" w:themeColor="text1"/>
          <w:sz w:val="32"/>
          <w:szCs w:val="32"/>
          <w14:textFill>
            <w14:solidFill>
              <w14:schemeClr w14:val="tx1"/>
            </w14:solidFill>
          </w14:textFill>
        </w:rPr>
        <w:t>。统筹交通规划与建设，畅通内外通道，完善交通网络，强化枢纽功能，加快形成布局合理、衔接紧密、内通外联、便捷高效的现代化综合运输体系。发挥煤、电、气资源优势，根据区域环境承载能力和大气污染防治要求，完善能源供输网络，提升能源设施共建共享水平。确保区域防洪安全、供水安全、生态安全和粮食生产需要，推进扬黄灌溉工程建设，统筹水资源开发、利用、节约、保护及水害防治工作。统一规划、集约建设数字化、宽带化、智能化、综合化、一体化的信息设施，促进资源共享，加快推动落实“宽带中国”战略。</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强化区域间产业分工与协作</w:t>
      </w:r>
      <w:r>
        <w:rPr>
          <w:rFonts w:ascii="Times New Roman" w:hAnsi="Times New Roman" w:eastAsia="仿宋_GB2312" w:cs="Times New Roman"/>
          <w:color w:val="000000" w:themeColor="text1"/>
          <w:sz w:val="32"/>
          <w:szCs w:val="32"/>
          <w14:textFill>
            <w14:solidFill>
              <w14:schemeClr w14:val="tx1"/>
            </w14:solidFill>
          </w14:textFill>
        </w:rPr>
        <w:t>。加强产业协作，促进优势互补、合理分工和布局优化，按照市场化原则建立健全投资、产业承接、园区共建、科技成果转化等促进产业转移推进机制和利益协同机制，搭建交界区域产业合作平台，形成区域专业化生产要素集聚高地。积极发展高产、优质、高效、生态农业，合作创建农业区域品牌，共建优势农产品生产加工基地，构建区域共享的农业服务体系，建成特色农产品生产与加工基地。以优势产业和骨干企业为龙头，培育壮大若干关联紧密、技术水平高、创新能力强的产业集群，延长产业链，提升产业层次，建设全国重要的煤化工和油气化工基地。充分发挥区位、资源和人文优势，推进旅游、文化、现代物流、金融和信息服务业的深度融合，提质增效，全面提升服务业发展水平。</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促进区域生态环境共建共享。</w:t>
      </w:r>
      <w:r>
        <w:rPr>
          <w:rFonts w:ascii="Times New Roman" w:hAnsi="Times New Roman" w:eastAsia="仿宋_GB2312" w:cs="Times New Roman"/>
          <w:color w:val="000000" w:themeColor="text1"/>
          <w:sz w:val="32"/>
          <w:szCs w:val="32"/>
          <w14:textFill>
            <w14:solidFill>
              <w14:schemeClr w14:val="tx1"/>
            </w14:solidFill>
          </w14:textFill>
        </w:rPr>
        <w:t>尊重自然、顺应自然，坚持保护优先、自然恢复为主，以国家和自治区级重点生态功能区为重点，建设网络化生态廊道，推进生态环境一体化建设，有效防治黄土高原水土流失，减少入黄泥沙，促进水土资源可持续利用，大力改善区域生态环境。坚持绿色、低碳、可持续发展理念，积极探索资源节约集约和循环利用有效途径，提高土地、水资源节约集约和矿产资源综合利用水平，推进循环经济发展。创新体制机制，推进环保基础设施共建共享和环保管理一体化，共同保护生态环境和水源涵养区环境，协同解决区域性大气污染、水污染等突出环境问题，共同建设天蓝、地绿、水清的美好家园。</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76" w:name="_Toc59989555"/>
      <w:bookmarkStart w:id="277" w:name="_Toc6856"/>
      <w:bookmarkStart w:id="278" w:name="_Toc14875"/>
      <w:bookmarkStart w:id="279" w:name="_Toc22819"/>
      <w:r>
        <w:rPr>
          <w:rFonts w:ascii="Times New Roman" w:hAnsi="Times New Roman" w:eastAsia="楷体_GB2312" w:cs="Times New Roman"/>
          <w:b/>
          <w:bCs/>
          <w:color w:val="000000" w:themeColor="text1"/>
          <w:sz w:val="32"/>
          <w:szCs w:val="32"/>
          <w14:textFill>
            <w14:solidFill>
              <w14:schemeClr w14:val="tx1"/>
            </w14:solidFill>
          </w14:textFill>
        </w:rPr>
        <w:t>（二）加快面向全国的深层次开放</w:t>
      </w:r>
      <w:bookmarkEnd w:id="276"/>
      <w:bookmarkEnd w:id="277"/>
      <w:bookmarkEnd w:id="278"/>
      <w:bookmarkEnd w:id="279"/>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主动服务和融入国家和自治区发展战略，全方位推进与东部沿海地区省市的深度合作与交流，精准对接东部科技资源，积极承接长三角、珠三角、京津冀等发达地区产业转移，推动跨区域共建科技产业园区，实现优势互补、错位发展。深化闽宁在经贸、资源、产业上的互动合作，找准双方需求和共鸣点。深化与央企在战略性新兴产业、先进制造业、现代服务业、科技研发等领域合作，吸引沿海地区、央企资本参与县域社会经济建设。搭建重要商品产销对接平台，引导市场线上线下融合发展，构建信息化、智能化、网络化销售新模式。开展盐池“优品”全国行活动，广泛推介特色优质产品，提升盐池产品市场知名度。</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80" w:name="_Toc28349"/>
      <w:bookmarkStart w:id="281" w:name="_Toc24773"/>
      <w:bookmarkStart w:id="282" w:name="_Toc59989556"/>
      <w:bookmarkStart w:id="283" w:name="_Toc18506"/>
      <w:r>
        <w:rPr>
          <w:rFonts w:ascii="Times New Roman" w:hAnsi="Times New Roman" w:eastAsia="楷体_GB2312" w:cs="Times New Roman"/>
          <w:b/>
          <w:bCs/>
          <w:color w:val="000000" w:themeColor="text1"/>
          <w:sz w:val="32"/>
          <w:szCs w:val="32"/>
          <w14:textFill>
            <w14:solidFill>
              <w14:schemeClr w14:val="tx1"/>
            </w14:solidFill>
          </w14:textFill>
        </w:rPr>
        <w:t>（三）扩大面向国际的高水平开放</w:t>
      </w:r>
      <w:bookmarkEnd w:id="280"/>
      <w:bookmarkEnd w:id="281"/>
      <w:bookmarkEnd w:id="282"/>
      <w:bookmarkEnd w:id="283"/>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主动融入国家“一带一路”及宁夏内陆开放试验区战略，发展面向中亚、西亚和蒙古国的外向型产业，培育出口优势产业和外向型龙头企业，建设农副产品、化工等出口加工基地。对接国际高标准贸易投资规则，利用国际、国内两个市场，发挥侨务、对台部门和工商联的纽带作用，强化与东南亚国家和港澳台地区的交流与合作，营造良好的国际化营商环境，提升招商引资水平，吸引外商投资。</w:t>
      </w:r>
    </w:p>
    <w:p>
      <w:pPr>
        <w:adjustRightInd w:val="0"/>
        <w:snapToGrid w:val="0"/>
        <w:spacing w:before="240" w:beforeLines="100" w:after="240" w:afterLines="100" w:line="600" w:lineRule="exact"/>
        <w:ind w:firstLine="720" w:firstLineChars="200"/>
        <w:outlineLvl w:val="0"/>
        <w:rPr>
          <w:rFonts w:ascii="Times New Roman" w:hAnsi="Times New Roman" w:cs="Times New Roman"/>
          <w:color w:val="000000" w:themeColor="text1"/>
          <w14:textFill>
            <w14:solidFill>
              <w14:schemeClr w14:val="tx1"/>
            </w14:solidFill>
          </w14:textFill>
        </w:rPr>
      </w:pPr>
      <w:bookmarkStart w:id="284" w:name="_Toc28970"/>
      <w:bookmarkStart w:id="285" w:name="_Toc59989557"/>
      <w:bookmarkStart w:id="286" w:name="_Toc27280"/>
      <w:bookmarkStart w:id="287" w:name="_Toc1829"/>
      <w:r>
        <w:rPr>
          <w:rFonts w:ascii="Times New Roman" w:hAnsi="Times New Roman" w:eastAsia="黑体" w:cs="Times New Roman"/>
          <w:color w:val="000000" w:themeColor="text1"/>
          <w:sz w:val="36"/>
          <w:szCs w:val="36"/>
          <w14:textFill>
            <w14:solidFill>
              <w14:schemeClr w14:val="tx1"/>
            </w14:solidFill>
          </w14:textFill>
        </w:rPr>
        <w:t>第五章 加强生态文明建设，构建绿色发展新优势</w:t>
      </w:r>
      <w:bookmarkEnd w:id="284"/>
      <w:bookmarkEnd w:id="285"/>
      <w:bookmarkEnd w:id="286"/>
      <w:bookmarkEnd w:id="287"/>
    </w:p>
    <w:p>
      <w:pPr>
        <w:adjustRightInd w:val="0"/>
        <w:snapToGrid w:val="0"/>
        <w:spacing w:line="600" w:lineRule="exact"/>
        <w:ind w:firstLine="616"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坚持</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绿水青山就是金山银山</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理念，把建设黄河流域生态保护和高质量发展先行区作为政治任务和时代使命，扎实走好生态优先、绿色发展之路，大力发展具有地域特色的生态经济，打造西北地区绿色发展的新典范，努力争创国家生态文明建设示范县。</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288" w:name="_Toc27438"/>
      <w:bookmarkStart w:id="289" w:name="_Toc25862"/>
      <w:bookmarkStart w:id="290" w:name="_Toc59989558"/>
      <w:bookmarkStart w:id="291" w:name="_Toc3021"/>
      <w:r>
        <w:rPr>
          <w:rFonts w:ascii="Times New Roman" w:hAnsi="Times New Roman" w:eastAsia="楷体_GB2312" w:cs="Times New Roman"/>
          <w:b/>
          <w:bCs/>
          <w:color w:val="000000" w:themeColor="text1"/>
          <w:sz w:val="32"/>
          <w:szCs w:val="32"/>
          <w14:textFill>
            <w14:solidFill>
              <w14:schemeClr w14:val="tx1"/>
            </w14:solidFill>
          </w14:textFill>
        </w:rPr>
        <w:t>第一节 开展生态修复和保护</w:t>
      </w:r>
      <w:bookmarkEnd w:id="288"/>
      <w:bookmarkEnd w:id="289"/>
      <w:bookmarkEnd w:id="290"/>
      <w:bookmarkEnd w:id="291"/>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统筹推进生产保护和修复工程，不断增强生态系统的平衡性、安全性和稳定性，提升生态系统碳汇能力，构建绿色共享、和谐美丽的生态空间。</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92" w:name="_Toc59989559"/>
      <w:bookmarkStart w:id="293" w:name="_Toc18986"/>
      <w:bookmarkStart w:id="294" w:name="_Toc27212"/>
      <w:bookmarkStart w:id="295" w:name="_Toc4714"/>
      <w:r>
        <w:rPr>
          <w:rFonts w:ascii="Times New Roman" w:hAnsi="Times New Roman" w:eastAsia="楷体_GB2312" w:cs="Times New Roman"/>
          <w:b/>
          <w:bCs/>
          <w:color w:val="000000" w:themeColor="text1"/>
          <w:sz w:val="32"/>
          <w:szCs w:val="32"/>
          <w14:textFill>
            <w14:solidFill>
              <w14:schemeClr w14:val="tx1"/>
            </w14:solidFill>
          </w14:textFill>
        </w:rPr>
        <w:t>（一）构建美丽安全生态空间格局</w:t>
      </w:r>
      <w:bookmarkEnd w:id="292"/>
      <w:bookmarkEnd w:id="293"/>
      <w:bookmarkEnd w:id="294"/>
      <w:bookmarkEnd w:id="295"/>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生态保护红线、永久基本农田、城镇开发边界“三线”划定和管控措施，按照禁止开发区域、生态功能重要区域、生态环境脆弱敏感区域不同要求进行管理。继续强化围城生态防护林带建设，优化骆驼井水源保护区-长城旅游观光带-毛乌素沙漠南缘北部生态保护廊带和城南林场-沙泉湾-南海子-哈巴湖中部生态保护廊带，持续建设和保护北部草原风沙综合治理区、中部扬黄灌区综合治理区和南部黄土丘陵区水土保持综合治理区，筑牢县域生态安全格局，打造全国生态文明建设示范县，创建全国森林城市。</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96" w:name="_Toc32301"/>
      <w:bookmarkStart w:id="297" w:name="_Toc20232"/>
      <w:bookmarkStart w:id="298" w:name="_Toc59989560"/>
      <w:bookmarkStart w:id="299" w:name="_Toc17233"/>
      <w:r>
        <w:rPr>
          <w:rFonts w:ascii="Times New Roman" w:hAnsi="Times New Roman" w:eastAsia="楷体_GB2312" w:cs="Times New Roman"/>
          <w:b/>
          <w:bCs/>
          <w:color w:val="000000" w:themeColor="text1"/>
          <w:sz w:val="32"/>
          <w:szCs w:val="32"/>
          <w14:textFill>
            <w14:solidFill>
              <w14:schemeClr w14:val="tx1"/>
            </w14:solidFill>
          </w14:textFill>
        </w:rPr>
        <w:t>（二）大力实施重点生态保护和修复工程</w:t>
      </w:r>
      <w:bookmarkEnd w:id="296"/>
      <w:bookmarkEnd w:id="297"/>
      <w:bookmarkEnd w:id="298"/>
      <w:bookmarkEnd w:id="299"/>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系统化修复、全域化治理，统筹山水林田湖草沙生态系统修复与保护，科学推进水土流失综合治理，开展大规模国土绿化行动，推行林长制。加大城区、工业园区、中心村镇、沿路、村围等重要节点绿色基础设施建设力度，构建以城镇为载体、园区为点缀、道路为纽带、林网为支撑的绿色国土空间格局。以黄土高原宁夏中部干旱带水土流失综合治理重大项目为支撑，依托天然林保护、三北防护林、退耕还林（草）、草原生态修复等工程，按照“北治沙、中治水、南治土”的总体目标，因地制宜推进人工造林、封山育林、退化草原修复等生态建设，构筑区域发展绿色屏障，持续开展小流域综合治理项目和沟道治理工程，巩固提升水土保持先进县成果，持续改善流域生态环境。高质量开展哈巴湖国家级自然保护区环境治理，按照“谁开采、谁保护、边开采、边治理”原则，加大重点采煤区、砂石开采区、石膏矿区等复垦整治、生态修复与污染防治力度。到“十四五”末，森林覆盖率提升至30%，草原综合植被盖度达到60%。</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00" w:name="_Toc19968"/>
      <w:bookmarkStart w:id="301" w:name="_Toc24899"/>
      <w:bookmarkStart w:id="302" w:name="_Toc59989561"/>
      <w:bookmarkStart w:id="303" w:name="_Toc18810"/>
      <w:r>
        <w:rPr>
          <w:rFonts w:ascii="Times New Roman" w:hAnsi="Times New Roman" w:eastAsia="楷体_GB2312" w:cs="Times New Roman"/>
          <w:b/>
          <w:bCs/>
          <w:color w:val="000000" w:themeColor="text1"/>
          <w:sz w:val="32"/>
          <w:szCs w:val="32"/>
          <w14:textFill>
            <w14:solidFill>
              <w14:schemeClr w14:val="tx1"/>
            </w14:solidFill>
          </w14:textFill>
        </w:rPr>
        <w:t>（三）健全生态保护投入与利益共享机制</w:t>
      </w:r>
      <w:bookmarkEnd w:id="300"/>
      <w:bookmarkEnd w:id="301"/>
      <w:bookmarkEnd w:id="302"/>
      <w:bookmarkEnd w:id="303"/>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实施可持续发展战略，完善生态文明领域统筹协调机制，实现人与自然和谐共处。积极争取国家和自治区生态保护与修复重点项目资金，鼓励社会资金参与生态建设与保护，探索在国土开发中积累生态保护资金，引导农户主动参与生态修复工程，形成多元生态保护投入与利益共享机制。推进柠条转饲利用基地、牧草加工和养殖基地、特色经济林产业基地建设，支持麻黄山大接杏、柠条资源转化利用等生态产业发展，培育和壮大关系生态、关乎民生的特色林草产业。</w:t>
      </w:r>
    </w:p>
    <w:p>
      <w:pPr>
        <w:pStyle w:val="49"/>
        <w:rPr>
          <w:rFonts w:ascii="Times New Roman" w:hAnsi="Times New Roman" w:eastAsia="仿宋_GB2312"/>
          <w:color w:val="000000" w:themeColor="text1"/>
          <w:sz w:val="30"/>
          <w:szCs w:val="30"/>
          <w14:textFill>
            <w14:solidFill>
              <w14:schemeClr w14:val="tx1"/>
            </w14:solidFill>
          </w14:textFill>
        </w:rPr>
      </w:pPr>
      <w:r>
        <w:rPr>
          <w:rFonts w:ascii="Times New Roman" w:hAnsi="Times New Roman"/>
          <w:color w:val="000000" w:themeColor="text1"/>
          <w14:textFill>
            <w14:solidFill>
              <w14:schemeClr w14:val="tx1"/>
            </w14:solidFill>
          </w14:textFill>
        </w:rPr>
        <w:t>专栏五：生态保护修复建设重点工程项目</w:t>
      </w:r>
    </w:p>
    <w:tbl>
      <w:tblPr>
        <w:tblStyle w:val="23"/>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02" w:type="dxa"/>
            <w:shd w:val="clear" w:color="auto" w:fill="auto"/>
          </w:tcPr>
          <w:p>
            <w:pPr>
              <w:numPr>
                <w:ilvl w:val="0"/>
                <w:numId w:val="4"/>
              </w:numPr>
              <w:adjustRightInd w:val="0"/>
              <w:snapToGrid w:val="0"/>
              <w:spacing w:line="480" w:lineRule="exact"/>
              <w:ind w:left="28" w:firstLine="562" w:firstLineChars="200"/>
              <w:rPr>
                <w:rFonts w:ascii="Times New Roman" w:hAnsi="Times New Roman" w:eastAsia="仿宋_GB2312" w:cs="Times New Roman"/>
                <w:b/>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水土流失及水源涵养综合治理</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color w:val="000000" w:themeColor="text1"/>
                <w:sz w:val="28"/>
                <w:szCs w:val="24"/>
                <w14:textFill>
                  <w14:solidFill>
                    <w14:schemeClr w14:val="tx1"/>
                  </w14:solidFill>
                </w14:textFill>
              </w:rPr>
              <w:t>苦水河流域罗山外围水土保持生态修复项目，河湖湿地保护修复项目。</w:t>
            </w:r>
          </w:p>
          <w:p>
            <w:pPr>
              <w:numPr>
                <w:ilvl w:val="0"/>
                <w:numId w:val="4"/>
              </w:numPr>
              <w:adjustRightInd w:val="0"/>
              <w:snapToGrid w:val="0"/>
              <w:spacing w:line="480" w:lineRule="exact"/>
              <w:ind w:left="28" w:firstLine="562" w:firstLineChars="200"/>
              <w:rPr>
                <w:rFonts w:ascii="Times New Roman" w:hAnsi="Times New Roman" w:eastAsia="仿宋_GB2312" w:cs="Times New Roman"/>
                <w:b/>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防沙治沙及荒漠化综合治理</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大规模国土绿化及防沙治沙建设项目，</w:t>
            </w:r>
            <w:r>
              <w:rPr>
                <w:rFonts w:ascii="Times New Roman" w:hAnsi="Times New Roman" w:eastAsia="仿宋_GB2312" w:cs="Times New Roman"/>
                <w:color w:val="000000" w:themeColor="text1"/>
                <w:sz w:val="28"/>
                <w:szCs w:val="24"/>
                <w14:textFill>
                  <w14:solidFill>
                    <w14:schemeClr w14:val="tx1"/>
                  </w14:solidFill>
                </w14:textFill>
              </w:rPr>
              <w:t>退化草原生态修复项目，哈巴湖人工促进生态修复项目，花马池镇、惠安堡镇、冯记沟乡防护林建设项目，高沙窝镇、大水坑镇防沙治沙项目。</w:t>
            </w:r>
          </w:p>
          <w:p>
            <w:pPr>
              <w:numPr>
                <w:ilvl w:val="0"/>
                <w:numId w:val="4"/>
              </w:numPr>
              <w:adjustRightInd w:val="0"/>
              <w:snapToGrid w:val="0"/>
              <w:spacing w:line="480" w:lineRule="exact"/>
              <w:ind w:left="28" w:firstLine="562" w:firstLineChars="200"/>
              <w:rPr>
                <w:rFonts w:ascii="Times New Roman" w:hAnsi="Times New Roman" w:eastAsia="仿宋_GB2312" w:cs="Times New Roman"/>
                <w:b/>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矿山地质环境及国土综合整治</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color w:val="000000" w:themeColor="text1"/>
                <w:sz w:val="28"/>
                <w:szCs w:val="24"/>
                <w14:textFill>
                  <w14:solidFill>
                    <w14:schemeClr w14:val="tx1"/>
                  </w14:solidFill>
                </w14:textFill>
              </w:rPr>
              <w:t>惠安堡、王乐井、花马池扬黄灌区国土综合整治项目，惠安堡、冯记沟采煤沉陷区生态环境治理项目，砂石矿区、石膏矿区等废弃矿山地质环境治理项目</w:t>
            </w:r>
            <w:r>
              <w:rPr>
                <w:rFonts w:hint="eastAsia" w:ascii="Times New Roman" w:hAnsi="Times New Roman" w:eastAsia="仿宋_GB2312" w:cs="Times New Roman"/>
                <w:color w:val="000000" w:themeColor="text1"/>
                <w:sz w:val="28"/>
                <w:szCs w:val="24"/>
                <w14:textFill>
                  <w14:solidFill>
                    <w14:schemeClr w14:val="tx1"/>
                  </w14:solidFill>
                </w14:textFill>
              </w:rPr>
              <w:t>，包括清理渣土、回填种植土、植被恢复、生态修复等</w:t>
            </w:r>
            <w:r>
              <w:rPr>
                <w:rFonts w:ascii="Times New Roman" w:hAnsi="Times New Roman" w:eastAsia="仿宋_GB2312" w:cs="Times New Roman"/>
                <w:color w:val="000000" w:themeColor="text1"/>
                <w:sz w:val="28"/>
                <w:szCs w:val="24"/>
                <w14:textFill>
                  <w14:solidFill>
                    <w14:schemeClr w14:val="tx1"/>
                  </w14:solidFill>
                </w14:textFill>
              </w:rPr>
              <w:t>。</w:t>
            </w:r>
          </w:p>
          <w:p>
            <w:pPr>
              <w:numPr>
                <w:ilvl w:val="0"/>
                <w:numId w:val="4"/>
              </w:numPr>
              <w:adjustRightInd w:val="0"/>
              <w:snapToGrid w:val="0"/>
              <w:spacing w:line="480" w:lineRule="exact"/>
              <w:ind w:left="2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生态经济林建设及乡村绿化</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村庄绿化1.4万亩，生态经济林0.6万亩</w:t>
            </w:r>
            <w:r>
              <w:rPr>
                <w:rFonts w:ascii="Times New Roman" w:hAnsi="Times New Roman" w:eastAsia="仿宋_GB2312" w:cs="Times New Roman"/>
                <w:color w:val="000000" w:themeColor="text1"/>
                <w:sz w:val="28"/>
                <w:szCs w:val="24"/>
                <w14:textFill>
                  <w14:solidFill>
                    <w14:schemeClr w14:val="tx1"/>
                  </w14:solidFill>
                </w14:textFill>
              </w:rPr>
              <w:t>。</w:t>
            </w:r>
          </w:p>
          <w:p>
            <w:pPr>
              <w:numPr>
                <w:ilvl w:val="0"/>
                <w:numId w:val="4"/>
              </w:numPr>
              <w:adjustRightInd w:val="0"/>
              <w:snapToGrid w:val="0"/>
              <w:spacing w:line="480" w:lineRule="exact"/>
              <w:ind w:left="2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水利和小流域治理</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实施青山乡雷记沟流域（黄河流域）生态综合修复项目，新建桑记堡子、黎明、芦沟子、新庄洼四座水库，实施浅井沟、荫子沟等沟道整治150公里，水土保持小流域综合治理500平方公里。</w:t>
            </w:r>
          </w:p>
          <w:p>
            <w:pPr>
              <w:numPr>
                <w:ilvl w:val="0"/>
                <w:numId w:val="4"/>
              </w:numPr>
              <w:adjustRightInd w:val="0"/>
              <w:snapToGrid w:val="0"/>
              <w:spacing w:line="480" w:lineRule="exact"/>
              <w:ind w:left="28"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水利智能化改造</w:t>
            </w:r>
            <w:r>
              <w:rPr>
                <w:rFonts w:hint="eastAsia" w:ascii="Times New Roman" w:hAnsi="Times New Roman" w:eastAsia="仿宋_GB2312" w:cs="Times New Roman"/>
                <w:b/>
                <w:color w:val="000000" w:themeColor="text1"/>
                <w:sz w:val="28"/>
                <w:szCs w:val="24"/>
                <w14:textFill>
                  <w14:solidFill>
                    <w14:schemeClr w14:val="tx1"/>
                  </w14:solidFill>
                </w14:textFill>
              </w:rPr>
              <w:t>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实施互联网+城乡供水工程，农村及城镇配水管网提升改造工程，扬黄灌区现代化生态灌区建设项目，机井灌区测控一体化建设工程。</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04" w:name="_Toc59989562"/>
      <w:bookmarkStart w:id="305" w:name="_Toc17"/>
      <w:bookmarkStart w:id="306" w:name="_Toc3284"/>
      <w:bookmarkStart w:id="307" w:name="_Toc1621"/>
      <w:r>
        <w:rPr>
          <w:rFonts w:ascii="Times New Roman" w:hAnsi="Times New Roman" w:eastAsia="楷体_GB2312" w:cs="Times New Roman"/>
          <w:b/>
          <w:bCs/>
          <w:color w:val="000000" w:themeColor="text1"/>
          <w:sz w:val="32"/>
          <w:szCs w:val="32"/>
          <w14:textFill>
            <w14:solidFill>
              <w14:schemeClr w14:val="tx1"/>
            </w14:solidFill>
          </w14:textFill>
        </w:rPr>
        <w:t>第二节 强化环境保护与治理</w:t>
      </w:r>
      <w:bookmarkEnd w:id="304"/>
      <w:bookmarkEnd w:id="305"/>
      <w:bookmarkEnd w:id="306"/>
      <w:bookmarkEnd w:id="307"/>
    </w:p>
    <w:p>
      <w:pPr>
        <w:adjustRightInd w:val="0"/>
        <w:snapToGrid w:val="0"/>
        <w:spacing w:line="580" w:lineRule="exact"/>
        <w:ind w:firstLine="640"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实施最严格的生态环境保护制度，</w:t>
      </w:r>
      <w:r>
        <w:rPr>
          <w:rFonts w:ascii="Times New Roman" w:hAnsi="Times New Roman" w:eastAsia="仿宋_GB2312" w:cs="Times New Roman"/>
          <w:color w:val="000000" w:themeColor="text1"/>
          <w:sz w:val="32"/>
          <w:szCs w:val="32"/>
          <w14:textFill>
            <w14:solidFill>
              <w14:schemeClr w14:val="tx1"/>
            </w14:solidFill>
          </w14:textFill>
        </w:rPr>
        <w:t>继续打好“蓝天、碧水、净土”保卫战，巩固污染防治成果，建立健全污染防治长效机制，提升城乡环境精细化、科学化、法治化管控水平，完善“蓝天</w:t>
      </w:r>
      <w:r>
        <w:rPr>
          <w:rFonts w:ascii="Times New Roman" w:hAnsi="Times New Roman" w:cs="Times New Roman" w:eastAsia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碧水</w:t>
      </w:r>
      <w:r>
        <w:rPr>
          <w:rFonts w:ascii="Times New Roman" w:hAnsi="Times New Roman" w:cs="Times New Roman" w:eastAsiaTheme="minorEastAsia"/>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净土”一体化综合治理体系。</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08" w:name="_Toc5601"/>
      <w:bookmarkStart w:id="309" w:name="_Toc59989563"/>
      <w:bookmarkStart w:id="310" w:name="_Toc8728"/>
      <w:bookmarkStart w:id="311" w:name="_Toc21489"/>
      <w:r>
        <w:rPr>
          <w:rFonts w:ascii="Times New Roman" w:hAnsi="Times New Roman" w:eastAsia="楷体_GB2312" w:cs="Times New Roman"/>
          <w:b/>
          <w:bCs/>
          <w:color w:val="000000" w:themeColor="text1"/>
          <w:sz w:val="32"/>
          <w:szCs w:val="32"/>
          <w14:textFill>
            <w14:solidFill>
              <w14:schemeClr w14:val="tx1"/>
            </w14:solidFill>
          </w14:textFill>
        </w:rPr>
        <w:t>（一）深入开展蓝天保卫战</w:t>
      </w:r>
      <w:bookmarkEnd w:id="308"/>
      <w:bookmarkEnd w:id="309"/>
      <w:bookmarkEnd w:id="310"/>
      <w:bookmarkEnd w:id="311"/>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整合大气污染物与温室气体排放监测、统计体系，探索推进碳排放交易制度和排污许可管理制度融合，构建协同减排体系，稳定大气治理成果。以空气质量明显改善为刚性要求，大力推进大气污染防治协同化、规范化、标准化综合治理，全地域全时段全过程开展扬尘、煤尘、汽尘、烟尘“四尘同治”，持续做好细颗粒物（PM</w:t>
      </w:r>
      <w:r>
        <w:rPr>
          <w:rFonts w:ascii="Times New Roman" w:hAnsi="Times New Roman" w:eastAsia="仿宋_GB2312" w:cs="Times New Roman"/>
          <w:color w:val="000000" w:themeColor="text1"/>
          <w:sz w:val="32"/>
          <w:szCs w:val="32"/>
          <w:vertAlign w:val="subscript"/>
          <w14:textFill>
            <w14:solidFill>
              <w14:schemeClr w14:val="tx1"/>
            </w14:solidFill>
          </w14:textFill>
        </w:rPr>
        <w:t>2.5</w:t>
      </w:r>
      <w:r>
        <w:rPr>
          <w:rFonts w:ascii="Times New Roman" w:hAnsi="Times New Roman" w:eastAsia="仿宋_GB2312" w:cs="Times New Roman"/>
          <w:color w:val="000000" w:themeColor="text1"/>
          <w:sz w:val="32"/>
          <w:szCs w:val="32"/>
          <w14:textFill>
            <w14:solidFill>
              <w14:schemeClr w14:val="tx1"/>
            </w14:solidFill>
          </w14:textFill>
        </w:rPr>
        <w:t>）等主要环境空气质量指标监测工作，健全大气污染防治体系，不断提升防治能力。推进县域产业结构、能源结构、运输结构和用地结构的动态调整工作，强化工业污染全过程控制，实现工业污染源全面达标排放。建立“散乱污”企业动态管理机制，积极稳妥推进散煤治理，落实冬季清洁取暖政策，切实改善空气环境质量。到“十四五”末，空气质量优良天数占比</w:t>
      </w:r>
      <w:r>
        <w:rPr>
          <w:rFonts w:hint="eastAsia" w:ascii="Times New Roman" w:hAnsi="Times New Roman" w:eastAsia="仿宋_GB2312" w:cs="Times New Roman"/>
          <w:color w:val="000000" w:themeColor="text1"/>
          <w:sz w:val="32"/>
          <w:szCs w:val="32"/>
          <w14:textFill>
            <w14:solidFill>
              <w14:schemeClr w14:val="tx1"/>
            </w14:solidFill>
          </w14:textFill>
        </w:rPr>
        <w:t>完成区市下达目标任务</w:t>
      </w:r>
      <w:r>
        <w:rPr>
          <w:rFonts w:ascii="Times New Roman" w:hAnsi="Times New Roman" w:eastAsia="仿宋_GB2312" w:cs="Times New Roman"/>
          <w:color w:val="000000" w:themeColor="text1"/>
          <w:sz w:val="32"/>
          <w:szCs w:val="32"/>
          <w14:textFill>
            <w14:solidFill>
              <w14:schemeClr w14:val="tx1"/>
            </w14:solidFill>
          </w14:textFill>
        </w:rPr>
        <w:t>。</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12" w:name="_Toc5908"/>
      <w:bookmarkStart w:id="313" w:name="_Toc59989564"/>
      <w:bookmarkStart w:id="314" w:name="_Toc26007"/>
      <w:bookmarkStart w:id="315" w:name="_Toc18442"/>
      <w:r>
        <w:rPr>
          <w:rFonts w:ascii="Times New Roman" w:hAnsi="Times New Roman" w:eastAsia="楷体_GB2312" w:cs="Times New Roman"/>
          <w:b/>
          <w:bCs/>
          <w:color w:val="000000" w:themeColor="text1"/>
          <w:sz w:val="32"/>
          <w:szCs w:val="32"/>
          <w14:textFill>
            <w14:solidFill>
              <w14:schemeClr w14:val="tx1"/>
            </w14:solidFill>
          </w14:textFill>
        </w:rPr>
        <w:t>（二）稳步实施碧水保卫战</w:t>
      </w:r>
      <w:bookmarkEnd w:id="312"/>
      <w:bookmarkEnd w:id="313"/>
      <w:bookmarkEnd w:id="314"/>
      <w:bookmarkEnd w:id="315"/>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水污染综合治理工程，系统推进水生态保护、水资源管理和水污染防治，统筹治理饮用水源、农村生活污水、工业废水、农业退水、城乡污水，加大河湖水环境综合治理力度，持续改善水环境。加强畜禽粪污综合利用和工业生产污染监管和防治。扎实推进河长制、湖长制，加强河湖规范管理，深入推进河湖综合治理保护，严格河湖沟道划界成果运用，不断加大水利法治建设和水利行业能力建设。强化城乡污水处理设施改造提级及水资源综合利用，加大工业废水、采油区污水综合治理。全力配合实施陕甘宁革命老区供水工程，加强农村饮水工程提标改造，全面推进“互联网+城乡供水”示范建设。强化水源地保护治理，加强水源水、出厂水、管网水、末梢水的全过程管理，保障城乡居民饮用水安全。到“十四五”期末，地表水</w:t>
      </w:r>
      <w:r>
        <w:rPr>
          <w:rFonts w:hint="eastAsia" w:ascii="Times New Roman" w:hAnsi="Times New Roman" w:eastAsia="仿宋_GB2312" w:cs="Times New Roman"/>
          <w:color w:val="000000" w:themeColor="text1"/>
          <w:sz w:val="32"/>
          <w:szCs w:val="32"/>
          <w14:textFill>
            <w14:solidFill>
              <w14:schemeClr w14:val="tx1"/>
            </w14:solidFill>
          </w14:textFill>
        </w:rPr>
        <w:t>国考断面达到或好于Ⅲ类水体比例完成自治区下达目标任务</w:t>
      </w:r>
      <w:r>
        <w:rPr>
          <w:rFonts w:ascii="Times New Roman" w:hAnsi="Times New Roman" w:eastAsia="仿宋_GB2312" w:cs="Times New Roman"/>
          <w:color w:val="000000" w:themeColor="text1"/>
          <w:sz w:val="32"/>
          <w:szCs w:val="32"/>
          <w14:textFill>
            <w14:solidFill>
              <w14:schemeClr w14:val="tx1"/>
            </w14:solidFill>
          </w14:textFill>
        </w:rPr>
        <w:t>。</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16" w:name="_Toc59989565"/>
      <w:bookmarkStart w:id="317" w:name="_Toc17270"/>
      <w:bookmarkStart w:id="318" w:name="_Toc25525"/>
      <w:bookmarkStart w:id="319" w:name="_Toc22696"/>
      <w:r>
        <w:rPr>
          <w:rFonts w:ascii="Times New Roman" w:hAnsi="Times New Roman" w:eastAsia="楷体_GB2312" w:cs="Times New Roman"/>
          <w:b/>
          <w:bCs/>
          <w:color w:val="000000" w:themeColor="text1"/>
          <w:sz w:val="32"/>
          <w:szCs w:val="32"/>
          <w14:textFill>
            <w14:solidFill>
              <w14:schemeClr w14:val="tx1"/>
            </w14:solidFill>
          </w14:textFill>
        </w:rPr>
        <w:t>（三）全力推进净土保卫战</w:t>
      </w:r>
      <w:bookmarkEnd w:id="316"/>
      <w:bookmarkEnd w:id="317"/>
      <w:bookmarkEnd w:id="318"/>
      <w:bookmarkEnd w:id="319"/>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健全土壤监测网络体系、污染地块清单和优先管控名录，统筹推进建筑垃圾、生活垃圾、危险废物、畜禽粪便、工业固废、电子废弃物“六废联治”，开展土壤污染治理与修复技术试点工作，有效防治土壤污染。严控工矿污染，推进建设用地准入管理，提升固体废物污染防治能力，提高工业固废集中储存处理和综合利用水平。推进农村面源污染治理，实施化肥农药“减量增效”行动，建立完善农用残膜回收利用机制，开展畜禽养殖场区粪污无害化治理行动，加强农业面源污染防治，建立健全土壤污染风险评价和治理机制。加快推进垃圾分类制度，至“十四五”末建成生活垃圾分类投放、分类收集、分类运输、分类处置体系，提升生活垃圾处置能力，达到减量化、资源化、无害化水平。</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专栏六：环境保护与治理重点工程项目</w:t>
      </w:r>
    </w:p>
    <w:tbl>
      <w:tblPr>
        <w:tblStyle w:val="23"/>
        <w:tblW w:w="87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PrEx>
        <w:trPr>
          <w:jc w:val="center"/>
        </w:trPr>
        <w:tc>
          <w:tcPr>
            <w:tcW w:w="8779"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5"/>
              </w:numPr>
              <w:adjustRightInd w:val="0"/>
              <w:snapToGrid w:val="0"/>
              <w:spacing w:line="480" w:lineRule="exact"/>
              <w:ind w:left="42" w:leftChars="2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大气污染治理项目</w:t>
            </w:r>
            <w:r>
              <w:rPr>
                <w:rFonts w:ascii="Times New Roman" w:hAnsi="Times New Roman" w:eastAsia="仿宋_GB2312" w:cs="Times New Roman"/>
                <w:bCs/>
                <w:color w:val="000000" w:themeColor="text1"/>
                <w:sz w:val="28"/>
                <w:szCs w:val="24"/>
                <w14:textFill>
                  <w14:solidFill>
                    <w14:schemeClr w14:val="tx1"/>
                  </w14:solidFill>
                </w14:textFill>
              </w:rPr>
              <w:t>：实施清洁能源替代项目；实施燃煤锅炉淘汰及锅炉提标改造项目。</w:t>
            </w:r>
          </w:p>
          <w:p>
            <w:pPr>
              <w:numPr>
                <w:ilvl w:val="0"/>
                <w:numId w:val="5"/>
              </w:numPr>
              <w:adjustRightInd w:val="0"/>
              <w:snapToGrid w:val="0"/>
              <w:spacing w:line="480" w:lineRule="exact"/>
              <w:ind w:left="42" w:leftChars="2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水污染治理项目：</w:t>
            </w:r>
            <w:r>
              <w:rPr>
                <w:rFonts w:ascii="Times New Roman" w:hAnsi="Times New Roman" w:eastAsia="仿宋_GB2312" w:cs="Times New Roman"/>
                <w:bCs/>
                <w:color w:val="000000" w:themeColor="text1"/>
                <w:sz w:val="28"/>
                <w:szCs w:val="24"/>
                <w14:textFill>
                  <w14:solidFill>
                    <w14:schemeClr w14:val="tx1"/>
                  </w14:solidFill>
                </w14:textFill>
              </w:rPr>
              <w:t>实施盐池县城北生态修复及水资源综合利用项目；实施农村生活污水治理项目，建设农村生活污水集中收集管网及污水处理厂。</w:t>
            </w:r>
          </w:p>
          <w:p>
            <w:pPr>
              <w:numPr>
                <w:ilvl w:val="0"/>
                <w:numId w:val="5"/>
              </w:numPr>
              <w:adjustRightInd w:val="0"/>
              <w:snapToGrid w:val="0"/>
              <w:spacing w:line="480" w:lineRule="exact"/>
              <w:ind w:left="42" w:leftChars="2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土壤污染治理项目</w:t>
            </w:r>
            <w:r>
              <w:rPr>
                <w:rFonts w:ascii="Times New Roman" w:hAnsi="Times New Roman" w:eastAsia="仿宋_GB2312" w:cs="Times New Roman"/>
                <w:bCs/>
                <w:color w:val="000000" w:themeColor="text1"/>
                <w:sz w:val="28"/>
                <w:szCs w:val="24"/>
                <w14:textFill>
                  <w14:solidFill>
                    <w14:schemeClr w14:val="tx1"/>
                  </w14:solidFill>
                </w14:textFill>
              </w:rPr>
              <w:t>：实施城镇污水处理厂污泥处置项目，建设1座年处理2000吨污泥的污泥处理设施；采油井石油烃类污染土壤强化生物修复项目。</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20" w:name="_Toc392"/>
      <w:bookmarkStart w:id="321" w:name="_Toc23882"/>
      <w:bookmarkStart w:id="322" w:name="_Toc5380"/>
      <w:bookmarkStart w:id="323" w:name="_Toc59989566"/>
      <w:r>
        <w:rPr>
          <w:rFonts w:ascii="Times New Roman" w:hAnsi="Times New Roman" w:eastAsia="楷体_GB2312" w:cs="Times New Roman"/>
          <w:b/>
          <w:bCs/>
          <w:color w:val="000000" w:themeColor="text1"/>
          <w:sz w:val="32"/>
          <w:szCs w:val="32"/>
          <w14:textFill>
            <w14:solidFill>
              <w14:schemeClr w14:val="tx1"/>
            </w14:solidFill>
          </w14:textFill>
        </w:rPr>
        <w:t>第三节 提升资源利用效率</w:t>
      </w:r>
      <w:bookmarkEnd w:id="320"/>
      <w:bookmarkEnd w:id="321"/>
      <w:bookmarkEnd w:id="322"/>
      <w:bookmarkEnd w:id="323"/>
    </w:p>
    <w:p>
      <w:pPr>
        <w:adjustRightInd w:val="0"/>
        <w:snapToGrid w:val="0"/>
        <w:spacing w:line="580" w:lineRule="exact"/>
        <w:ind w:left="-9"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坚持政策引导、规划管控、行政执法、市场倒逼多措并举，推动资源使用总量控制、利用效率提升，促进经济发展绿色化、低碳化。</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24" w:name="_Toc59989567"/>
      <w:bookmarkStart w:id="325" w:name="_Toc27540"/>
      <w:bookmarkStart w:id="326" w:name="_Toc17457"/>
      <w:bookmarkStart w:id="327" w:name="_Toc13948"/>
      <w:r>
        <w:rPr>
          <w:rFonts w:ascii="Times New Roman" w:hAnsi="Times New Roman" w:eastAsia="楷体_GB2312" w:cs="Times New Roman"/>
          <w:b/>
          <w:bCs/>
          <w:color w:val="000000" w:themeColor="text1"/>
          <w:sz w:val="32"/>
          <w:szCs w:val="32"/>
          <w14:textFill>
            <w14:solidFill>
              <w14:schemeClr w14:val="tx1"/>
            </w14:solidFill>
          </w14:textFill>
        </w:rPr>
        <w:t>（一）高效利用水资源</w:t>
      </w:r>
      <w:bookmarkEnd w:id="324"/>
      <w:bookmarkEnd w:id="325"/>
      <w:bookmarkEnd w:id="326"/>
      <w:bookmarkEnd w:id="327"/>
    </w:p>
    <w:p>
      <w:pPr>
        <w:adjustRightInd w:val="0"/>
        <w:snapToGrid w:val="0"/>
        <w:spacing w:line="580" w:lineRule="exact"/>
        <w:ind w:left="-9"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坚持以水定城、以水定地、以水定人、以水定产的原则，优化用水结构，转变用水方式，节约集约利用水资源，全面提升农业、工业和城镇生活等领域高效利用水平。重点推进农业高效</w:t>
      </w:r>
      <w:r>
        <w:rPr>
          <w:rFonts w:ascii="Times New Roman" w:hAnsi="Times New Roman" w:eastAsia="仿宋_GB2312" w:cs="Times New Roman"/>
          <w:bCs/>
          <w:color w:val="000000" w:themeColor="text1"/>
          <w:sz w:val="32"/>
          <w:szCs w:val="32"/>
          <w14:textFill>
            <w14:solidFill>
              <w14:schemeClr w14:val="tx1"/>
            </w14:solidFill>
          </w14:textFill>
        </w:rPr>
        <w:t>节水、工业用水循环利用及节水改造，创新开展工业污水资源化利用、城市再生水综合利用、智能化用水计量设施建设，加强节水型社会建设，争创全国节水型社会达标县。到“十四五”末，</w:t>
      </w:r>
      <w:r>
        <w:rPr>
          <w:rFonts w:ascii="Times New Roman" w:hAnsi="Times New Roman" w:eastAsia="仿宋_GB2312" w:cs="Times New Roman"/>
          <w:color w:val="000000" w:themeColor="text1"/>
          <w:sz w:val="32"/>
          <w:szCs w:val="32"/>
          <w14:textFill>
            <w14:solidFill>
              <w14:schemeClr w14:val="tx1"/>
            </w14:solidFill>
          </w14:textFill>
        </w:rPr>
        <w:t>单位GDP</w:t>
      </w:r>
      <w:r>
        <w:rPr>
          <w:rFonts w:ascii="Times New Roman" w:hAnsi="Times New Roman" w:eastAsia="仿宋_GB2312" w:cs="Times New Roman"/>
          <w:bCs/>
          <w:color w:val="000000" w:themeColor="text1"/>
          <w:sz w:val="32"/>
          <w:szCs w:val="32"/>
          <w14:textFill>
            <w14:solidFill>
              <w14:schemeClr w14:val="tx1"/>
            </w14:solidFill>
          </w14:textFill>
        </w:rPr>
        <w:t>用水量下降15%，农田灌溉水有效利用系数达0.7以上。</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28" w:name="_Toc14793"/>
      <w:bookmarkStart w:id="329" w:name="_Toc6491"/>
      <w:bookmarkStart w:id="330" w:name="_Toc59989568"/>
      <w:bookmarkStart w:id="331" w:name="_Toc10975"/>
      <w:r>
        <w:rPr>
          <w:rFonts w:ascii="Times New Roman" w:hAnsi="Times New Roman" w:eastAsia="楷体_GB2312" w:cs="Times New Roman"/>
          <w:b/>
          <w:bCs/>
          <w:color w:val="000000" w:themeColor="text1"/>
          <w:sz w:val="32"/>
          <w:szCs w:val="32"/>
          <w14:textFill>
            <w14:solidFill>
              <w14:schemeClr w14:val="tx1"/>
            </w14:solidFill>
          </w14:textFill>
        </w:rPr>
        <w:t>（二）集约利用土地</w:t>
      </w:r>
      <w:bookmarkEnd w:id="328"/>
      <w:bookmarkEnd w:id="329"/>
      <w:bookmarkEnd w:id="330"/>
      <w:bookmarkEnd w:id="331"/>
    </w:p>
    <w:p>
      <w:pPr>
        <w:adjustRightInd w:val="0"/>
        <w:snapToGrid w:val="0"/>
        <w:spacing w:line="580" w:lineRule="exact"/>
        <w:ind w:left="-9"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统筹规划城乡建设用地开发利用机制，构建存量建设用地空间位置、开发潜力与发展方向的动态监测与评估机制。深入推进城镇低效用地再开发，加大批而未供土地处置力度、积极盘活闲置土地资源，用足用活低效用地政策，加快推进县城、高沙窝、惠安堡、大水坑城镇基础设施和危旧房屋改造建设，提升城镇建设水平。实行最严格的耕地保护制度，推进基本农田保护区建设，开展土地整理与复垦，实现耕地占补平衡，完成上级下达耕地保有任务。到“十四五”末，单位GDP建设用地使用面积下降15%。</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32" w:name="_Toc17338"/>
      <w:bookmarkStart w:id="333" w:name="_Toc59989569"/>
      <w:bookmarkStart w:id="334" w:name="_Toc4287"/>
      <w:bookmarkStart w:id="335" w:name="_Toc28165"/>
      <w:r>
        <w:rPr>
          <w:rFonts w:ascii="Times New Roman" w:hAnsi="Times New Roman" w:eastAsia="楷体_GB2312" w:cs="Times New Roman"/>
          <w:b/>
          <w:bCs/>
          <w:color w:val="000000" w:themeColor="text1"/>
          <w:sz w:val="32"/>
          <w:szCs w:val="32"/>
          <w14:textFill>
            <w14:solidFill>
              <w14:schemeClr w14:val="tx1"/>
            </w14:solidFill>
          </w14:textFill>
        </w:rPr>
        <w:t>（三）持续推进节能降耗</w:t>
      </w:r>
      <w:bookmarkEnd w:id="332"/>
      <w:bookmarkEnd w:id="333"/>
      <w:bookmarkEnd w:id="334"/>
      <w:bookmarkEnd w:id="335"/>
    </w:p>
    <w:p>
      <w:pPr>
        <w:adjustRightInd w:val="0"/>
        <w:snapToGrid w:val="0"/>
        <w:spacing w:line="580" w:lineRule="exact"/>
        <w:ind w:left="-9" w:firstLine="616"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hint="eastAsia" w:ascii="Times New Roman" w:hAnsi="Times New Roman" w:eastAsia="仿宋_GB2312" w:cs="Times New Roman"/>
          <w:color w:val="000000" w:themeColor="text1"/>
          <w:spacing w:val="-6"/>
          <w:sz w:val="32"/>
          <w:szCs w:val="32"/>
          <w14:textFill>
            <w14:solidFill>
              <w14:schemeClr w14:val="tx1"/>
            </w14:solidFill>
          </w14:textFill>
        </w:rPr>
        <w:t>全面落实“碳达峰、碳中和”战略目标要求，严格落实能耗消费总量和强度双控及碳排放控制要求，坚决遏制“两高”项目盲目发展。</w:t>
      </w:r>
      <w:r>
        <w:rPr>
          <w:rFonts w:ascii="Times New Roman" w:hAnsi="Times New Roman" w:eastAsia="仿宋_GB2312" w:cs="Times New Roman"/>
          <w:color w:val="000000" w:themeColor="text1"/>
          <w:spacing w:val="-6"/>
          <w:sz w:val="32"/>
          <w:szCs w:val="32"/>
          <w14:textFill>
            <w14:solidFill>
              <w14:schemeClr w14:val="tx1"/>
            </w14:solidFill>
          </w14:textFill>
        </w:rPr>
        <w:t>严格能耗准入门槛，加快煤炭、电力、冶金、化工、建材等传统高耗能行业节能</w:t>
      </w:r>
      <w:r>
        <w:rPr>
          <w:rFonts w:hint="eastAsia" w:ascii="Times New Roman" w:hAnsi="Times New Roman" w:eastAsia="仿宋_GB2312" w:cs="Times New Roman"/>
          <w:color w:val="000000" w:themeColor="text1"/>
          <w:spacing w:val="-6"/>
          <w:sz w:val="32"/>
          <w:szCs w:val="32"/>
          <w14:textFill>
            <w14:solidFill>
              <w14:schemeClr w14:val="tx1"/>
            </w14:solidFill>
          </w14:textFill>
        </w:rPr>
        <w:t>降耗技术</w:t>
      </w:r>
      <w:r>
        <w:rPr>
          <w:rFonts w:ascii="Times New Roman" w:hAnsi="Times New Roman" w:eastAsia="仿宋_GB2312" w:cs="Times New Roman"/>
          <w:color w:val="000000" w:themeColor="text1"/>
          <w:spacing w:val="-6"/>
          <w:sz w:val="32"/>
          <w:szCs w:val="32"/>
          <w14:textFill>
            <w14:solidFill>
              <w14:schemeClr w14:val="tx1"/>
            </w14:solidFill>
          </w14:textFill>
        </w:rPr>
        <w:t>改造</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倡导</w:t>
      </w:r>
      <w:r>
        <w:rPr>
          <w:rFonts w:hint="eastAsia" w:ascii="Times New Roman" w:hAnsi="Times New Roman" w:eastAsia="仿宋_GB2312" w:cs="Times New Roman"/>
          <w:color w:val="000000" w:themeColor="text1"/>
          <w:spacing w:val="-6"/>
          <w:sz w:val="32"/>
          <w:szCs w:val="32"/>
          <w14:textFill>
            <w14:solidFill>
              <w14:schemeClr w14:val="tx1"/>
            </w14:solidFill>
          </w14:textFill>
        </w:rPr>
        <w:t>发展优先利用</w:t>
      </w:r>
      <w:r>
        <w:rPr>
          <w:rFonts w:ascii="Times New Roman" w:hAnsi="Times New Roman" w:eastAsia="仿宋_GB2312" w:cs="Times New Roman"/>
          <w:color w:val="000000" w:themeColor="text1"/>
          <w:spacing w:val="-6"/>
          <w:sz w:val="32"/>
          <w:szCs w:val="32"/>
          <w14:textFill>
            <w14:solidFill>
              <w14:schemeClr w14:val="tx1"/>
            </w14:solidFill>
          </w14:textFill>
        </w:rPr>
        <w:t>节能技术和</w:t>
      </w:r>
      <w:r>
        <w:rPr>
          <w:rFonts w:hint="eastAsia" w:ascii="Times New Roman" w:hAnsi="Times New Roman" w:eastAsia="仿宋_GB2312" w:cs="Times New Roman"/>
          <w:color w:val="000000" w:themeColor="text1"/>
          <w:spacing w:val="-6"/>
          <w:sz w:val="32"/>
          <w:szCs w:val="32"/>
          <w14:textFill>
            <w14:solidFill>
              <w14:schemeClr w14:val="tx1"/>
            </w14:solidFill>
          </w14:textFill>
        </w:rPr>
        <w:t>相关</w:t>
      </w:r>
      <w:r>
        <w:rPr>
          <w:rFonts w:ascii="Times New Roman" w:hAnsi="Times New Roman" w:eastAsia="仿宋_GB2312" w:cs="Times New Roman"/>
          <w:color w:val="000000" w:themeColor="text1"/>
          <w:spacing w:val="-6"/>
          <w:sz w:val="32"/>
          <w:szCs w:val="32"/>
          <w14:textFill>
            <w14:solidFill>
              <w14:schemeClr w14:val="tx1"/>
            </w14:solidFill>
          </w14:textFill>
        </w:rPr>
        <w:t>产品，积极发展和利用新能源。推动园区循环发展，鼓励关联性强的重点产业发展循环产业链，支持企业清洁生产，加强废水、废气、废渣和余热余液等循环再利用，提高企业就地消纳和转化能力。建立面向节能降耗的精细化管理、全过程优化综合管理模式，开展智慧节能技术研发与应用示范工作。大力发展公共交通，鼓励绿色出行，在公共设施、宾馆、居民住宅推广高效节能照明。到“十四五”期末，单位GDP用水量、煤炭消耗、电力消耗总体下降15%。</w:t>
      </w:r>
    </w:p>
    <w:p>
      <w:pPr>
        <w:adjustRightInd w:val="0"/>
        <w:snapToGrid w:val="0"/>
        <w:spacing w:before="240" w:beforeLines="100" w:after="240" w:afterLines="100" w:line="600" w:lineRule="exact"/>
        <w:ind w:left="630" w:leftChars="300" w:right="630" w:rightChars="300"/>
        <w:jc w:val="center"/>
        <w:outlineLvl w:val="0"/>
        <w:rPr>
          <w:rFonts w:ascii="Times New Roman" w:hAnsi="Times New Roman" w:eastAsia="黑体" w:cs="Times New Roman"/>
          <w:color w:val="000000" w:themeColor="text1"/>
          <w:sz w:val="36"/>
          <w:szCs w:val="36"/>
          <w14:textFill>
            <w14:solidFill>
              <w14:schemeClr w14:val="tx1"/>
            </w14:solidFill>
          </w14:textFill>
        </w:rPr>
      </w:pPr>
      <w:bookmarkStart w:id="336" w:name="_Toc19002"/>
      <w:bookmarkStart w:id="337" w:name="_Toc59989570"/>
      <w:bookmarkStart w:id="338" w:name="_Toc15210"/>
      <w:bookmarkStart w:id="339" w:name="_Toc916"/>
      <w:r>
        <w:rPr>
          <w:rFonts w:ascii="Times New Roman" w:hAnsi="Times New Roman" w:eastAsia="黑体" w:cs="Times New Roman"/>
          <w:color w:val="000000" w:themeColor="text1"/>
          <w:sz w:val="36"/>
          <w:szCs w:val="36"/>
          <w14:textFill>
            <w14:solidFill>
              <w14:schemeClr w14:val="tx1"/>
            </w14:solidFill>
          </w14:textFill>
        </w:rPr>
        <w:t>第六章 优化城乡空间布局，统筹推进融合发展</w:t>
      </w:r>
      <w:bookmarkEnd w:id="336"/>
      <w:bookmarkEnd w:id="337"/>
      <w:bookmarkEnd w:id="338"/>
      <w:bookmarkEnd w:id="339"/>
    </w:p>
    <w:p>
      <w:pPr>
        <w:adjustRightInd w:val="0"/>
        <w:snapToGrid w:val="0"/>
        <w:spacing w:line="600" w:lineRule="exact"/>
        <w:ind w:left="-9"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持续推进以人为本的新型城镇化，继续优化城乡空间发展格局，提升县城城市化发展质量，规范发展特色小城镇和特色小镇，逐步建立起城乡融合发展体制机制，加快推进城乡基础设施提质升级，促进城乡要素有序流动和平等交换，构建城乡一体化融合发展新格局。</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40" w:name="_Toc22917"/>
      <w:bookmarkStart w:id="341" w:name="_Toc59989571"/>
      <w:bookmarkStart w:id="342" w:name="_Toc21186"/>
      <w:bookmarkStart w:id="343" w:name="_Toc9744"/>
      <w:r>
        <w:rPr>
          <w:rFonts w:ascii="Times New Roman" w:hAnsi="Times New Roman" w:eastAsia="楷体_GB2312" w:cs="Times New Roman"/>
          <w:b/>
          <w:bCs/>
          <w:color w:val="000000" w:themeColor="text1"/>
          <w:sz w:val="32"/>
          <w:szCs w:val="32"/>
          <w14:textFill>
            <w14:solidFill>
              <w14:schemeClr w14:val="tx1"/>
            </w14:solidFill>
          </w14:textFill>
        </w:rPr>
        <w:t>第一节 优化城乡空间发展格局</w:t>
      </w:r>
      <w:bookmarkEnd w:id="340"/>
      <w:bookmarkEnd w:id="341"/>
      <w:bookmarkEnd w:id="342"/>
      <w:bookmarkEnd w:id="343"/>
    </w:p>
    <w:p>
      <w:pPr>
        <w:adjustRightInd w:val="0"/>
        <w:snapToGrid w:val="0"/>
        <w:spacing w:line="600" w:lineRule="exact"/>
        <w:ind w:left="-9"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加快推进新型城镇化，构建高质量发展的国土空间布局和支撑体系，完善城乡融合发展体制机制和政策体系。</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44" w:name="_Toc59989572"/>
      <w:bookmarkStart w:id="345" w:name="_Toc26723"/>
      <w:bookmarkStart w:id="346" w:name="_Toc5299"/>
      <w:bookmarkStart w:id="347" w:name="_Toc21649"/>
      <w:r>
        <w:rPr>
          <w:rFonts w:ascii="Times New Roman" w:hAnsi="Times New Roman" w:eastAsia="楷体_GB2312" w:cs="Times New Roman"/>
          <w:b/>
          <w:bCs/>
          <w:color w:val="000000" w:themeColor="text1"/>
          <w:sz w:val="32"/>
          <w:szCs w:val="32"/>
          <w14:textFill>
            <w14:solidFill>
              <w14:schemeClr w14:val="tx1"/>
            </w14:solidFill>
          </w14:textFill>
        </w:rPr>
        <w:t>（一）构建城镇村协同发展新格局</w:t>
      </w:r>
      <w:bookmarkEnd w:id="344"/>
      <w:bookmarkEnd w:id="345"/>
      <w:bookmarkEnd w:id="346"/>
      <w:bookmarkEnd w:id="347"/>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提升城乡融合发展水平为重点，依托城乡发展基础和发展条件，着重优化城镇村空间格局，突出地域特色和主导功能，统筹推进新型城镇化，培育乡村振兴增长极，分类推进村庄建设，促进城乡在规划布局、要素配置、产业发展、公共服务等方面相互融合、共同发展，构建城镇村协同发展新格局。修订完善县城和中心镇修建性详细规划，积极开展“多规合一”实用性村庄规划编制，推进城乡公共基础设施一体化建设，实现城乡融合发展。</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48" w:name="_Toc59989573"/>
      <w:bookmarkStart w:id="349" w:name="_Toc28000"/>
      <w:bookmarkStart w:id="350" w:name="_Toc30141"/>
      <w:bookmarkStart w:id="351" w:name="_Toc2271"/>
      <w:r>
        <w:rPr>
          <w:rFonts w:ascii="Times New Roman" w:hAnsi="Times New Roman" w:eastAsia="楷体_GB2312" w:cs="Times New Roman"/>
          <w:b/>
          <w:bCs/>
          <w:color w:val="000000" w:themeColor="text1"/>
          <w:sz w:val="32"/>
          <w:szCs w:val="32"/>
          <w14:textFill>
            <w14:solidFill>
              <w14:schemeClr w14:val="tx1"/>
            </w14:solidFill>
          </w14:textFill>
        </w:rPr>
        <w:t>（二）优化提升“一城三镇多点”的城镇体系</w:t>
      </w:r>
      <w:bookmarkEnd w:id="348"/>
      <w:bookmarkEnd w:id="349"/>
      <w:bookmarkEnd w:id="350"/>
      <w:bookmarkEnd w:id="351"/>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继续提升县城城区城市化发展质量，</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丰富提升城市内涵，增强综合服务能力，着力构筑功能完善、环境优美、宜居宜业、充满活力、带动辐射能力强、面向陕甘宁蒙开放的区域中心城市；着力</w:t>
      </w:r>
      <w:r>
        <w:rPr>
          <w:rFonts w:ascii="Times New Roman" w:hAnsi="Times New Roman" w:eastAsia="仿宋_GB2312" w:cs="Times New Roman"/>
          <w:color w:val="000000" w:themeColor="text1"/>
          <w:sz w:val="32"/>
          <w:szCs w:val="32"/>
          <w14:textFill>
            <w14:solidFill>
              <w14:schemeClr w14:val="tx1"/>
            </w14:solidFill>
          </w14:textFill>
        </w:rPr>
        <w:t>增强高沙窝镇、惠安堡镇、大水坑镇中心城镇的辐射带动能力，优化“三镇”产业布局和功能定位。优化“多点”空间布局，继续提升一般乡镇基础设施建设和基本公共服务能力，逐步将人口规模大、产业基础好的中心村纳入“多点”体系，将“多点”打造成乡村振兴增长极。</w:t>
      </w:r>
    </w:p>
    <w:p>
      <w:pPr>
        <w:adjustRightInd w:val="0"/>
        <w:snapToGrid w:val="0"/>
        <w:spacing w:before="240" w:beforeLines="100" w:after="240" w:afterLines="100" w:line="58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52" w:name="_Toc3904"/>
      <w:bookmarkStart w:id="353" w:name="_Toc59989574"/>
      <w:bookmarkStart w:id="354" w:name="_Toc26480"/>
      <w:bookmarkStart w:id="355" w:name="_Toc9355"/>
      <w:r>
        <w:rPr>
          <w:rFonts w:ascii="Times New Roman" w:hAnsi="Times New Roman" w:eastAsia="楷体_GB2312" w:cs="Times New Roman"/>
          <w:b/>
          <w:bCs/>
          <w:color w:val="000000" w:themeColor="text1"/>
          <w:sz w:val="32"/>
          <w:szCs w:val="32"/>
          <w14:textFill>
            <w14:solidFill>
              <w14:schemeClr w14:val="tx1"/>
            </w14:solidFill>
          </w14:textFill>
        </w:rPr>
        <w:t>第二节 提升县城城市化发展质量</w:t>
      </w:r>
      <w:bookmarkEnd w:id="352"/>
      <w:bookmarkEnd w:id="353"/>
      <w:bookmarkEnd w:id="354"/>
      <w:bookmarkEnd w:id="355"/>
    </w:p>
    <w:p>
      <w:pPr>
        <w:adjustRightInd w:val="0"/>
        <w:snapToGrid w:val="0"/>
        <w:spacing w:line="600" w:lineRule="exact"/>
        <w:ind w:left="-9"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以提升城镇化质量为导向，合理确定城镇规模等级、功能定位，构建各具特色、各就其位、协同联动、有机互促的城镇发展格局。</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56" w:name="_Toc59989575"/>
      <w:bookmarkStart w:id="357" w:name="_Toc9572"/>
      <w:bookmarkStart w:id="358" w:name="_Toc28597"/>
      <w:bookmarkStart w:id="359" w:name="_Toc26751"/>
      <w:r>
        <w:rPr>
          <w:rFonts w:ascii="Times New Roman" w:hAnsi="Times New Roman" w:eastAsia="楷体_GB2312" w:cs="Times New Roman"/>
          <w:b/>
          <w:bCs/>
          <w:color w:val="000000" w:themeColor="text1"/>
          <w:sz w:val="32"/>
          <w:szCs w:val="32"/>
          <w14:textFill>
            <w14:solidFill>
              <w14:schemeClr w14:val="tx1"/>
            </w14:solidFill>
          </w14:textFill>
        </w:rPr>
        <w:t>（一）优化县城城市空间布局</w:t>
      </w:r>
      <w:bookmarkEnd w:id="356"/>
      <w:bookmarkEnd w:id="357"/>
      <w:bookmarkEnd w:id="358"/>
      <w:bookmarkEnd w:id="359"/>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把县城作为壮大县域经济的发展引擎，突出产城融合、人城和谐，集聚发展要素，完善产业功能，打造就业创新载体，增强县城活力，完善人文功能，积淀文化元素魅力。巩固提升老城区文化旅游、休闲娱乐、生活居住等功能，继续完善县城新区行政办公、商贸服务、文化体育、生活居住等功能，保护修复绿地绿廊绿道，推进县城北部商贸集聚区规划建设，优化县城东部工业园区产业布局，形成结构多元、功能互补、绿色高效、宜居宜业的城市空间格局。</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60" w:name="_Toc12875"/>
      <w:bookmarkStart w:id="361" w:name="_Toc59989576"/>
      <w:bookmarkStart w:id="362" w:name="_Toc12794"/>
      <w:bookmarkStart w:id="363" w:name="_Toc8574"/>
      <w:r>
        <w:rPr>
          <w:rFonts w:ascii="Times New Roman" w:hAnsi="Times New Roman" w:eastAsia="楷体_GB2312" w:cs="Times New Roman"/>
          <w:b/>
          <w:bCs/>
          <w:color w:val="000000" w:themeColor="text1"/>
          <w:sz w:val="32"/>
          <w:szCs w:val="32"/>
          <w14:textFill>
            <w14:solidFill>
              <w14:schemeClr w14:val="tx1"/>
            </w14:solidFill>
          </w14:textFill>
        </w:rPr>
        <w:t>（二）加强城市基础设施建设</w:t>
      </w:r>
      <w:bookmarkEnd w:id="360"/>
      <w:bookmarkEnd w:id="361"/>
      <w:bookmarkEnd w:id="362"/>
      <w:bookmarkEnd w:id="363"/>
    </w:p>
    <w:p>
      <w:pPr>
        <w:adjustRightInd w:val="0"/>
        <w:snapToGrid w:val="0"/>
        <w:spacing w:line="580" w:lineRule="exact"/>
        <w:ind w:firstLine="640"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实施县城更新活动，推进县城生态修复、功能完善工程，</w:t>
      </w:r>
      <w:r>
        <w:rPr>
          <w:rFonts w:ascii="Times New Roman" w:hAnsi="Times New Roman" w:eastAsia="仿宋_GB2312" w:cs="Times New Roman"/>
          <w:color w:val="000000" w:themeColor="text1"/>
          <w:sz w:val="32"/>
          <w:szCs w:val="32"/>
          <w14:textFill>
            <w14:solidFill>
              <w14:schemeClr w14:val="tx1"/>
            </w14:solidFill>
          </w14:textFill>
        </w:rPr>
        <w:t>高质量推进县城公共基础设施建设，重点实施环境卫生设施提级扩能、市政公用设施提档升级、公共服务设施提标扩面和产业配套设施提质增效等项目。完善提升市政管网、防洪排涝、雨污分流、垃圾分类以及老旧小区综合配套等基础设施建设，启动第二污水处理厂建设。加快智慧城市基础设施建设。推进车站、社区、商场等重点区域5G基站和配套网络建设，持续优化基础薄弱地区4G网络覆盖，推进骨干网、城域网扩容，推动家庭宽带千兆、百兆接入普及。推进县城公共基础设施数字化升级改造。加快交通、水电气热等市政领域数字终端、系统改造建设。逐步推进工业、交通、物流等重点领域物联感知设施部署。加快建设新能源汽车充电桩（站），着力开展无人机所需配套设施建设。</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64" w:name="_Toc15832"/>
      <w:bookmarkStart w:id="365" w:name="_Toc6218"/>
      <w:bookmarkStart w:id="366" w:name="_Toc59989577"/>
      <w:bookmarkStart w:id="367" w:name="_Toc19120"/>
      <w:r>
        <w:rPr>
          <w:rFonts w:ascii="Times New Roman" w:hAnsi="Times New Roman" w:eastAsia="楷体_GB2312" w:cs="Times New Roman"/>
          <w:b/>
          <w:bCs/>
          <w:color w:val="000000" w:themeColor="text1"/>
          <w:sz w:val="32"/>
          <w:szCs w:val="32"/>
          <w14:textFill>
            <w14:solidFill>
              <w14:schemeClr w14:val="tx1"/>
            </w14:solidFill>
          </w14:textFill>
        </w:rPr>
        <w:t>（三）着力提升城市功能品质</w:t>
      </w:r>
      <w:bookmarkEnd w:id="364"/>
      <w:bookmarkEnd w:id="365"/>
      <w:bookmarkEnd w:id="366"/>
      <w:bookmarkEnd w:id="367"/>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进城北水环境综合治理，打造集生态观光、文化娱乐、休闲旅游的靓丽北翼。依托城北生态水系、长城关、盐州园、北环综合农贸市场“一轴三区”，积极培育发展集商业、旅游、休闲、娱乐、民俗文化于一体的夜经济。积极盘活闲置土地资源，加快低效用地开发，稳步推进房地产开发和绿色社区建设，年开发面积稳定在20万平方米左右。文化引领提升城市品质，围绕盐州古城5A级景区创建，巩固提升老城区基础设施功能改造，从而提升城市文化发展基础，突出以长城文化、红色文化、生态文化为主题的城市文化形象和景观特征，编制县城老城区控制性详细规划，巩固提升老城区风貌改造，挖掘城市文化品质和内涵，彰显盐州文化特质，筹划丰富多彩的文化活动，提升城市文化吸引力，集聚周边要素资源，促进城市高品位内涵式发展。提升城市现代化管理水平，探索建立交通秩序规范化、社区管理物业化、街道管理网格化、公园管护精细化、停车场管理智能化等现代化城市管理模式与制度。</w:t>
      </w:r>
    </w:p>
    <w:p>
      <w:pPr>
        <w:pStyle w:val="49"/>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专栏七：城市建设重点工程项目</w:t>
      </w:r>
    </w:p>
    <w:tbl>
      <w:tblPr>
        <w:tblStyle w:val="23"/>
        <w:tblW w:w="88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8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85" w:type="dxa"/>
            <w:left w:w="227" w:type="dxa"/>
            <w:bottom w:w="85" w:type="dxa"/>
            <w:right w:w="227" w:type="dxa"/>
          </w:tblCellMar>
        </w:tblPrEx>
        <w:trPr>
          <w:jc w:val="center"/>
        </w:trPr>
        <w:tc>
          <w:tcPr>
            <w:tcW w:w="8838" w:type="dxa"/>
            <w:tcBorders>
              <w:top w:val="single" w:color="auto" w:sz="8" w:space="0"/>
              <w:left w:val="single" w:color="auto" w:sz="8" w:space="0"/>
              <w:bottom w:val="single" w:color="auto" w:sz="8" w:space="0"/>
              <w:right w:val="single" w:color="auto" w:sz="8" w:space="0"/>
            </w:tcBorders>
            <w:shd w:val="clear" w:color="auto" w:fill="FFFFFF" w:themeFill="background1"/>
          </w:tcPr>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城市防洪排涝：</w:t>
            </w:r>
            <w:r>
              <w:rPr>
                <w:rFonts w:ascii="Times New Roman" w:hAnsi="Times New Roman" w:eastAsia="仿宋_GB2312" w:cs="Times New Roman"/>
                <w:bCs/>
                <w:color w:val="000000" w:themeColor="text1"/>
                <w:sz w:val="28"/>
                <w:szCs w:val="24"/>
                <w14:textFill>
                  <w14:solidFill>
                    <w14:schemeClr w14:val="tx1"/>
                  </w14:solidFill>
                </w14:textFill>
              </w:rPr>
              <w:t>重点开展花马池街、广惠街、盐州路等9个城市防洪排涝及海绵城市改造工程。</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公共停车场建设：</w:t>
            </w:r>
            <w:r>
              <w:rPr>
                <w:rFonts w:ascii="Times New Roman" w:hAnsi="Times New Roman" w:eastAsia="仿宋_GB2312" w:cs="Times New Roman"/>
                <w:bCs/>
                <w:color w:val="000000" w:themeColor="text1"/>
                <w:sz w:val="28"/>
                <w:szCs w:val="24"/>
                <w14:textFill>
                  <w14:solidFill>
                    <w14:schemeClr w14:val="tx1"/>
                  </w14:solidFill>
                </w14:textFill>
              </w:rPr>
              <w:t>新建城市公共停车场7处，新增公共停车泊位1000个。</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保障房建设及配套设施改造：</w:t>
            </w:r>
            <w:r>
              <w:rPr>
                <w:rFonts w:ascii="Times New Roman" w:hAnsi="Times New Roman" w:eastAsia="仿宋_GB2312" w:cs="Times New Roman"/>
                <w:bCs/>
                <w:color w:val="000000" w:themeColor="text1"/>
                <w:sz w:val="28"/>
                <w:szCs w:val="24"/>
                <w14:textFill>
                  <w14:solidFill>
                    <w14:schemeClr w14:val="tx1"/>
                  </w14:solidFill>
                </w14:textFill>
              </w:rPr>
              <w:t>新建公租房750套，对城区保障房天然气等配套基础设施改造。</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生活垃圾无害化处理：</w:t>
            </w:r>
            <w:r>
              <w:rPr>
                <w:rFonts w:ascii="Times New Roman" w:hAnsi="Times New Roman" w:eastAsia="仿宋_GB2312" w:cs="Times New Roman"/>
                <w:bCs/>
                <w:color w:val="000000" w:themeColor="text1"/>
                <w:sz w:val="28"/>
                <w:szCs w:val="24"/>
                <w14:textFill>
                  <w14:solidFill>
                    <w14:schemeClr w14:val="tx1"/>
                  </w14:solidFill>
                </w14:textFill>
              </w:rPr>
              <w:t>实施生活垃圾填埋场渗滤液、生活垃圾无害化处理项目，年处理量分别达到1万方、3万吨。</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城镇给排水管网提升改造：</w:t>
            </w:r>
            <w:r>
              <w:rPr>
                <w:rFonts w:ascii="Times New Roman" w:hAnsi="Times New Roman" w:eastAsia="仿宋_GB2312" w:cs="Times New Roman"/>
                <w:bCs/>
                <w:color w:val="000000" w:themeColor="text1"/>
                <w:sz w:val="28"/>
                <w:szCs w:val="24"/>
                <w14:textFill>
                  <w14:solidFill>
                    <w14:schemeClr w14:val="tx1"/>
                  </w14:solidFill>
                </w14:textFill>
              </w:rPr>
              <w:t>重点改造城区、惠安堡镇、大水坑镇等给排水管网，规划新建加压泵站12座，铺设供水干管125公里，提升改造泵站69座，更换机电设备69台套，配套智能控制装置。</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棚户区及老旧小区改造：</w:t>
            </w:r>
            <w:r>
              <w:rPr>
                <w:rFonts w:ascii="Times New Roman" w:hAnsi="Times New Roman" w:eastAsia="仿宋_GB2312" w:cs="Times New Roman"/>
                <w:bCs/>
                <w:color w:val="000000" w:themeColor="text1"/>
                <w:sz w:val="28"/>
                <w:szCs w:val="24"/>
                <w14:textFill>
                  <w14:solidFill>
                    <w14:schemeClr w14:val="tx1"/>
                  </w14:solidFill>
                </w14:textFill>
              </w:rPr>
              <w:t>对2000 -2005年后建成的县城内44个老旧小区基础设施进行改造。完成棚户区改造1000套。</w:t>
            </w:r>
          </w:p>
          <w:p>
            <w:pPr>
              <w:pStyle w:val="40"/>
              <w:numPr>
                <w:ilvl w:val="0"/>
                <w:numId w:val="6"/>
              </w:numPr>
              <w:adjustRightInd w:val="0"/>
              <w:snapToGrid w:val="0"/>
              <w:spacing w:line="480" w:lineRule="exact"/>
              <w:ind w:left="0" w:firstLine="562"/>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城市绿化与景观提升项目</w:t>
            </w:r>
            <w:r>
              <w:rPr>
                <w:rFonts w:ascii="Times New Roman" w:hAnsi="Times New Roman" w:eastAsia="仿宋_GB2312" w:cs="Times New Roman"/>
                <w:bCs/>
                <w:color w:val="000000" w:themeColor="text1"/>
                <w:sz w:val="28"/>
                <w:szCs w:val="24"/>
                <w14:textFill>
                  <w14:solidFill>
                    <w14:schemeClr w14:val="tx1"/>
                  </w14:solidFill>
                </w14:textFill>
              </w:rPr>
              <w:t>：实施城市道路景观绿化、县城空地景观绿化项目及公园广场提升改造项目。</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68" w:name="_Toc21717"/>
      <w:bookmarkStart w:id="369" w:name="_Toc59989578"/>
      <w:bookmarkStart w:id="370" w:name="_Toc25526"/>
      <w:bookmarkStart w:id="371" w:name="_Toc30839"/>
      <w:r>
        <w:rPr>
          <w:rFonts w:ascii="Times New Roman" w:hAnsi="Times New Roman" w:eastAsia="楷体_GB2312" w:cs="Times New Roman"/>
          <w:b/>
          <w:bCs/>
          <w:color w:val="000000" w:themeColor="text1"/>
          <w:sz w:val="32"/>
          <w:szCs w:val="32"/>
          <w14:textFill>
            <w14:solidFill>
              <w14:schemeClr w14:val="tx1"/>
            </w14:solidFill>
          </w14:textFill>
        </w:rPr>
        <w:t>第三节 推进城乡一体化融合发展</w:t>
      </w:r>
      <w:bookmarkEnd w:id="368"/>
      <w:bookmarkEnd w:id="369"/>
      <w:bookmarkEnd w:id="370"/>
      <w:bookmarkEnd w:id="371"/>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坚决破除体制机制障碍，促进城乡要素自由流动、平等交换和公共资源合理配置，构建工农互促、城乡互补、全面融合、共同繁荣的新型工农城乡关系。</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72" w:name="_Toc4411"/>
      <w:bookmarkStart w:id="373" w:name="_Toc21934"/>
      <w:bookmarkStart w:id="374" w:name="_Toc59989579"/>
      <w:bookmarkStart w:id="375" w:name="_Toc16697"/>
      <w:r>
        <w:rPr>
          <w:rFonts w:ascii="Times New Roman" w:hAnsi="Times New Roman" w:eastAsia="楷体_GB2312" w:cs="Times New Roman"/>
          <w:b/>
          <w:bCs/>
          <w:color w:val="000000" w:themeColor="text1"/>
          <w:sz w:val="32"/>
          <w:szCs w:val="32"/>
          <w14:textFill>
            <w14:solidFill>
              <w14:schemeClr w14:val="tx1"/>
            </w14:solidFill>
          </w14:textFill>
        </w:rPr>
        <w:t>（一）统筹发展特色小镇和美丽乡镇</w:t>
      </w:r>
      <w:bookmarkEnd w:id="372"/>
      <w:bookmarkEnd w:id="373"/>
      <w:bookmarkEnd w:id="374"/>
      <w:bookmarkEnd w:id="375"/>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分类指导、择优培育、以点带面的发展模式，完善提升中心村镇功能，增强承载辐射带动能力。重点推进高沙窝镇产业融合发展，建设以发展滩羊、清洁能源为主导产业的特色小镇，提升产业承接能力；积极推动惠安堡商贸物流交通枢纽型城镇建设，提升在盐同红地区的辐射带动作用；巩固提升大水坑石油石膏产业配套服务型重点小城镇建设，打造商贸综合服务示范镇；启动实施冯记沟乡政府驻地搬迁工程，力争撤乡设镇，增强中心镇综合服务功能。着力推进王乐井乡、青山乡、麻黄山乡等美丽小城镇建设。</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76" w:name="_Toc24805"/>
      <w:bookmarkStart w:id="377" w:name="_Toc326"/>
      <w:bookmarkStart w:id="378" w:name="_Toc59989580"/>
      <w:bookmarkStart w:id="379" w:name="_Toc17952"/>
      <w:r>
        <w:rPr>
          <w:rFonts w:ascii="Times New Roman" w:hAnsi="Times New Roman" w:eastAsia="楷体_GB2312" w:cs="Times New Roman"/>
          <w:b/>
          <w:bCs/>
          <w:color w:val="000000" w:themeColor="text1"/>
          <w:sz w:val="32"/>
          <w:szCs w:val="32"/>
          <w14:textFill>
            <w14:solidFill>
              <w14:schemeClr w14:val="tx1"/>
            </w14:solidFill>
          </w14:textFill>
        </w:rPr>
        <w:t>（二）推动城乡公共设施一体联动发展</w:t>
      </w:r>
      <w:bookmarkEnd w:id="376"/>
      <w:bookmarkEnd w:id="377"/>
      <w:bookmarkEnd w:id="378"/>
      <w:bookmarkEnd w:id="379"/>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聚焦基础设施短板和瓶颈，全面提升城乡交通、水利、能源等重点领域的基础支撑能力。巩固提升“四好农村路”，推进城乡公交一体化，建设惠安堡、高沙窝客运服务站，继续推进农村道路进村入户，解决农村出行最后一公里难题。加快交通运输与旅游体验，信息产业和邮政快递融合发展。完善河湖网格化治理体系，推进水利基础设施信息化、智能化建设。稳步推进“煤改气”、“煤改电”等农村清洁能源改造工程，加大农村房屋节能改造。巩固提升城乡饮水设施，推进“互联网+”城乡供水建设。加快推进中心村镇垃圾处理、生活污水处理设施建设，提升农村再生水综合利用、生活污水处理和垃圾分类处理的能力。加强城乡一体的物流网建设，提升物流信息化、标准化、网络化、智慧化水平。</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80" w:name="_Toc59989581"/>
      <w:bookmarkStart w:id="381" w:name="_Toc1415"/>
      <w:bookmarkStart w:id="382" w:name="_Toc17006"/>
      <w:bookmarkStart w:id="383" w:name="_Toc22934"/>
      <w:r>
        <w:rPr>
          <w:rFonts w:ascii="Times New Roman" w:hAnsi="Times New Roman" w:eastAsia="楷体_GB2312" w:cs="Times New Roman"/>
          <w:b/>
          <w:bCs/>
          <w:color w:val="000000" w:themeColor="text1"/>
          <w:sz w:val="32"/>
          <w:szCs w:val="32"/>
          <w14:textFill>
            <w14:solidFill>
              <w14:schemeClr w14:val="tx1"/>
            </w14:solidFill>
          </w14:textFill>
        </w:rPr>
        <w:t>（三）促进城乡要素资源合理配置</w:t>
      </w:r>
      <w:bookmarkEnd w:id="380"/>
      <w:bookmarkEnd w:id="381"/>
      <w:bookmarkEnd w:id="382"/>
      <w:bookmarkEnd w:id="383"/>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县城、中心镇、一般镇、中心村和基层村之间的经济交流、产业协作、资源共享、人才互通，实现城镇村要素资源有序流动和平等交换。完善城乡融合发展的体制机制，重点建立农业转移人口市民化、城市人才返乡激励机制、农村宅基地有偿使用和退出机制、工商资本入乡促进机制。吸引外出就学、就业人员返乡创业就业，建立外来人员快速落户和就业帮扶政策，让外来就业人员及其家人平等享受市民待遇，促进城镇常住人口不断集聚。继续优化创业服务环境、健全创业服务体系、完善创业激励政策，巩固提升农民工返乡创业试点县成果。</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84" w:name="_Toc20214"/>
      <w:bookmarkStart w:id="385" w:name="_Toc59989582"/>
      <w:bookmarkStart w:id="386" w:name="_Toc267"/>
      <w:bookmarkStart w:id="387" w:name="_Toc14754"/>
      <w:r>
        <w:rPr>
          <w:rFonts w:ascii="Times New Roman" w:hAnsi="Times New Roman" w:eastAsia="楷体_GB2312" w:cs="Times New Roman"/>
          <w:b/>
          <w:bCs/>
          <w:color w:val="000000" w:themeColor="text1"/>
          <w:sz w:val="32"/>
          <w:szCs w:val="32"/>
          <w14:textFill>
            <w14:solidFill>
              <w14:schemeClr w14:val="tx1"/>
            </w14:solidFill>
          </w14:textFill>
        </w:rPr>
        <w:t>第四节 打造内联外通的综合交通枢纽</w:t>
      </w:r>
      <w:bookmarkEnd w:id="384"/>
      <w:bookmarkEnd w:id="385"/>
      <w:bookmarkEnd w:id="386"/>
      <w:bookmarkEnd w:id="387"/>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坚持统筹城乡、强化功能、服务发展，推进交通基础设施提升行动，加快构建系统完备、高效实用、安全可靠的现代化交通基础设施体系，更好地发挥佳通基础设施在社会经济发展中的先行和引领作用。</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88" w:name="_Toc59989583"/>
      <w:bookmarkStart w:id="389" w:name="_Toc9557"/>
      <w:bookmarkStart w:id="390" w:name="_Toc9700"/>
      <w:bookmarkStart w:id="391" w:name="_Toc1893"/>
      <w:r>
        <w:rPr>
          <w:rFonts w:ascii="Times New Roman" w:hAnsi="Times New Roman" w:eastAsia="楷体_GB2312" w:cs="Times New Roman"/>
          <w:b/>
          <w:bCs/>
          <w:color w:val="000000" w:themeColor="text1"/>
          <w:sz w:val="32"/>
          <w:szCs w:val="32"/>
          <w14:textFill>
            <w14:solidFill>
              <w14:schemeClr w14:val="tx1"/>
            </w14:solidFill>
          </w14:textFill>
        </w:rPr>
        <w:t>（一）优化提升路网便捷性</w:t>
      </w:r>
      <w:bookmarkEnd w:id="388"/>
      <w:bookmarkEnd w:id="389"/>
      <w:bookmarkEnd w:id="390"/>
      <w:bookmarkEnd w:id="391"/>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高速公路、高速铁路、航空枢纽为主干，打通“铁公机”城乡区域连通，加快形成县内顺通、周边畅通、全国融通的综合交通体系。继续完善“四纵八横”公路网络骨架，提升路网等级，完成S201线县城至麻黄山宁甘界、S202线南梁至冯记沟段、S309线大水坑至惠安堡等高速连接线和快速道路建设，打通国道244至陕西定边，改扩建青银高速高沙窝西至宁陕界公路，提升国省主干道路对外联络的便捷性。</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92" w:name="_Toc59989584"/>
      <w:bookmarkStart w:id="393" w:name="_Toc9441"/>
      <w:bookmarkStart w:id="394" w:name="_Toc15286"/>
      <w:bookmarkStart w:id="395" w:name="_Toc23767"/>
      <w:r>
        <w:rPr>
          <w:rFonts w:ascii="Times New Roman" w:hAnsi="Times New Roman" w:eastAsia="楷体_GB2312" w:cs="Times New Roman"/>
          <w:b/>
          <w:bCs/>
          <w:color w:val="000000" w:themeColor="text1"/>
          <w:sz w:val="32"/>
          <w:szCs w:val="32"/>
          <w14:textFill>
            <w14:solidFill>
              <w14:schemeClr w14:val="tx1"/>
            </w14:solidFill>
          </w14:textFill>
        </w:rPr>
        <w:t>（二）借势发展铁路交通运输</w:t>
      </w:r>
      <w:bookmarkEnd w:id="392"/>
      <w:bookmarkEnd w:id="393"/>
      <w:bookmarkEnd w:id="394"/>
      <w:bookmarkEnd w:id="395"/>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w:t>
      </w:r>
      <w:r>
        <w:rPr>
          <w:rFonts w:ascii="Times New Roman" w:hAnsi="Times New Roman" w:eastAsia="仿宋_GB2312" w:cs="Times New Roman"/>
          <w:color w:val="000000" w:themeColor="text1"/>
          <w:spacing w:val="2"/>
          <w:sz w:val="32"/>
          <w:szCs w:val="32"/>
          <w14:textFill>
            <w14:solidFill>
              <w14:schemeClr w14:val="tx1"/>
            </w14:solidFill>
          </w14:textFill>
        </w:rPr>
        <w:t>快完善银西高铁与青银高速、银百高速等国省干道互联互通，抓住银太高铁、郑银高铁建设机遇，规划建设盐池高铁枢纽中心，积极融入国家高速铁路网络。发展铁路客货运输，加强铁路与公路的多种交通方式高效衔接，加快公铁联运步伐，推进铁路物流园区建设，打造陕甘宁蒙铁路货运集散地。提升河东机场盐池城市候机楼货运、客流便捷服务水平，到“十四五”末，城市候机楼年客运量达1.5万人次，航空货物运输量达300吨/年</w:t>
      </w:r>
      <w:r>
        <w:rPr>
          <w:rFonts w:ascii="Times New Roman" w:hAnsi="Times New Roman" w:eastAsia="仿宋_GB2312" w:cs="Times New Roman"/>
          <w:color w:val="000000" w:themeColor="text1"/>
          <w:sz w:val="32"/>
          <w:szCs w:val="32"/>
          <w14:textFill>
            <w14:solidFill>
              <w14:schemeClr w14:val="tx1"/>
            </w14:solidFill>
          </w14:textFill>
        </w:rPr>
        <w:t>。</w:t>
      </w:r>
      <w:bookmarkStart w:id="396" w:name="_Toc39621371"/>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专栏八：综合交通重点工程项目</w:t>
      </w:r>
    </w:p>
    <w:tbl>
      <w:tblPr>
        <w:tblStyle w:val="23"/>
        <w:tblW w:w="87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85" w:type="dxa"/>
            <w:left w:w="227" w:type="dxa"/>
            <w:bottom w:w="85" w:type="dxa"/>
            <w:right w:w="227" w:type="dxa"/>
          </w:tblCellMar>
        </w:tblPrEx>
        <w:trPr>
          <w:jc w:val="center"/>
        </w:trPr>
        <w:tc>
          <w:tcPr>
            <w:tcW w:w="8779" w:type="dxa"/>
            <w:tcBorders>
              <w:top w:val="single" w:color="auto" w:sz="8" w:space="0"/>
              <w:left w:val="single" w:color="auto" w:sz="8" w:space="0"/>
              <w:bottom w:val="single" w:color="auto" w:sz="8" w:space="0"/>
              <w:right w:val="single" w:color="auto" w:sz="8" w:space="0"/>
            </w:tcBorders>
            <w:shd w:val="clear" w:color="auto" w:fill="FFFFFF" w:themeFill="background1"/>
          </w:tcPr>
          <w:p>
            <w:pPr>
              <w:pStyle w:val="40"/>
              <w:numPr>
                <w:ilvl w:val="0"/>
                <w:numId w:val="7"/>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铁路建设工程：</w:t>
            </w:r>
            <w:r>
              <w:rPr>
                <w:rFonts w:ascii="Times New Roman" w:hAnsi="Times New Roman" w:eastAsia="仿宋_GB2312" w:cs="Times New Roman"/>
                <w:bCs/>
                <w:color w:val="000000" w:themeColor="text1"/>
                <w:sz w:val="28"/>
                <w:szCs w:val="24"/>
                <w14:textFill>
                  <w14:solidFill>
                    <w14:schemeClr w14:val="tx1"/>
                  </w14:solidFill>
                </w14:textFill>
              </w:rPr>
              <w:t>银太高铁（盐池段）线路及枢纽站建设。</w:t>
            </w:r>
          </w:p>
          <w:p>
            <w:pPr>
              <w:pStyle w:val="40"/>
              <w:numPr>
                <w:ilvl w:val="0"/>
                <w:numId w:val="7"/>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高速公路建设工程：</w:t>
            </w:r>
            <w:r>
              <w:rPr>
                <w:rFonts w:ascii="Times New Roman" w:hAnsi="Times New Roman" w:eastAsia="仿宋_GB2312" w:cs="Times New Roman"/>
                <w:bCs/>
                <w:color w:val="000000" w:themeColor="text1"/>
                <w:sz w:val="28"/>
                <w:szCs w:val="24"/>
                <w14:textFill>
                  <w14:solidFill>
                    <w14:schemeClr w14:val="tx1"/>
                  </w14:solidFill>
                </w14:textFill>
              </w:rPr>
              <w:t>青银高速高沙窝西-宁陕界改扩建80公里。</w:t>
            </w:r>
          </w:p>
          <w:p>
            <w:pPr>
              <w:pStyle w:val="40"/>
              <w:numPr>
                <w:ilvl w:val="0"/>
                <w:numId w:val="7"/>
              </w:numPr>
              <w:adjustRightInd w:val="0"/>
              <w:snapToGrid w:val="0"/>
              <w:spacing w:line="480" w:lineRule="exact"/>
              <w:ind w:left="0" w:firstLine="562"/>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省道连接线建设工程：</w:t>
            </w:r>
            <w:r>
              <w:rPr>
                <w:rFonts w:ascii="Times New Roman" w:hAnsi="Times New Roman" w:eastAsia="仿宋_GB2312" w:cs="Times New Roman"/>
                <w:bCs/>
                <w:color w:val="000000" w:themeColor="text1"/>
                <w:sz w:val="28"/>
                <w:szCs w:val="24"/>
                <w14:textFill>
                  <w14:solidFill>
                    <w14:schemeClr w14:val="tx1"/>
                  </w14:solidFill>
                </w14:textFill>
              </w:rPr>
              <w:t>规划建设S202线南梁-冯记沟段、S309线大水坑-惠安堡、S201线县城-麻黄山宁甘界、S201线圈湾子-关祭台、S201线青山-营盘台等省道连接线200公里。</w:t>
            </w:r>
          </w:p>
          <w:p>
            <w:pPr>
              <w:pStyle w:val="40"/>
              <w:numPr>
                <w:ilvl w:val="0"/>
                <w:numId w:val="7"/>
              </w:numPr>
              <w:adjustRightInd w:val="0"/>
              <w:snapToGrid w:val="0"/>
              <w:spacing w:line="480" w:lineRule="exact"/>
              <w:ind w:left="0" w:firstLine="562"/>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县乡道路建设工程：</w:t>
            </w:r>
            <w:r>
              <w:rPr>
                <w:rFonts w:ascii="Times New Roman" w:hAnsi="Times New Roman" w:eastAsia="仿宋_GB2312" w:cs="Times New Roman"/>
                <w:bCs/>
                <w:color w:val="000000" w:themeColor="text1"/>
                <w:sz w:val="28"/>
                <w:szCs w:val="24"/>
                <w14:textFill>
                  <w14:solidFill>
                    <w14:schemeClr w14:val="tx1"/>
                  </w14:solidFill>
                </w14:textFill>
              </w:rPr>
              <w:t>改造建设麻黄山-萌城道路，王乐井-牛记圈、左记湾-苏步井、东干线盐庆石油等县乡道路450公里。</w:t>
            </w:r>
          </w:p>
        </w:tc>
      </w:tr>
    </w:tbl>
    <w:p>
      <w:pPr>
        <w:adjustRightInd w:val="0"/>
        <w:snapToGrid w:val="0"/>
        <w:spacing w:line="600" w:lineRule="exact"/>
        <w:jc w:val="center"/>
        <w:outlineLvl w:val="0"/>
        <w:rPr>
          <w:rFonts w:ascii="Times New Roman" w:hAnsi="Times New Roman" w:eastAsia="黑体" w:cs="Times New Roman"/>
          <w:color w:val="000000" w:themeColor="text1"/>
          <w:sz w:val="36"/>
          <w:szCs w:val="36"/>
          <w14:textFill>
            <w14:solidFill>
              <w14:schemeClr w14:val="tx1"/>
            </w14:solidFill>
          </w14:textFill>
        </w:rPr>
      </w:pPr>
      <w:bookmarkStart w:id="397" w:name="_Toc18179"/>
      <w:bookmarkStart w:id="398" w:name="_Toc3634"/>
      <w:bookmarkStart w:id="399" w:name="_Toc59989585"/>
      <w:bookmarkStart w:id="400" w:name="_Toc14809"/>
    </w:p>
    <w:p>
      <w:pPr>
        <w:adjustRightInd w:val="0"/>
        <w:snapToGrid w:val="0"/>
        <w:spacing w:line="600" w:lineRule="exact"/>
        <w:jc w:val="center"/>
        <w:outlineLvl w:val="0"/>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第七章 优先发展农业农村，全面实施乡村振兴战略</w:t>
      </w:r>
      <w:bookmarkEnd w:id="397"/>
      <w:bookmarkEnd w:id="398"/>
      <w:bookmarkEnd w:id="399"/>
      <w:bookmarkEnd w:id="400"/>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深入实施乡村建设提升行动，将</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巩固拓展脱贫攻坚成果</w:t>
      </w:r>
      <w:r>
        <w:rPr>
          <w:rFonts w:hint="eastAsia" w:ascii="Times New Roman" w:hAnsi="Times New Roman" w:eastAsia="仿宋_GB2312" w:cs="Times New Roman"/>
          <w:color w:val="000000" w:themeColor="text1"/>
          <w:sz w:val="32"/>
          <w:szCs w:val="32"/>
          <w14:textFill>
            <w14:solidFill>
              <w14:schemeClr w14:val="tx1"/>
            </w14:solidFill>
          </w14:textFill>
        </w:rPr>
        <w:t>作为新时期的减贫目标，做好脱贫巩固与乡村振兴的有效衔接，走中国特色社会主义乡村振兴道路，以乡村振兴</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巩固拓展脱贫攻坚成果</w:t>
      </w:r>
      <w:r>
        <w:rPr>
          <w:rFonts w:hint="eastAsia" w:ascii="Times New Roman" w:hAnsi="Times New Roman" w:eastAsia="仿宋_GB2312" w:cs="Times New Roman"/>
          <w:color w:val="000000" w:themeColor="text1"/>
          <w:sz w:val="32"/>
          <w:szCs w:val="32"/>
          <w14:textFill>
            <w14:solidFill>
              <w14:schemeClr w14:val="tx1"/>
            </w14:solidFill>
          </w14:textFill>
        </w:rPr>
        <w:t>，以巩固脱贫攻坚成果夯实乡村振兴基础，打造脱贫巩固与乡村振兴有效衔接的全国样板。</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01" w:name="_Toc21204"/>
      <w:bookmarkStart w:id="402" w:name="_Toc59989586"/>
      <w:bookmarkStart w:id="403" w:name="_Toc5351"/>
      <w:bookmarkStart w:id="404" w:name="_Toc4694"/>
      <w:r>
        <w:rPr>
          <w:rFonts w:ascii="Times New Roman" w:hAnsi="Times New Roman" w:eastAsia="楷体_GB2312" w:cs="Times New Roman"/>
          <w:b/>
          <w:bCs/>
          <w:color w:val="000000" w:themeColor="text1"/>
          <w:sz w:val="32"/>
          <w:szCs w:val="32"/>
          <w14:textFill>
            <w14:solidFill>
              <w14:schemeClr w14:val="tx1"/>
            </w14:solidFill>
          </w14:textFill>
        </w:rPr>
        <w:t>第一节 全面实施乡村建设行动</w:t>
      </w:r>
      <w:bookmarkEnd w:id="401"/>
      <w:bookmarkEnd w:id="402"/>
      <w:bookmarkEnd w:id="403"/>
      <w:bookmarkEnd w:id="404"/>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坚持农业农村优先发展，把乡村建设摆在社会主义现代化建设的重要位置，着力抓重点、补短板、强弱项，统筹推进乡村产业振兴、人才振兴、文化振兴、生态振兴、组织振兴，全面实施乡村振兴战略。</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05" w:name="_Toc59989587"/>
      <w:bookmarkStart w:id="406" w:name="_Toc6942"/>
      <w:bookmarkStart w:id="407" w:name="_Toc6621"/>
      <w:bookmarkStart w:id="408" w:name="_Toc25136"/>
      <w:r>
        <w:rPr>
          <w:rFonts w:ascii="Times New Roman" w:hAnsi="Times New Roman" w:eastAsia="楷体_GB2312" w:cs="Times New Roman"/>
          <w:b/>
          <w:bCs/>
          <w:color w:val="000000" w:themeColor="text1"/>
          <w:sz w:val="32"/>
          <w:szCs w:val="32"/>
          <w14:textFill>
            <w14:solidFill>
              <w14:schemeClr w14:val="tx1"/>
            </w14:solidFill>
          </w14:textFill>
        </w:rPr>
        <w:t>（一）发展壮大乡村产业</w:t>
      </w:r>
      <w:bookmarkEnd w:id="405"/>
      <w:bookmarkEnd w:id="406"/>
      <w:bookmarkEnd w:id="407"/>
      <w:bookmarkEnd w:id="408"/>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深入发掘农业多种功能，培育新产业新业态新模式，推进农村一二三产业深度融合，形成一乡一业、一村一品乡村产业发展格局。坚持质量兴农、绿色兴农、品牌强农，深化农业供给侧结构性改革，推进农业由增产导向转向提质导向，提高农业质量效益、竞争力和全要素生产率，加快构建现代农业产业体系、生产体系、经营体系。推广“龙头企业+合作社+农户”组织方式，引导农业社会化服务、良种繁育等现代种养业和服务业进入农村，推动农民专业合作社提质扩量增效，增强抗风险能力。推动要素跨界配置和产业有机融合，延长产业链、提升价值链、完善利益链。完善乡村水、电、路、气、通信、广播电视、物流等基础设施，夯实乡村产业发展支撑。</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09" w:name="_Toc232"/>
      <w:bookmarkStart w:id="410" w:name="_Toc486"/>
      <w:bookmarkStart w:id="411" w:name="_Toc59989588"/>
      <w:bookmarkStart w:id="412" w:name="_Toc26939"/>
      <w:r>
        <w:rPr>
          <w:rFonts w:ascii="Times New Roman" w:hAnsi="Times New Roman" w:eastAsia="楷体_GB2312" w:cs="Times New Roman"/>
          <w:b/>
          <w:bCs/>
          <w:color w:val="000000" w:themeColor="text1"/>
          <w:sz w:val="32"/>
          <w:szCs w:val="32"/>
          <w14:textFill>
            <w14:solidFill>
              <w14:schemeClr w14:val="tx1"/>
            </w14:solidFill>
          </w14:textFill>
        </w:rPr>
        <w:t>（二）培育乡村人才</w:t>
      </w:r>
      <w:bookmarkEnd w:id="409"/>
      <w:bookmarkEnd w:id="410"/>
      <w:bookmarkEnd w:id="411"/>
      <w:bookmarkEnd w:id="412"/>
      <w:r>
        <w:rPr>
          <w:rFonts w:hint="eastAsia" w:ascii="Times New Roman" w:hAnsi="Times New Roman" w:eastAsia="楷体_GB2312" w:cs="Times New Roman"/>
          <w:b/>
          <w:bCs/>
          <w:color w:val="000000" w:themeColor="text1"/>
          <w:sz w:val="32"/>
          <w:szCs w:val="32"/>
          <w14:textFill>
            <w14:solidFill>
              <w14:schemeClr w14:val="tx1"/>
            </w14:solidFill>
          </w14:textFill>
        </w:rPr>
        <w:t>队伍</w:t>
      </w:r>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把人力资本开发放在首要位置，实施乡村人才培养工程，推进高素质农民技能提升、乡村人才定向培养、乡土人才培育示范，推进乡村人才振兴，让愿意留在乡村、建设家乡的人留得安心，让愿意上山下乡、回报乡村的人更有信心，激励各类人才在农村广阔天地大施所能、大展才华、大显身手，打造一支爱农业、懂技术、善经营的乡村振兴人才队伍。同时，强化资金支持，完善人才培养、引进、使用、激励体制机制和政策体系，营造良好环境，促进人才向农村集聚，确保人才能够“引得来，留得住”。</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13" w:name="_Toc20150"/>
      <w:bookmarkStart w:id="414" w:name="_Toc24204"/>
      <w:bookmarkStart w:id="415" w:name="_Toc59989589"/>
      <w:bookmarkStart w:id="416" w:name="_Toc10228"/>
      <w:r>
        <w:rPr>
          <w:rFonts w:ascii="Times New Roman" w:hAnsi="Times New Roman" w:eastAsia="楷体_GB2312" w:cs="Times New Roman"/>
          <w:b/>
          <w:bCs/>
          <w:color w:val="000000" w:themeColor="text1"/>
          <w:sz w:val="32"/>
          <w:szCs w:val="32"/>
          <w14:textFill>
            <w14:solidFill>
              <w14:schemeClr w14:val="tx1"/>
            </w14:solidFill>
          </w14:textFill>
        </w:rPr>
        <w:t>（三）繁荣发展乡村文化</w:t>
      </w:r>
      <w:bookmarkEnd w:id="413"/>
      <w:bookmarkEnd w:id="414"/>
      <w:bookmarkEnd w:id="415"/>
      <w:bookmarkEnd w:id="416"/>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以社会主义核心价值观为引领，开展文明村镇、文明家庭等创建活动，培育文明乡风、良好家风、淳朴民风。以培育新时代农民为着力点，组织实施“铸魂强农”工程，推进农村基层综合性文化服务体系建设，凝聚乡村振兴的强大精神力量。统筹县域城镇和村庄规划建设，保护性开发传统村落等物质文化遗产，创意开发传统民间艺术、民俗活动等非物质文化遗产。推动城镇公共文化服务向农村延伸，使更多资源向农村和农民倾斜，继续实施“文化惠民、服务群众”办实事工程，强化文化惠民项目与农民群众文化需求的衔接。充分发挥盐池县传统文化底蕴和红色文化基因的优势，创造性转化、创新性发展乡村传统文化，以现代理念、优秀文化引领乡村振兴。</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17" w:name="_Toc28253"/>
      <w:bookmarkStart w:id="418" w:name="_Toc26057"/>
      <w:bookmarkStart w:id="419" w:name="_Toc2380"/>
      <w:bookmarkStart w:id="420" w:name="_Toc59989590"/>
      <w:r>
        <w:rPr>
          <w:rFonts w:ascii="Times New Roman" w:hAnsi="Times New Roman" w:eastAsia="楷体_GB2312" w:cs="Times New Roman"/>
          <w:b/>
          <w:bCs/>
          <w:color w:val="000000" w:themeColor="text1"/>
          <w:sz w:val="32"/>
          <w:szCs w:val="32"/>
          <w14:textFill>
            <w14:solidFill>
              <w14:schemeClr w14:val="tx1"/>
            </w14:solidFill>
          </w14:textFill>
        </w:rPr>
        <w:t>（四）建设生态宜居乡村</w:t>
      </w:r>
      <w:bookmarkEnd w:id="417"/>
      <w:bookmarkEnd w:id="418"/>
      <w:bookmarkEnd w:id="419"/>
      <w:bookmarkEnd w:id="420"/>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积极开展“多规合一”实用性村庄规划编制，实现有开发建设和保护修复需求的村庄应编尽编。优化乡村空间布局，科学有序推进村镇建设，优先规划建设中心村。到“</w:t>
      </w:r>
      <w:r>
        <w:rPr>
          <w:rFonts w:ascii="Times New Roman" w:hAnsi="Times New Roman" w:eastAsia="仿宋_GB2312" w:cs="Times New Roman"/>
          <w:bCs/>
          <w:color w:val="000000" w:themeColor="text1"/>
          <w:sz w:val="32"/>
          <w:szCs w:val="32"/>
          <w14:textFill>
            <w14:solidFill>
              <w14:schemeClr w14:val="tx1"/>
            </w14:solidFill>
          </w14:textFill>
        </w:rPr>
        <w:t>十四五</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末，完成建设25个“集聚提升类和城郊融合类”美丽村庄，培育发展4个“特色保护类”传统村落</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按照集聚提升、城郊融合、特色保护、搬迁撤并等四类村庄整治要求，因类施策、因村施策，推进农村生活垃圾治理、垃圾分类及资源化利用、农村“厕所革命”，开展农村生活污水治理，实施河湖水系综合整治，美化村容村貌，强化村庄规划管理，改善农村人居环境。大力推进村庄绿化工程，实施环村林带林网建设、广场街道绿化，加快人工灌木林改造提升和退化草原生态修复，不断提升林草资源保护和修复水平，发挥自然资源的多重效益，推动生态产业化和产业生态化发展。</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21" w:name="_Toc59989591"/>
      <w:bookmarkStart w:id="422" w:name="_Toc679"/>
      <w:bookmarkStart w:id="423" w:name="_Toc9780"/>
      <w:bookmarkStart w:id="424" w:name="_Toc8037"/>
      <w:r>
        <w:rPr>
          <w:rFonts w:ascii="Times New Roman" w:hAnsi="Times New Roman" w:eastAsia="楷体_GB2312" w:cs="Times New Roman"/>
          <w:b/>
          <w:bCs/>
          <w:color w:val="000000" w:themeColor="text1"/>
          <w:sz w:val="32"/>
          <w:szCs w:val="32"/>
          <w14:textFill>
            <w14:solidFill>
              <w14:schemeClr w14:val="tx1"/>
            </w14:solidFill>
          </w14:textFill>
        </w:rPr>
        <w:t>（五）强化乡村组织建设</w:t>
      </w:r>
      <w:bookmarkEnd w:id="421"/>
      <w:bookmarkEnd w:id="422"/>
      <w:bookmarkEnd w:id="423"/>
      <w:bookmarkEnd w:id="424"/>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以星级党组织创建评定为抓手，深入开展农村党建“抓乡促村、整乡推进”示范乡镇创建行动，</w:t>
      </w:r>
      <w:r>
        <w:rPr>
          <w:rFonts w:ascii="Times New Roman" w:hAnsi="Times New Roman" w:eastAsia="仿宋_GB2312" w:cs="Times New Roman"/>
          <w:color w:val="000000" w:themeColor="text1"/>
          <w:sz w:val="32"/>
          <w:szCs w:val="32"/>
          <w14:textFill>
            <w14:solidFill>
              <w14:schemeClr w14:val="tx1"/>
            </w14:solidFill>
          </w14:textFill>
        </w:rPr>
        <w:t>完善党组织领导的自治、法治、德治相结合的乡村治理体系。</w:t>
      </w:r>
      <w:r>
        <w:rPr>
          <w:rFonts w:ascii="Times New Roman" w:hAnsi="Times New Roman" w:eastAsia="仿宋_GB2312" w:cs="Times New Roman"/>
          <w:bCs/>
          <w:color w:val="000000" w:themeColor="text1"/>
          <w:sz w:val="32"/>
          <w:szCs w:val="32"/>
          <w14:textFill>
            <w14:solidFill>
              <w14:schemeClr w14:val="tx1"/>
            </w14:solidFill>
          </w14:textFill>
        </w:rPr>
        <w:t>深入开展“强村带弱村、先进村带后进村”行动，建立整顿软弱涣散村党组织长效机制，不断提升村党组织规范化建设水平。促进小农户与企业、农超、农社等市场主体对接，提升小农户组织化程度。强化在农业龙头企业、农村经济组织、农民专业合作组织等新型经营主体中建立党组织力度，不断完善乡村四级网格化管理机制，充分发挥党组织在乡村振兴、基层治理等重大任务中的战斗堡垒作用。探索建立“土地变股权、农民当股东、收益有分红”的新型农村经营机制。盘活村集体资源、资产，壮大农村集体经济，到“十四五”期末实现农村集体经济经营性收入翻一番。</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25" w:name="_Toc59989592"/>
      <w:bookmarkStart w:id="426" w:name="_Toc6528"/>
      <w:bookmarkStart w:id="427" w:name="_Toc6853"/>
      <w:bookmarkStart w:id="428" w:name="_Toc7328"/>
      <w:r>
        <w:rPr>
          <w:rFonts w:ascii="Times New Roman" w:hAnsi="Times New Roman" w:eastAsia="楷体_GB2312" w:cs="Times New Roman"/>
          <w:b/>
          <w:bCs/>
          <w:color w:val="000000" w:themeColor="text1"/>
          <w:sz w:val="32"/>
          <w:szCs w:val="32"/>
          <w14:textFill>
            <w14:solidFill>
              <w14:schemeClr w14:val="tx1"/>
            </w14:solidFill>
          </w14:textFill>
        </w:rPr>
        <w:t>（六）推进“数字乡村”建设</w:t>
      </w:r>
      <w:bookmarkEnd w:id="425"/>
      <w:bookmarkEnd w:id="426"/>
      <w:bookmarkEnd w:id="427"/>
      <w:bookmarkEnd w:id="428"/>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扎实推进国家“数字乡村”试点建设，立足盐池县现状与特色，以乡村振兴为目标，着力实现信息传输高端化、产业发展商务化、乡村治理智能化、惠民服务网络化四大建设目标，努力建设独具特色的数字乡村，在农村物流、电子商务、基层治理、教育医疗、防贫监测等重点领域先行实施数字化建设，加快推进农业农村现代化，繁荣发展乡村网络文化，构建乡村数字治理新体系，培育信息时代新农民，以建设数字乡村助力乡村全面振兴。</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专栏九：乡村振兴重点工程项目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PrEx>
        <w:trPr>
          <w:trHeight w:val="1171"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基础设施建设工程：</w:t>
            </w:r>
            <w:r>
              <w:rPr>
                <w:rFonts w:ascii="Times New Roman" w:hAnsi="Times New Roman" w:eastAsia="仿宋_GB2312" w:cs="Times New Roman"/>
                <w:bCs/>
                <w:color w:val="000000" w:themeColor="text1"/>
                <w:sz w:val="28"/>
                <w:szCs w:val="24"/>
                <w14:textFill>
                  <w14:solidFill>
                    <w14:schemeClr w14:val="tx1"/>
                  </w14:solidFill>
                </w14:textFill>
              </w:rPr>
              <w:t>实施村组道路硬化提升项目、人饮工程提升项目、乡镇农贸市场改造提升项目</w:t>
            </w:r>
            <w:r>
              <w:rPr>
                <w:rFonts w:hint="eastAsia" w:ascii="Times New Roman" w:hAnsi="Times New Roman" w:eastAsia="仿宋_GB2312" w:cs="Times New Roman"/>
                <w:bCs/>
                <w:color w:val="000000" w:themeColor="text1"/>
                <w:sz w:val="28"/>
                <w:szCs w:val="24"/>
                <w14:textFill>
                  <w14:solidFill>
                    <w14:schemeClr w14:val="tx1"/>
                  </w14:solidFill>
                </w14:textFill>
              </w:rPr>
              <w:t>，大水坑镇友谊南路和兴民街道改造项目，惠安堡镇供电线路、天然气管道改迁项目</w:t>
            </w:r>
            <w:r>
              <w:rPr>
                <w:rFonts w:ascii="Times New Roman" w:hAnsi="Times New Roman" w:eastAsia="仿宋_GB2312" w:cs="Times New Roman"/>
                <w:bCs/>
                <w:color w:val="000000" w:themeColor="text1"/>
                <w:sz w:val="28"/>
                <w:szCs w:val="24"/>
                <w14:textFill>
                  <w14:solidFill>
                    <w14:schemeClr w14:val="tx1"/>
                  </w14:solidFill>
                </w14:textFill>
              </w:rPr>
              <w:t>。</w:t>
            </w:r>
          </w:p>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人居环境整治提升工程：</w:t>
            </w:r>
            <w:r>
              <w:rPr>
                <w:rFonts w:ascii="Times New Roman" w:hAnsi="Times New Roman" w:eastAsia="仿宋_GB2312" w:cs="Times New Roman"/>
                <w:bCs/>
                <w:color w:val="000000" w:themeColor="text1"/>
                <w:sz w:val="28"/>
                <w:szCs w:val="24"/>
                <w14:textFill>
                  <w14:solidFill>
                    <w14:schemeClr w14:val="tx1"/>
                  </w14:solidFill>
                </w14:textFill>
              </w:rPr>
              <w:t>深入开展“厕所革命”、畜禽粪污综合利用项目</w:t>
            </w:r>
            <w:r>
              <w:rPr>
                <w:rFonts w:hint="eastAsia" w:ascii="Times New Roman" w:hAnsi="Times New Roman" w:eastAsia="仿宋_GB2312" w:cs="Times New Roman"/>
                <w:bCs/>
                <w:color w:val="000000" w:themeColor="text1"/>
                <w:sz w:val="28"/>
                <w:szCs w:val="24"/>
                <w14:textFill>
                  <w14:solidFill>
                    <w14:schemeClr w14:val="tx1"/>
                  </w14:solidFill>
                </w14:textFill>
              </w:rPr>
              <w:t>，大水坑固体垃圾填埋场、环境综合治理及资源化利用项目</w:t>
            </w:r>
            <w:r>
              <w:rPr>
                <w:rFonts w:ascii="Times New Roman" w:hAnsi="Times New Roman" w:eastAsia="仿宋_GB2312" w:cs="Times New Roman"/>
                <w:bCs/>
                <w:color w:val="000000" w:themeColor="text1"/>
                <w:sz w:val="28"/>
                <w:szCs w:val="24"/>
                <w14:textFill>
                  <w14:solidFill>
                    <w14:schemeClr w14:val="tx1"/>
                  </w14:solidFill>
                </w14:textFill>
              </w:rPr>
              <w:t>。</w:t>
            </w:r>
          </w:p>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“数字乡村”建设工程：</w:t>
            </w:r>
            <w:r>
              <w:rPr>
                <w:rFonts w:ascii="Times New Roman" w:hAnsi="Times New Roman" w:eastAsia="仿宋_GB2312" w:cs="Times New Roman"/>
                <w:bCs/>
                <w:color w:val="000000" w:themeColor="text1"/>
                <w:sz w:val="28"/>
                <w:szCs w:val="24"/>
                <w14:textFill>
                  <w14:solidFill>
                    <w14:schemeClr w14:val="tx1"/>
                  </w14:solidFill>
                </w14:textFill>
              </w:rPr>
              <w:t>建立盐池数字乡村大数据资源管理平台，实施“互联网村”项目、农村电商服务站提升项目。</w:t>
            </w:r>
          </w:p>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“三乡”人才培育工程</w:t>
            </w:r>
            <w:r>
              <w:rPr>
                <w:rFonts w:ascii="Times New Roman" w:hAnsi="Times New Roman" w:eastAsia="仿宋_GB2312" w:cs="Times New Roman"/>
                <w:bCs/>
                <w:color w:val="000000" w:themeColor="text1"/>
                <w:sz w:val="28"/>
                <w:szCs w:val="24"/>
                <w14:textFill>
                  <w14:solidFill>
                    <w14:schemeClr w14:val="tx1"/>
                  </w14:solidFill>
                </w14:textFill>
              </w:rPr>
              <w:t>：实施新型职业农民培育项目、农村双创人员和双创导师培训项目，创建8个具有区域特色的农村双创示范园区（基地）。</w:t>
            </w:r>
          </w:p>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乡风文明示范工程：</w:t>
            </w:r>
            <w:r>
              <w:rPr>
                <w:rFonts w:ascii="Times New Roman" w:hAnsi="Times New Roman" w:eastAsia="仿宋_GB2312" w:cs="Times New Roman"/>
                <w:bCs/>
                <w:color w:val="000000" w:themeColor="text1"/>
                <w:sz w:val="28"/>
                <w:szCs w:val="24"/>
                <w14:textFill>
                  <w14:solidFill>
                    <w14:schemeClr w14:val="tx1"/>
                  </w14:solidFill>
                </w14:textFill>
              </w:rPr>
              <w:t>实施精神文明示范村镇建设项目，推进先进典型选树培育项目，开展“家风家训进万家”、新时代文明实践、移风易俗 、“红黑榜”评选活动。</w:t>
            </w:r>
          </w:p>
          <w:p>
            <w:pPr>
              <w:numPr>
                <w:ilvl w:val="0"/>
                <w:numId w:val="8"/>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乡村人才振兴工程：</w:t>
            </w:r>
            <w:r>
              <w:rPr>
                <w:rFonts w:ascii="Times New Roman" w:hAnsi="Times New Roman" w:eastAsia="仿宋_GB2312" w:cs="Times New Roman"/>
                <w:bCs/>
                <w:color w:val="000000" w:themeColor="text1"/>
                <w:sz w:val="28"/>
                <w:szCs w:val="24"/>
                <w14:textFill>
                  <w14:solidFill>
                    <w14:schemeClr w14:val="tx1"/>
                  </w14:solidFill>
                </w14:textFill>
              </w:rPr>
              <w:t>实施高水平人才引进项目、人才环境建设项目、人才培训工程，村均培养储备后备干部2名以上。</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29" w:name="_Toc59989593"/>
      <w:bookmarkStart w:id="430" w:name="_Toc25095"/>
      <w:bookmarkStart w:id="431" w:name="_Toc490"/>
      <w:bookmarkStart w:id="432" w:name="_Toc15651"/>
      <w:r>
        <w:rPr>
          <w:rFonts w:ascii="Times New Roman" w:hAnsi="Times New Roman" w:eastAsia="楷体_GB2312" w:cs="Times New Roman"/>
          <w:b/>
          <w:bCs/>
          <w:color w:val="000000" w:themeColor="text1"/>
          <w:sz w:val="32"/>
          <w:szCs w:val="32"/>
          <w14:textFill>
            <w14:solidFill>
              <w14:schemeClr w14:val="tx1"/>
            </w14:solidFill>
          </w14:textFill>
        </w:rPr>
        <w:t>第二节 巩固拓展脱贫攻坚成果</w:t>
      </w:r>
      <w:bookmarkEnd w:id="429"/>
      <w:bookmarkEnd w:id="430"/>
      <w:bookmarkEnd w:id="431"/>
      <w:bookmarkEnd w:id="432"/>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精准化的贫困瞄准策略，坚守消除绝对贫困的底线任务，聚焦脱贫攻坚成果的薄弱环节，强化责任落实，建立返贫监测预警机制，推进扶贫政策制度化建设，促进脱贫成果可持续发展，高质量巩固拓展脱贫攻坚成果。</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33" w:name="_Toc59989594"/>
      <w:bookmarkStart w:id="434" w:name="_Toc10129"/>
      <w:bookmarkStart w:id="435" w:name="_Toc29344"/>
      <w:bookmarkStart w:id="436" w:name="_Toc18448"/>
      <w:r>
        <w:rPr>
          <w:rFonts w:ascii="Times New Roman" w:hAnsi="Times New Roman" w:eastAsia="楷体_GB2312" w:cs="Times New Roman"/>
          <w:b/>
          <w:bCs/>
          <w:color w:val="000000" w:themeColor="text1"/>
          <w:sz w:val="32"/>
          <w:szCs w:val="32"/>
          <w14:textFill>
            <w14:solidFill>
              <w14:schemeClr w14:val="tx1"/>
            </w14:solidFill>
          </w14:textFill>
        </w:rPr>
        <w:t>（一）继续完善返贫监测预警与快速应对机制</w:t>
      </w:r>
      <w:bookmarkEnd w:id="433"/>
      <w:bookmarkEnd w:id="434"/>
      <w:bookmarkEnd w:id="435"/>
      <w:bookmarkEnd w:id="436"/>
    </w:p>
    <w:p>
      <w:pPr>
        <w:spacing w:line="600" w:lineRule="exact"/>
        <w:ind w:firstLine="584"/>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继续坚持精准化的扶贫策略，盯紧因病、因学、因灾及其他突发事件等返贫致贫关键因素，瞄准脱贫不稳定人口及边缘易致贫人口。建立完善防止返贫致贫动态监测预警和动态帮扶机制，通过网格化管理对边缘户、监测户、兜底户等所有农户进行动态监测预警，根据返贫致贫风险，制定一户一策精准帮扶措施，动态监测、动态帮扶、动态清零。防止脱贫人口返贫和新增贫困人口。充分发挥医疗救助托底保障功能，建立化解因病致贫、因病返贫机制。</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37" w:name="_Toc14969"/>
      <w:bookmarkStart w:id="438" w:name="_Toc59989595"/>
      <w:bookmarkStart w:id="439" w:name="_Toc22591"/>
      <w:bookmarkStart w:id="440" w:name="_Toc26276"/>
      <w:r>
        <w:rPr>
          <w:rFonts w:ascii="Times New Roman" w:hAnsi="Times New Roman" w:eastAsia="楷体_GB2312" w:cs="Times New Roman"/>
          <w:b/>
          <w:bCs/>
          <w:color w:val="000000" w:themeColor="text1"/>
          <w:sz w:val="32"/>
          <w:szCs w:val="32"/>
          <w14:textFill>
            <w14:solidFill>
              <w14:schemeClr w14:val="tx1"/>
            </w14:solidFill>
          </w14:textFill>
        </w:rPr>
        <w:t>（二）推进扶贫政策制度化建设</w:t>
      </w:r>
      <w:bookmarkEnd w:id="437"/>
      <w:bookmarkEnd w:id="438"/>
      <w:bookmarkEnd w:id="439"/>
      <w:bookmarkEnd w:id="440"/>
    </w:p>
    <w:p>
      <w:pPr>
        <w:spacing w:line="600" w:lineRule="exact"/>
        <w:ind w:firstLine="584"/>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将现有效果好的扶贫政策制度化、规范化，固定下来长期实施。总结金融扶贫工作经验模式，放大金融扶贫成效，探索创新有利于解决相对贫困的机制。加强扶贫开发与城乡社会保障、社会救助、专项救助等政策有机衔接，建立科学的提标和动态调整机制，逐步提高社会保障水平和基本公共服务水平，探索建立低保标准与消费水平挂钩的自然增长机制。开展扶贫资产核查和管理工作，构建资产底数清楚、产权归属明晰、类型界定科学、主体责任明确、运行管理规范的扶贫资产管理制度，切实防范扶贫资产闲置、流失，保障扶贫资产所有者、经营者合法权益，使扶贫资产最大限度发挥作用，形成长效稳定的带贫益贫机制。</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41" w:name="_Toc18311"/>
      <w:bookmarkStart w:id="442" w:name="_Toc59989596"/>
      <w:bookmarkStart w:id="443" w:name="_Toc2977"/>
      <w:bookmarkStart w:id="444" w:name="_Toc16783"/>
      <w:r>
        <w:rPr>
          <w:rFonts w:ascii="Times New Roman" w:hAnsi="Times New Roman" w:eastAsia="楷体_GB2312" w:cs="Times New Roman"/>
          <w:b/>
          <w:bCs/>
          <w:color w:val="000000" w:themeColor="text1"/>
          <w:sz w:val="32"/>
          <w:szCs w:val="32"/>
          <w14:textFill>
            <w14:solidFill>
              <w14:schemeClr w14:val="tx1"/>
            </w14:solidFill>
          </w14:textFill>
        </w:rPr>
        <w:t>（三）促进脱贫成果可持续发展</w:t>
      </w:r>
      <w:bookmarkEnd w:id="441"/>
      <w:bookmarkEnd w:id="442"/>
      <w:bookmarkEnd w:id="443"/>
      <w:bookmarkEnd w:id="444"/>
    </w:p>
    <w:p>
      <w:pPr>
        <w:spacing w:line="600" w:lineRule="exact"/>
        <w:ind w:firstLine="584"/>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推进扶贫产业持续发展，围绕扶贫产业发展与扩大再生产的需求，继续扶持扶贫产业新产品研发、产业园区扩建及相关配套设施改建，为扶贫产业持续发展壮大创造条件。建立产业扶贫风险识别与评估机制，将产业扶贫的风险识别和防范工作纳入县、乡、村三级扶贫工作体系，构建体系化的产业扶贫风险防范机制。完善易地扶贫搬迁配套设施建设，做好搬迁区产业配套和就业安置保障工作，继续加大搬迁区产业发展扶持政策，确保搬迁居民有稳定就业，强化搬迁区组织建设，健全社区管理体制，提高教育医疗服务水平，丰富社区文化生活，让搬迁农户与本地居民相互融合，形成稳定的社会结构，促进搬迁人口安居乐业。加快电力基础设施改造升级，全面提升农网供电能力。继续深入开展扶志和扶智教育，加强社会主义核心价值观教育，激活群众的积极性、主动性和创造性，增强脱贫致富的信心和积极性。</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45" w:name="_Toc14646"/>
      <w:bookmarkStart w:id="446" w:name="_Toc8955"/>
      <w:bookmarkStart w:id="447" w:name="_Toc59989597"/>
      <w:bookmarkStart w:id="448" w:name="_Toc13005"/>
      <w:r>
        <w:rPr>
          <w:rFonts w:ascii="Times New Roman" w:hAnsi="Times New Roman" w:eastAsia="楷体_GB2312" w:cs="Times New Roman"/>
          <w:b/>
          <w:bCs/>
          <w:color w:val="000000" w:themeColor="text1"/>
          <w:sz w:val="32"/>
          <w:szCs w:val="32"/>
          <w14:textFill>
            <w14:solidFill>
              <w14:schemeClr w14:val="tx1"/>
            </w14:solidFill>
          </w14:textFill>
        </w:rPr>
        <w:t>第三节 促进脱贫巩固与乡村振兴有效衔接</w:t>
      </w:r>
      <w:bookmarkEnd w:id="445"/>
      <w:bookmarkEnd w:id="446"/>
      <w:bookmarkEnd w:id="447"/>
      <w:bookmarkEnd w:id="448"/>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保持财政投入力度总体稳定，全面做好脱贫巩固与乡村振兴战略的政策衔接、机制衔接、工作衔接，让脱贫攻坚成果支撑乡村振兴战略实施，通过乡村振兴巩固脱贫攻坚成果，逐步将农业农村工作重点从建档立卡贫困农户向不同类型农户转移，统筹推进脱贫巩固与乡村振兴战略，打造脱贫巩固与乡村振兴有效衔接全国样板。</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49" w:name="_Toc19701"/>
      <w:bookmarkStart w:id="450" w:name="_Toc16063"/>
      <w:bookmarkStart w:id="451" w:name="_Toc59989598"/>
      <w:bookmarkStart w:id="452" w:name="_Toc9335"/>
      <w:r>
        <w:rPr>
          <w:rFonts w:ascii="Times New Roman" w:hAnsi="Times New Roman" w:eastAsia="楷体_GB2312" w:cs="Times New Roman"/>
          <w:b/>
          <w:bCs/>
          <w:color w:val="000000" w:themeColor="text1"/>
          <w:sz w:val="32"/>
          <w:szCs w:val="32"/>
          <w14:textFill>
            <w14:solidFill>
              <w14:schemeClr w14:val="tx1"/>
            </w14:solidFill>
          </w14:textFill>
        </w:rPr>
        <w:t>（一）做好政策与机制衔接</w:t>
      </w:r>
      <w:bookmarkEnd w:id="449"/>
      <w:bookmarkEnd w:id="450"/>
      <w:bookmarkEnd w:id="451"/>
      <w:bookmarkEnd w:id="452"/>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按照总书记“把实施乡村振兴战略摆在优先位置，坚持五级书记抓乡村振兴，让乡村振兴成为全党全社会的共同行动”的要求，充分发挥各级党委统揽全局，协调各方领导的核心作用，严格执行一把手负总责，完善县乡村三级书记一起抓的“大包干”责任制。建立推进脱贫富民和乡村振兴战略量化体系，制定时间表、路线图，切实做到人员、责任、工作、措施、监督“五个到位”，推动形成县乡村三级组织抓脱贫富民和乡村振兴的强大合力。做好易地扶贫搬迁后续帮扶工作，加强扶贫项目资金资产管理和监督，推动特色产业可持续发展。</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53" w:name="_Toc28414"/>
      <w:bookmarkStart w:id="454" w:name="_Toc59989599"/>
      <w:bookmarkStart w:id="455" w:name="_Toc13814"/>
      <w:bookmarkStart w:id="456" w:name="_Toc22651"/>
      <w:r>
        <w:rPr>
          <w:rFonts w:ascii="Times New Roman" w:hAnsi="Times New Roman" w:eastAsia="楷体_GB2312" w:cs="Times New Roman"/>
          <w:b/>
          <w:bCs/>
          <w:color w:val="000000" w:themeColor="text1"/>
          <w:sz w:val="32"/>
          <w:szCs w:val="32"/>
          <w14:textFill>
            <w14:solidFill>
              <w14:schemeClr w14:val="tx1"/>
            </w14:solidFill>
          </w14:textFill>
        </w:rPr>
        <w:t>（二）做好要素投入机制衔接</w:t>
      </w:r>
      <w:bookmarkEnd w:id="453"/>
      <w:bookmarkEnd w:id="454"/>
      <w:bookmarkEnd w:id="455"/>
      <w:bookmarkEnd w:id="456"/>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抓紧对现有扶贫政策进行梳理，该保留的保留、该调整的调整、该接续的接续，确保不因政策变动影响脱贫成效。针对中心村与非中心村之间、贫困村与非贫困村之间基础设施建设水平不平衡等突出问题，全面提升农村供水、道路、改厕等基础设施和公共服务建设水平。在产业发展方面，着力对所有农户实行产业政策全覆盖，逐步取消一些差别化政策补助，更加注重示范引领带动和提高产业化组织程度。在金融扶贫方面，加大对一般农户产业贷款和专业大户、合作社等贷款基准利率放贷、贴息等政策覆盖，并实行“扶贫保”提标扩面。在社会保障方面，加强非建档立卡户住院患者救助保障和退役军人帮扶措施，深入推进以农村低保为基础的救助制度与扶贫开发政策的有效衔接，做好城乡低保动态管理，健全完善社会救助体系，扎实做好贫困群众和残疾人、留守老人、留守儿童、“三孤”人员等特殊困难群体的关爱帮扶工作，重视城镇低收入群体的生活救助。</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57" w:name="_Toc21977"/>
      <w:bookmarkStart w:id="458" w:name="_Toc12890"/>
      <w:bookmarkStart w:id="459" w:name="_Toc59989600"/>
      <w:bookmarkStart w:id="460" w:name="_Toc6305"/>
      <w:r>
        <w:rPr>
          <w:rFonts w:ascii="Times New Roman" w:hAnsi="Times New Roman" w:eastAsia="楷体_GB2312" w:cs="Times New Roman"/>
          <w:b/>
          <w:bCs/>
          <w:color w:val="000000" w:themeColor="text1"/>
          <w:sz w:val="32"/>
          <w:szCs w:val="32"/>
          <w14:textFill>
            <w14:solidFill>
              <w14:schemeClr w14:val="tx1"/>
            </w14:solidFill>
          </w14:textFill>
        </w:rPr>
        <w:t>（三）做好实施主体力量衔接</w:t>
      </w:r>
      <w:bookmarkEnd w:id="457"/>
      <w:bookmarkEnd w:id="458"/>
      <w:bookmarkEnd w:id="459"/>
      <w:bookmarkEnd w:id="460"/>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继续加强农村干部的培养、配备、使用，为乡村振兴筑巢引凤、广纳贤才，加快构建一支有文化、懂技术、善经营、会管理的新型职业农民队伍，切实发挥农民的主体作用。健全农村社会保障和救助制度。为兼顾非贫困村发展与振兴，进一步健全驻村工作、干部结对帮扶等机制，实现驻村帮扶全覆盖。进一步提升村级发展能力和治理能力，将农村基层党组织建设成为宣传党的主张、贯彻党的决定、领导基层治理、团结动员群众、推动改革发展的坚强战斗堡垒。充分发挥农业产业化龙头企业、新型农业经营主体带动作用，培育各类专业化、市场化服务组织，解决小农户与大市场衔接不紧密的问题。</w:t>
      </w:r>
      <w:bookmarkEnd w:id="396"/>
      <w:bookmarkStart w:id="461" w:name="_Toc13766"/>
      <w:bookmarkStart w:id="462" w:name="_Toc59989601"/>
      <w:bookmarkStart w:id="463" w:name="_Toc4708"/>
      <w:bookmarkStart w:id="464" w:name="_Toc13363"/>
    </w:p>
    <w:p>
      <w:pPr>
        <w:adjustRightInd w:val="0"/>
        <w:snapToGrid w:val="0"/>
        <w:spacing w:before="240" w:beforeLines="100" w:after="240" w:afterLines="100" w:line="600" w:lineRule="exact"/>
        <w:jc w:val="center"/>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6"/>
          <w:szCs w:val="36"/>
          <w14:textFill>
            <w14:solidFill>
              <w14:schemeClr w14:val="tx1"/>
            </w14:solidFill>
          </w14:textFill>
        </w:rPr>
        <w:t>第八章 补齐公共服务短板，提升人民群众生活品质</w:t>
      </w:r>
      <w:bookmarkEnd w:id="461"/>
      <w:bookmarkEnd w:id="462"/>
      <w:bookmarkEnd w:id="463"/>
      <w:bookmarkEnd w:id="464"/>
    </w:p>
    <w:p>
      <w:pPr>
        <w:adjustRightInd w:val="0"/>
        <w:snapToGrid w:val="0"/>
        <w:spacing w:line="600"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坚持</w:t>
      </w:r>
      <w:r>
        <w:rPr>
          <w:rFonts w:hint="eastAsia" w:ascii="Times New Roman" w:hAnsi="Times New Roman" w:eastAsia="仿宋_GB2312" w:cs="Times New Roman"/>
          <w:bCs/>
          <w:color w:val="000000" w:themeColor="text1"/>
          <w:sz w:val="32"/>
          <w:szCs w:val="32"/>
          <w14:textFill>
            <w14:solidFill>
              <w14:schemeClr w14:val="tx1"/>
            </w14:solidFill>
          </w14:textFill>
        </w:rPr>
        <w:t>以人民为中心，</w:t>
      </w:r>
      <w:r>
        <w:rPr>
          <w:rFonts w:ascii="Times New Roman" w:hAnsi="Times New Roman" w:eastAsia="仿宋_GB2312" w:cs="Times New Roman"/>
          <w:bCs/>
          <w:color w:val="000000" w:themeColor="text1"/>
          <w:sz w:val="32"/>
          <w:szCs w:val="32"/>
          <w14:textFill>
            <w14:solidFill>
              <w14:schemeClr w14:val="tx1"/>
            </w14:solidFill>
          </w14:textFill>
        </w:rPr>
        <w:t>把实现好、维护好、发展好最广大人民根本利益作为发展的出发点和落脚点，尽力而为、量力而行，</w:t>
      </w:r>
      <w:r>
        <w:rPr>
          <w:rFonts w:hint="eastAsia" w:ascii="Times New Roman" w:hAnsi="Times New Roman" w:eastAsia="仿宋_GB2312" w:cs="Times New Roman"/>
          <w:bCs/>
          <w:color w:val="000000" w:themeColor="text1"/>
          <w:sz w:val="32"/>
          <w:szCs w:val="32"/>
          <w14:textFill>
            <w14:solidFill>
              <w14:schemeClr w14:val="tx1"/>
            </w14:solidFill>
          </w14:textFill>
        </w:rPr>
        <w:t>加强普惠性、基础性、兜底性民生事业建设，</w:t>
      </w:r>
      <w:r>
        <w:rPr>
          <w:rFonts w:ascii="Times New Roman" w:hAnsi="Times New Roman" w:eastAsia="仿宋_GB2312" w:cs="Times New Roman"/>
          <w:bCs/>
          <w:color w:val="000000" w:themeColor="text1"/>
          <w:sz w:val="32"/>
          <w:szCs w:val="32"/>
          <w14:textFill>
            <w14:solidFill>
              <w14:schemeClr w14:val="tx1"/>
            </w14:solidFill>
          </w14:textFill>
        </w:rPr>
        <w:t>逐步补齐社会事业发展短板，健全基本公共服务体系，推进基本公共服务均等化，提高基本公共服务供给水平和质量，推进互联网与公共服务、民生保障等领域的全面融合，建立健全智能公共服务体系，不断增强盐池人民的获得感、幸福感、安全感，促进人的全面发展和社会全面进步。</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65" w:name="_Toc29852"/>
      <w:bookmarkStart w:id="466" w:name="_Toc16464"/>
      <w:bookmarkStart w:id="467" w:name="_Toc59989602"/>
      <w:bookmarkStart w:id="468" w:name="_Toc28084"/>
      <w:r>
        <w:rPr>
          <w:rFonts w:ascii="Times New Roman" w:hAnsi="Times New Roman" w:eastAsia="楷体_GB2312" w:cs="Times New Roman"/>
          <w:b/>
          <w:bCs/>
          <w:color w:val="000000" w:themeColor="text1"/>
          <w:sz w:val="32"/>
          <w:szCs w:val="32"/>
          <w14:textFill>
            <w14:solidFill>
              <w14:schemeClr w14:val="tx1"/>
            </w14:solidFill>
          </w14:textFill>
        </w:rPr>
        <w:t>第一节 扎实推进就业优先政策</w:t>
      </w:r>
      <w:bookmarkEnd w:id="465"/>
      <w:bookmarkEnd w:id="466"/>
      <w:bookmarkEnd w:id="467"/>
      <w:bookmarkEnd w:id="468"/>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促进充分就业作为经济社会发展的优先目标，把稳定和扩大就业作为经济运行合理区间的下限，健全经济发展与就业增长联动机制，将市场就业导向、转型升级需求和劳动者就业创业意愿结合起来，扩大就业容量，提升就业质量，促进就业与产业转型升级、新型城镇化、信息化等发展战略的良性互动和深度融合。</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坚持分类施策，提高就业保障率</w:t>
      </w:r>
      <w:r>
        <w:rPr>
          <w:rFonts w:ascii="Times New Roman" w:hAnsi="Times New Roman" w:eastAsia="仿宋_GB2312" w:cs="Times New Roman"/>
          <w:color w:val="000000" w:themeColor="text1"/>
          <w:sz w:val="32"/>
          <w:szCs w:val="32"/>
          <w14:textFill>
            <w14:solidFill>
              <w14:schemeClr w14:val="tx1"/>
            </w14:solidFill>
          </w14:textFill>
        </w:rPr>
        <w:t>。健全就业公共服务体系、劳动关系协调机制、终身职业技能培训制度。落实普惠金融、减税降费等政策，重点支持民营企业和小微企业发展，稳定企业就业岗位。着力培育新的就业增长点，扩大城镇就业规模，统筹城乡就业，注重缓解结构性就业矛盾，完善重点群体就业支持体系，统筹城乡就业政策体系，保持就业局势稳定。全面做好退役军人就业保障工作，大力营造关心关爱退役军人的社会氛围，推进退役军人事务领域治理体系和治理能力现代化。扩大公益性岗位安置，帮扶残疾人、零就业家庭成员就业。</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完善多渠道就业保障制度</w:t>
      </w:r>
      <w:r>
        <w:rPr>
          <w:rFonts w:ascii="Times New Roman" w:hAnsi="Times New Roman" w:eastAsia="仿宋_GB2312" w:cs="Times New Roman"/>
          <w:color w:val="000000" w:themeColor="text1"/>
          <w:sz w:val="32"/>
          <w:szCs w:val="32"/>
          <w14:textFill>
            <w14:solidFill>
              <w14:schemeClr w14:val="tx1"/>
            </w14:solidFill>
          </w14:textFill>
        </w:rPr>
        <w:t>。支持和规范发展新就业形态，健全就业需求调查和失业监测预警机制。建立健全创业带动就业、多渠道灵活就业机制，完善担保贷款、创业补贴等创业扶持政策，持续激发创业就业活力。推进全方位公共就业服务体系建设，建设覆盖全民、贯穿全程、辐射全县、便捷高效的公共就业创业服务体系。“十四五”期间，全县城镇调查失业率控制在5.5%以内，累计实现城乡劳动力职业技能培训0.5万人次，农村劳动力就业转移就业20.5万人次。</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69" w:name="_Toc2044"/>
      <w:bookmarkStart w:id="470" w:name="_Toc9057"/>
      <w:bookmarkStart w:id="471" w:name="_Toc59989603"/>
      <w:bookmarkStart w:id="472" w:name="_Toc31664"/>
      <w:r>
        <w:rPr>
          <w:rFonts w:ascii="Times New Roman" w:hAnsi="Times New Roman" w:eastAsia="楷体_GB2312" w:cs="Times New Roman"/>
          <w:b/>
          <w:bCs/>
          <w:color w:val="000000" w:themeColor="text1"/>
          <w:sz w:val="32"/>
          <w:szCs w:val="32"/>
          <w14:textFill>
            <w14:solidFill>
              <w14:schemeClr w14:val="tx1"/>
            </w14:solidFill>
          </w14:textFill>
        </w:rPr>
        <w:t>第二节 优先发展教育体育事业</w:t>
      </w:r>
      <w:bookmarkEnd w:id="469"/>
      <w:bookmarkEnd w:id="470"/>
      <w:bookmarkEnd w:id="471"/>
      <w:bookmarkEnd w:id="472"/>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全面贯彻党的教育方针，坚持立德树人，加强教师队伍建设，</w:t>
      </w:r>
      <w:r>
        <w:rPr>
          <w:rFonts w:hint="eastAsia" w:ascii="Times New Roman" w:hAnsi="Times New Roman" w:eastAsia="仿宋_GB2312" w:cs="Times New Roman"/>
          <w:color w:val="000000" w:themeColor="text1"/>
          <w:sz w:val="32"/>
          <w:szCs w:val="32"/>
          <w14:textFill>
            <w14:solidFill>
              <w14:schemeClr w14:val="tx1"/>
            </w14:solidFill>
          </w14:textFill>
        </w:rPr>
        <w:t>努力办好人民满意的教育</w:t>
      </w:r>
      <w:r>
        <w:rPr>
          <w:rFonts w:ascii="Times New Roman" w:hAnsi="Times New Roman" w:eastAsia="仿宋_GB2312" w:cs="Times New Roman"/>
          <w:color w:val="000000" w:themeColor="text1"/>
          <w:sz w:val="32"/>
          <w:szCs w:val="32"/>
          <w14:textFill>
            <w14:solidFill>
              <w14:schemeClr w14:val="tx1"/>
            </w14:solidFill>
          </w14:textFill>
        </w:rPr>
        <w:t>。以全区城乡教育优质均衡发展示范县建设为契机，大力实施“四大行动”，扎实推进“六牌联创”工作，全面建设“教育强县”。健全学校、家庭</w:t>
      </w:r>
      <w:r>
        <w:rPr>
          <w:rFonts w:hint="eastAsia" w:ascii="Times New Roman" w:hAnsi="Times New Roman" w:eastAsia="仿宋_GB2312" w:cs="Times New Roman"/>
          <w:color w:val="000000" w:themeColor="text1"/>
          <w:sz w:val="32"/>
          <w:szCs w:val="32"/>
          <w14:textFill>
            <w14:solidFill>
              <w14:schemeClr w14:val="tx1"/>
            </w14:solidFill>
          </w14:textFill>
        </w:rPr>
        <w:t>结合的</w:t>
      </w:r>
      <w:r>
        <w:rPr>
          <w:rFonts w:ascii="Times New Roman" w:hAnsi="Times New Roman" w:eastAsia="仿宋_GB2312" w:cs="Times New Roman"/>
          <w:color w:val="000000" w:themeColor="text1"/>
          <w:sz w:val="32"/>
          <w:szCs w:val="32"/>
          <w14:textFill>
            <w14:solidFill>
              <w14:schemeClr w14:val="tx1"/>
            </w14:solidFill>
          </w14:textFill>
        </w:rPr>
        <w:t>协同育人机制，完善学校、家庭、社会三位一体德育体系，增强学生文明素养、社会责任、创新实践本领，提升学生核心素养，促进学生德智体美劳全面发展。</w:t>
      </w:r>
    </w:p>
    <w:p>
      <w:pPr>
        <w:adjustRightInd w:val="0"/>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优先保障教育投入，</w:t>
      </w:r>
      <w:r>
        <w:rPr>
          <w:rFonts w:ascii="Times New Roman" w:hAnsi="Times New Roman" w:eastAsia="仿宋_GB2312" w:cs="Times New Roman"/>
          <w:color w:val="000000" w:themeColor="text1"/>
          <w:sz w:val="32"/>
          <w:szCs w:val="32"/>
          <w14:textFill>
            <w14:solidFill>
              <w14:schemeClr w14:val="tx1"/>
            </w14:solidFill>
          </w14:textFill>
        </w:rPr>
        <w:t>提升学校标准化建设水平，以城乡教育优质均衡发展为目标，推进学前教育普及普惠优质安全发展、义务教育均衡发展和城乡一体化、普通高中特色多样化发展、职业教育产教融合发展、继续教育多元化发展，支持特殊教育和民办教育发展，规范校外培训机构办学行为，构建覆盖城乡的终身教育与全民教育服务体系。</w:t>
      </w:r>
    </w:p>
    <w:p>
      <w:pPr>
        <w:adjustRightInd w:val="0"/>
        <w:snapToGrid w:val="0"/>
        <w:spacing w:line="62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提升教育服务能力。</w:t>
      </w:r>
      <w:r>
        <w:rPr>
          <w:rFonts w:ascii="Times New Roman" w:hAnsi="Times New Roman" w:eastAsia="仿宋_GB2312" w:cs="Times New Roman"/>
          <w:color w:val="000000" w:themeColor="text1"/>
          <w:sz w:val="32"/>
          <w:szCs w:val="32"/>
          <w14:textFill>
            <w14:solidFill>
              <w14:schemeClr w14:val="tx1"/>
            </w14:solidFill>
          </w14:textFill>
        </w:rPr>
        <w:t>以创建校园治理达标和示范县为目标，推进教育治理能力和治理体系现代化，加快“互联网+教育”建设应用，推进“教育云”平台深度应用，打通网络教育农村“最后一公里”</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动集团化建设、普职融通，持续增强教育服务地方经济社会发展的能力，满足人民群众对高质量教育的需求。到“十四五”末，县域教育结构更加优化，基础教育质量和教育基本公共服务均等化水平全面提升，劳动年龄人口平均受教育年限达到11.3年，学前三年毛入园率达到97%，义务教育巩固率保持100%，高中阶段三年毛入学率达到95%。</w:t>
      </w:r>
    </w:p>
    <w:p>
      <w:pPr>
        <w:adjustRightInd w:val="0"/>
        <w:snapToGrid w:val="0"/>
        <w:spacing w:line="62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大力发展体育事业。</w:t>
      </w:r>
      <w:r>
        <w:rPr>
          <w:rFonts w:ascii="Times New Roman" w:hAnsi="Times New Roman" w:eastAsia="仿宋_GB2312" w:cs="Times New Roman"/>
          <w:color w:val="000000" w:themeColor="text1"/>
          <w:sz w:val="32"/>
          <w:szCs w:val="32"/>
          <w14:textFill>
            <w14:solidFill>
              <w14:schemeClr w14:val="tx1"/>
            </w14:solidFill>
          </w14:textFill>
        </w:rPr>
        <w:t>以创建全民运动健身模范县为目标，加快推进体育改革创新步伐，全面发展群众体育、竞技体育、体育产业，开创体育事业新局面。实施全民健身设施补短板工程，不断提升体育公园、全民健身中心等基础设施建设水平，积极争取全国青少年儿童旱地冰壶训练基地、乡村全民健身中心等项目建设。广泛开展全民健身体育运动，推进体教深度融合，促进体育事业蓬勃发展。高质量承办国内外重大体育赛事，提升办赛能力和服务水平。</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专栏十：教育高质量发展重点工程项目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2F2F2"/>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2F2F2"/>
        </w:tblPrEx>
        <w:trPr>
          <w:trHeight w:val="607"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学前教育：</w:t>
            </w:r>
            <w:r>
              <w:rPr>
                <w:rFonts w:ascii="Times New Roman" w:hAnsi="Times New Roman" w:eastAsia="仿宋_GB2312" w:cs="Times New Roman"/>
                <w:bCs/>
                <w:color w:val="000000" w:themeColor="text1"/>
                <w:sz w:val="28"/>
                <w:szCs w:val="24"/>
                <w14:textFill>
                  <w14:solidFill>
                    <w14:schemeClr w14:val="tx1"/>
                  </w14:solidFill>
                </w14:textFill>
              </w:rPr>
              <w:t>支持普惠性幼儿园和托幼机构发展，新建、改扩建第四、第七等幼儿园5所，新增30个教学班900个学位，到“十四五”末，公办幼儿园在园幼儿人数占比达到80%。</w:t>
            </w:r>
          </w:p>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义务教育：</w:t>
            </w:r>
            <w:r>
              <w:rPr>
                <w:rFonts w:ascii="Times New Roman" w:hAnsi="Times New Roman" w:eastAsia="仿宋_GB2312" w:cs="Times New Roman"/>
                <w:bCs/>
                <w:color w:val="000000" w:themeColor="text1"/>
                <w:sz w:val="28"/>
                <w:szCs w:val="24"/>
                <w14:textFill>
                  <w14:solidFill>
                    <w14:schemeClr w14:val="tx1"/>
                  </w14:solidFill>
                </w14:textFill>
              </w:rPr>
              <w:t>新建第七小学、第二中学，改扩建第一小学、长城希望小学、第五中学等，推进学校标准化建设。</w:t>
            </w:r>
          </w:p>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高中教育：</w:t>
            </w:r>
            <w:r>
              <w:rPr>
                <w:rFonts w:ascii="Times New Roman" w:hAnsi="Times New Roman" w:eastAsia="仿宋_GB2312" w:cs="Times New Roman"/>
                <w:bCs/>
                <w:color w:val="000000" w:themeColor="text1"/>
                <w:sz w:val="28"/>
                <w:szCs w:val="24"/>
                <w14:textFill>
                  <w14:solidFill>
                    <w14:schemeClr w14:val="tx1"/>
                  </w14:solidFill>
                </w14:textFill>
              </w:rPr>
              <w:t>实施高级中学教学楼、功能室、运动场等改造和职业中学基础能力提升项目，推进普通高中育人方式改革，加快新课程改革和走班选课教学。</w:t>
            </w:r>
          </w:p>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特殊教育</w:t>
            </w:r>
            <w:r>
              <w:rPr>
                <w:rFonts w:ascii="Times New Roman" w:hAnsi="Times New Roman" w:eastAsia="仿宋_GB2312" w:cs="Times New Roman"/>
                <w:bCs/>
                <w:color w:val="000000" w:themeColor="text1"/>
                <w:sz w:val="28"/>
                <w:szCs w:val="24"/>
                <w14:textFill>
                  <w14:solidFill>
                    <w14:schemeClr w14:val="tx1"/>
                  </w14:solidFill>
                </w14:textFill>
              </w:rPr>
              <w:t>：实施特殊教育基础设施提升工程，推进特殊教育资源教室建设。</w:t>
            </w:r>
          </w:p>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教育质量提升</w:t>
            </w:r>
            <w:r>
              <w:rPr>
                <w:rFonts w:ascii="Times New Roman" w:hAnsi="Times New Roman" w:eastAsia="仿宋_GB2312" w:cs="Times New Roman"/>
                <w:bCs/>
                <w:color w:val="000000" w:themeColor="text1"/>
                <w:sz w:val="28"/>
                <w:szCs w:val="24"/>
                <w14:textFill>
                  <w14:solidFill>
                    <w14:schemeClr w14:val="tx1"/>
                  </w14:solidFill>
                </w14:textFill>
              </w:rPr>
              <w:t>：实施“名校名师引领工程”，实现名师工作室学科全覆盖。推行教师“县管校聘”改革和集团化办学。</w:t>
            </w:r>
          </w:p>
          <w:p>
            <w:pPr>
              <w:numPr>
                <w:ilvl w:val="0"/>
                <w:numId w:val="9"/>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“互联网+教育”：</w:t>
            </w:r>
            <w:r>
              <w:rPr>
                <w:rFonts w:ascii="Times New Roman" w:hAnsi="Times New Roman" w:eastAsia="仿宋_GB2312" w:cs="Times New Roman"/>
                <w:bCs/>
                <w:color w:val="000000" w:themeColor="text1"/>
                <w:sz w:val="28"/>
                <w:szCs w:val="24"/>
                <w14:textFill>
                  <w14:solidFill>
                    <w14:schemeClr w14:val="tx1"/>
                  </w14:solidFill>
                </w14:textFill>
              </w:rPr>
              <w:t>实施数字化校园等设施提质扩容工程，改造升级校园信息化设备，实现“三全两高一大”目标。</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73" w:name="_Toc14767"/>
      <w:bookmarkStart w:id="474" w:name="_Toc28384"/>
      <w:bookmarkStart w:id="475" w:name="_Toc26152"/>
      <w:bookmarkStart w:id="476" w:name="_Toc59989604"/>
      <w:r>
        <w:rPr>
          <w:rFonts w:ascii="Times New Roman" w:hAnsi="Times New Roman" w:eastAsia="楷体_GB2312" w:cs="Times New Roman"/>
          <w:b/>
          <w:bCs/>
          <w:color w:val="000000" w:themeColor="text1"/>
          <w:sz w:val="32"/>
          <w:szCs w:val="32"/>
          <w14:textFill>
            <w14:solidFill>
              <w14:schemeClr w14:val="tx1"/>
            </w14:solidFill>
          </w14:textFill>
        </w:rPr>
        <w:t>第三节 大力繁荣发展文化事业</w:t>
      </w:r>
      <w:bookmarkEnd w:id="473"/>
      <w:bookmarkEnd w:id="474"/>
      <w:bookmarkEnd w:id="475"/>
      <w:bookmarkEnd w:id="476"/>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坚持马克思主义在意识形态领域的指导地位，以社会主义核心价值观引领文化繁荣发展、推进精神文明建设，进一步增强文化软实力。</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着力提高社会文明程度</w:t>
      </w:r>
      <w:r>
        <w:rPr>
          <w:rFonts w:ascii="Times New Roman" w:hAnsi="Times New Roman" w:eastAsia="仿宋_GB2312" w:cs="Times New Roman"/>
          <w:color w:val="000000" w:themeColor="text1"/>
          <w:sz w:val="32"/>
          <w:szCs w:val="32"/>
          <w14:textFill>
            <w14:solidFill>
              <w14:schemeClr w14:val="tx1"/>
            </w14:solidFill>
          </w14:textFill>
        </w:rPr>
        <w:t>，强化社会主义核心价值观引领作用，深入开展习近平新时代中国特色社会主义思想学习教育，推动理想信念教育常态化制度化，落实意识形态工作责任制。推进公民道德建设、诚信建设，健全志愿服务体系，加强家庭教育和家风建设，拓展新时代文明实践中心建设，发展积极健康的网络文化，成功创建全国县级文明城市。</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提升公共文化服务水平</w:t>
      </w:r>
      <w:r>
        <w:rPr>
          <w:rFonts w:ascii="Times New Roman" w:hAnsi="Times New Roman" w:eastAsia="仿宋_GB2312" w:cs="Times New Roman"/>
          <w:color w:val="000000" w:themeColor="text1"/>
          <w:sz w:val="32"/>
          <w:szCs w:val="32"/>
          <w14:textFill>
            <w14:solidFill>
              <w14:schemeClr w14:val="tx1"/>
            </w14:solidFill>
          </w14:textFill>
        </w:rPr>
        <w:t>，优化城乡文化资源配置，支持农民文化大院规范化、特色化发展，完善农村文化基础设施网络，提高乡村公共文化阵地利用率。加强重大文化设施和文化项目建设，推动县级博物馆、文化馆、图书馆数字化建设，提高公共文化信息化水平。完善文艺创作引导激励机制，实施文艺人才培养提升工程，鼓励文艺工作者积极创作一批反映地方特色文化和移风易俗等现实题材的文艺精品。实施传统文化浸润工程，保护好文物古迹、特色村居、传统建筑等，传承和保护非遗文化，创新发展乡贤、孝道等传统优秀文化，建设乡村文化大院、村史馆等，让群众有优秀乡土文化记忆的载体。</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加快发展现代文化产业</w:t>
      </w:r>
      <w:r>
        <w:rPr>
          <w:rFonts w:ascii="Times New Roman" w:hAnsi="Times New Roman" w:eastAsia="仿宋_GB2312" w:cs="Times New Roman"/>
          <w:color w:val="000000" w:themeColor="text1"/>
          <w:sz w:val="32"/>
          <w:szCs w:val="32"/>
          <w14:textFill>
            <w14:solidFill>
              <w14:schemeClr w14:val="tx1"/>
            </w14:solidFill>
          </w14:textFill>
        </w:rPr>
        <w:t>，坚持把社会效益放在首位、社会效益和经济效益相统一，发展文化产业、培育文化市场，不断满足群众多样化、高品质文化需求。加强文化市场体系建设，积极推进文化产业园区建设，培育引进一批主业突出的文化企业，统筹县域旅游资源，推进文旅融合发展。</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专栏十一：公共文化服务能力提升重点工程项目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PrEx>
        <w:trPr>
          <w:trHeight w:val="2458"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10"/>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场馆建设</w:t>
            </w:r>
            <w:r>
              <w:rPr>
                <w:rFonts w:ascii="Times New Roman" w:hAnsi="Times New Roman" w:eastAsia="仿宋_GB2312" w:cs="Times New Roman"/>
                <w:bCs/>
                <w:color w:val="000000" w:themeColor="text1"/>
                <w:sz w:val="28"/>
                <w:szCs w:val="24"/>
                <w14:textFill>
                  <w14:solidFill>
                    <w14:schemeClr w14:val="tx1"/>
                  </w14:solidFill>
                </w14:textFill>
              </w:rPr>
              <w:t>：盐池县图书馆数字化改造项目、新时代公共文化服务示范点打造及数字化建设。</w:t>
            </w:r>
          </w:p>
          <w:p>
            <w:pPr>
              <w:numPr>
                <w:ilvl w:val="0"/>
                <w:numId w:val="10"/>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文化服务：</w:t>
            </w:r>
            <w:r>
              <w:rPr>
                <w:rFonts w:ascii="Times New Roman" w:hAnsi="Times New Roman" w:eastAsia="仿宋_GB2312" w:cs="Times New Roman"/>
                <w:bCs/>
                <w:color w:val="000000" w:themeColor="text1"/>
                <w:sz w:val="28"/>
                <w:szCs w:val="24"/>
                <w14:textFill>
                  <w14:solidFill>
                    <w14:schemeClr w14:val="tx1"/>
                  </w14:solidFill>
                </w14:textFill>
              </w:rPr>
              <w:t>深入实施国家文化科技创新工程。</w:t>
            </w:r>
          </w:p>
          <w:p>
            <w:pPr>
              <w:numPr>
                <w:ilvl w:val="0"/>
                <w:numId w:val="10"/>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文化保护与传承</w:t>
            </w:r>
            <w:r>
              <w:rPr>
                <w:rFonts w:ascii="Times New Roman" w:hAnsi="Times New Roman" w:eastAsia="仿宋_GB2312" w:cs="Times New Roman"/>
                <w:bCs/>
                <w:color w:val="000000" w:themeColor="text1"/>
                <w:sz w:val="28"/>
                <w:szCs w:val="24"/>
                <w14:textFill>
                  <w14:solidFill>
                    <w14:schemeClr w14:val="tx1"/>
                  </w14:solidFill>
                </w14:textFill>
              </w:rPr>
              <w:t>：实施张家场考古基地、积极开展非物质文化遗产资源调查。</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77" w:name="_Toc16780"/>
      <w:bookmarkStart w:id="478" w:name="_Toc59989605"/>
      <w:bookmarkStart w:id="479" w:name="_Toc15551"/>
      <w:bookmarkStart w:id="480" w:name="_Toc10991"/>
      <w:r>
        <w:rPr>
          <w:rFonts w:ascii="Times New Roman" w:hAnsi="Times New Roman" w:eastAsia="楷体_GB2312" w:cs="Times New Roman"/>
          <w:b/>
          <w:bCs/>
          <w:color w:val="000000" w:themeColor="text1"/>
          <w:sz w:val="32"/>
          <w:szCs w:val="32"/>
          <w14:textFill>
            <w14:solidFill>
              <w14:schemeClr w14:val="tx1"/>
            </w14:solidFill>
          </w14:textFill>
        </w:rPr>
        <w:t>第四节 加快推进健康盐池建设</w:t>
      </w:r>
      <w:bookmarkEnd w:id="477"/>
      <w:bookmarkEnd w:id="478"/>
      <w:bookmarkEnd w:id="479"/>
      <w:bookmarkEnd w:id="480"/>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把保障人民健康放在优先发展的战略位置，</w:t>
      </w:r>
      <w:r>
        <w:rPr>
          <w:rFonts w:hint="eastAsia" w:ascii="Times New Roman" w:hAnsi="Times New Roman" w:eastAsia="仿宋_GB2312" w:cs="Times New Roman"/>
          <w:color w:val="000000" w:themeColor="text1"/>
          <w:sz w:val="32"/>
          <w:szCs w:val="32"/>
          <w14:textFill>
            <w14:solidFill>
              <w14:schemeClr w14:val="tx1"/>
            </w14:solidFill>
          </w14:textFill>
        </w:rPr>
        <w:t>实施全民健康水平提升行动，</w:t>
      </w:r>
      <w:r>
        <w:rPr>
          <w:rFonts w:ascii="Times New Roman" w:hAnsi="Times New Roman" w:eastAsia="仿宋_GB2312" w:cs="Times New Roman"/>
          <w:color w:val="000000" w:themeColor="text1"/>
          <w:sz w:val="32"/>
          <w:szCs w:val="32"/>
          <w14:textFill>
            <w14:solidFill>
              <w14:schemeClr w14:val="tx1"/>
            </w14:solidFill>
          </w14:textFill>
        </w:rPr>
        <w:t>加快推进健康盐池建设，为群众提供全方位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全周期的健康服务。</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加强公共卫生服务体系建设。</w:t>
      </w:r>
      <w:r>
        <w:rPr>
          <w:rFonts w:ascii="Times New Roman" w:hAnsi="Times New Roman" w:eastAsia="仿宋_GB2312" w:cs="Times New Roman"/>
          <w:color w:val="000000" w:themeColor="text1"/>
          <w:sz w:val="32"/>
          <w:szCs w:val="32"/>
          <w14:textFill>
            <w14:solidFill>
              <w14:schemeClr w14:val="tx1"/>
            </w14:solidFill>
          </w14:textFill>
        </w:rPr>
        <w:t>完善疾病预防控制、重大疫情救治、应急物资保障体系，建立稳定的公共卫生事业投入机制；统筹推进传染病、重大疾病、慢性病防治，推进医防协同创新，推进医防深度融合；提升健康教育、健康促进、慢性病管理和康复服务质量。</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完善突发公共卫生事件监测预警处置机制。</w:t>
      </w:r>
      <w:r>
        <w:rPr>
          <w:rFonts w:ascii="Times New Roman" w:hAnsi="Times New Roman" w:eastAsia="仿宋_GB2312" w:cs="Times New Roman"/>
          <w:color w:val="000000" w:themeColor="text1"/>
          <w:sz w:val="32"/>
          <w:szCs w:val="32"/>
          <w14:textFill>
            <w14:solidFill>
              <w14:schemeClr w14:val="tx1"/>
            </w14:solidFill>
          </w14:textFill>
        </w:rPr>
        <w:t>健全医疗救治、物资保障体系，强化早期监测预警、风险评估、流行病学调查、快速检验检测、应急处置、综合救治等职能，提高应对突发公共卫生事件能力，切实保障人民生命健康安全。</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健全医疗服务体系。</w:t>
      </w:r>
      <w:r>
        <w:rPr>
          <w:rFonts w:ascii="Times New Roman" w:hAnsi="Times New Roman" w:eastAsia="仿宋_GB2312" w:cs="Times New Roman"/>
          <w:color w:val="000000" w:themeColor="text1"/>
          <w:sz w:val="32"/>
          <w:szCs w:val="32"/>
          <w14:textFill>
            <w14:solidFill>
              <w14:schemeClr w14:val="tx1"/>
            </w14:solidFill>
          </w14:textFill>
        </w:rPr>
        <w:t>坚持基本医疗卫生事业公益性，深入推进县域综合医改，加快健全分级诊疗、现代医院管理等制度；大力改善县、乡、村医疗机构的医疗硬件，促进医疗资源区域均衡布局。加强医务人员队伍建设，着力培养高层次人才和实用型卫生人才，健全乡村医务人员、公共卫生及紧缺人才激励机制。启动县医院三级综合医院创建工作，加强县域医疗中心、临床重点专科建设，不断提升医疗服务能力和水平。推动中医药传承创新发展。</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完善“互联网+医疗健康”建设。</w:t>
      </w:r>
      <w:r>
        <w:rPr>
          <w:rFonts w:ascii="Times New Roman" w:hAnsi="Times New Roman" w:eastAsia="仿宋_GB2312" w:cs="Times New Roman"/>
          <w:color w:val="000000" w:themeColor="text1"/>
          <w:sz w:val="32"/>
          <w:szCs w:val="32"/>
          <w14:textFill>
            <w14:solidFill>
              <w14:schemeClr w14:val="tx1"/>
            </w14:solidFill>
          </w14:textFill>
        </w:rPr>
        <w:t>建立功能完善、互联互通的医疗健康信息系统。深入开展爱国卫生运动，加快发展健康产业。着眼于智慧养老和医养结合，推动老龄事业发展和人均预期寿命提升，改善“一老一小”照护服务体系。落实优化生育政策，实施母婴安全和健康儿童计划，提升出生人口素质，促进人口长期均衡发展。</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健全医疗保障服务体系。</w:t>
      </w:r>
      <w:r>
        <w:rPr>
          <w:rFonts w:ascii="Times New Roman" w:hAnsi="Times New Roman" w:eastAsia="仿宋_GB2312" w:cs="Times New Roman"/>
          <w:color w:val="000000" w:themeColor="text1"/>
          <w:sz w:val="32"/>
          <w:szCs w:val="32"/>
          <w14:textFill>
            <w14:solidFill>
              <w14:schemeClr w14:val="tx1"/>
            </w14:solidFill>
          </w14:textFill>
        </w:rPr>
        <w:t>持续深化医保支付方式改革，稳步推行药械集中带量采购，推进医疗保障标准化、信息化、智能化建设和应用，不断提升医疗保障服务能力和水平，减轻群众就医经济负担。</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专栏十二：卫生健康服务能力提升重点工程项目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PrEx>
        <w:trPr>
          <w:trHeight w:val="743"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11"/>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医疗卫生基础设施：</w:t>
            </w:r>
            <w:r>
              <w:rPr>
                <w:rFonts w:ascii="Times New Roman" w:hAnsi="Times New Roman" w:eastAsia="仿宋_GB2312" w:cs="Times New Roman"/>
                <w:bCs/>
                <w:color w:val="000000" w:themeColor="text1"/>
                <w:sz w:val="28"/>
                <w:szCs w:val="24"/>
                <w14:textFill>
                  <w14:solidFill>
                    <w14:schemeClr w14:val="tx1"/>
                  </w14:solidFill>
                </w14:textFill>
              </w:rPr>
              <w:t>启动县医院三级综合医院创建工作，实施人民医院提标扩能一期、二期，中医院应急和救治能力建设，医疗废弃物集中处理项目，托育中心等“五大工程”，建设县人民医院传染科大楼。</w:t>
            </w:r>
          </w:p>
          <w:p>
            <w:pPr>
              <w:numPr>
                <w:ilvl w:val="0"/>
                <w:numId w:val="11"/>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公共卫生：</w:t>
            </w:r>
            <w:r>
              <w:rPr>
                <w:rFonts w:ascii="Times New Roman" w:hAnsi="Times New Roman" w:eastAsia="仿宋_GB2312" w:cs="Times New Roman"/>
                <w:bCs/>
                <w:color w:val="000000" w:themeColor="text1"/>
                <w:sz w:val="28"/>
                <w:szCs w:val="24"/>
                <w14:textFill>
                  <w14:solidFill>
                    <w14:schemeClr w14:val="tx1"/>
                  </w14:solidFill>
                </w14:textFill>
              </w:rPr>
              <w:t>实施疾病预防控制机构标准化建设、医疗机构公共卫生防治能力建设、医疗应急物资储备库等项目</w:t>
            </w:r>
            <w:r>
              <w:rPr>
                <w:rFonts w:hint="eastAsia" w:ascii="Times New Roman" w:hAnsi="Times New Roman" w:eastAsia="仿宋_GB2312" w:cs="Times New Roman"/>
                <w:bCs/>
                <w:color w:val="000000" w:themeColor="text1"/>
                <w:sz w:val="28"/>
                <w:szCs w:val="24"/>
                <w14:textFill>
                  <w14:solidFill>
                    <w14:schemeClr w14:val="tx1"/>
                  </w14:solidFill>
                </w14:textFill>
              </w:rPr>
              <w:t>，改造提升疾控中心实验室条件</w:t>
            </w:r>
            <w:r>
              <w:rPr>
                <w:rFonts w:ascii="Times New Roman" w:hAnsi="Times New Roman" w:eastAsia="仿宋_GB2312" w:cs="Times New Roman"/>
                <w:bCs/>
                <w:color w:val="000000" w:themeColor="text1"/>
                <w:sz w:val="28"/>
                <w:szCs w:val="24"/>
                <w14:textFill>
                  <w14:solidFill>
                    <w14:schemeClr w14:val="tx1"/>
                  </w14:solidFill>
                </w14:textFill>
              </w:rPr>
              <w:t>。为农村购置配备医疗巡诊车。</w:t>
            </w:r>
          </w:p>
          <w:p>
            <w:pPr>
              <w:numPr>
                <w:ilvl w:val="0"/>
                <w:numId w:val="11"/>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医养结合：</w:t>
            </w:r>
            <w:r>
              <w:rPr>
                <w:rFonts w:ascii="Times New Roman" w:hAnsi="Times New Roman" w:eastAsia="仿宋_GB2312" w:cs="Times New Roman"/>
                <w:bCs/>
                <w:color w:val="000000" w:themeColor="text1"/>
                <w:sz w:val="28"/>
                <w:szCs w:val="24"/>
                <w14:textFill>
                  <w14:solidFill>
                    <w14:schemeClr w14:val="tx1"/>
                  </w14:solidFill>
                </w14:textFill>
              </w:rPr>
              <w:t>实施康复生态养生园医养结合、社区康复护理城医联动建设等项目。</w:t>
            </w:r>
          </w:p>
          <w:p>
            <w:pPr>
              <w:numPr>
                <w:ilvl w:val="0"/>
                <w:numId w:val="11"/>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“互联网+医疗”：</w:t>
            </w:r>
            <w:r>
              <w:rPr>
                <w:rFonts w:ascii="Times New Roman" w:hAnsi="Times New Roman" w:eastAsia="仿宋_GB2312" w:cs="Times New Roman"/>
                <w:bCs/>
                <w:color w:val="000000" w:themeColor="text1"/>
                <w:sz w:val="28"/>
                <w:szCs w:val="24"/>
                <w14:textFill>
                  <w14:solidFill>
                    <w14:schemeClr w14:val="tx1"/>
                  </w14:solidFill>
                </w14:textFill>
              </w:rPr>
              <w:t>创建“互联网+医疗”示范县，“十四五”末实现行政村远程医疗服务体系全覆盖。</w:t>
            </w:r>
          </w:p>
          <w:p>
            <w:pPr>
              <w:numPr>
                <w:ilvl w:val="0"/>
                <w:numId w:val="11"/>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中医振兴提升：</w:t>
            </w:r>
            <w:r>
              <w:rPr>
                <w:rFonts w:ascii="Times New Roman" w:hAnsi="Times New Roman" w:eastAsia="仿宋_GB2312" w:cs="Times New Roman"/>
                <w:bCs/>
                <w:color w:val="000000" w:themeColor="text1"/>
                <w:sz w:val="28"/>
                <w:szCs w:val="24"/>
                <w14:textFill>
                  <w14:solidFill>
                    <w14:schemeClr w14:val="tx1"/>
                  </w14:solidFill>
                </w14:textFill>
              </w:rPr>
              <w:t>实施名院、名科、名医、名药“四名”工程。</w:t>
            </w:r>
          </w:p>
        </w:tc>
      </w:tr>
    </w:tbl>
    <w:p>
      <w:pPr>
        <w:adjustRightInd w:val="0"/>
        <w:snapToGrid w:val="0"/>
        <w:spacing w:before="240" w:after="6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81" w:name="_Toc14172"/>
      <w:bookmarkStart w:id="482" w:name="_Toc1575"/>
      <w:bookmarkStart w:id="483" w:name="_Toc22204"/>
      <w:bookmarkStart w:id="484" w:name="_Toc59989606"/>
      <w:r>
        <w:rPr>
          <w:rFonts w:ascii="Times New Roman" w:hAnsi="Times New Roman" w:eastAsia="楷体_GB2312" w:cs="Times New Roman"/>
          <w:b/>
          <w:bCs/>
          <w:color w:val="000000" w:themeColor="text1"/>
          <w:sz w:val="32"/>
          <w:szCs w:val="32"/>
          <w14:textFill>
            <w14:solidFill>
              <w14:schemeClr w14:val="tx1"/>
            </w14:solidFill>
          </w14:textFill>
        </w:rPr>
        <w:t>第五节 全面完善社会保障体系</w:t>
      </w:r>
      <w:bookmarkEnd w:id="481"/>
      <w:bookmarkEnd w:id="482"/>
      <w:bookmarkEnd w:id="483"/>
      <w:bookmarkEnd w:id="484"/>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坚持应保尽保原则，按照兜底线、织密网、建机制的原则和要求，全面建成覆盖全民、城乡统筹、权责清晰、保障适度、公平统一、可持续的多层次社会保障体系。</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全面实施全民参保计划。</w:t>
      </w:r>
      <w:r>
        <w:rPr>
          <w:rFonts w:ascii="Times New Roman" w:hAnsi="Times New Roman" w:eastAsia="仿宋_GB2312" w:cs="Times New Roman"/>
          <w:color w:val="000000" w:themeColor="text1"/>
          <w:sz w:val="32"/>
          <w:szCs w:val="32"/>
          <w14:textFill>
            <w14:solidFill>
              <w14:schemeClr w14:val="tx1"/>
            </w14:solidFill>
          </w14:textFill>
        </w:rPr>
        <w:t>认真贯彻落实国家、自治区统筹城乡、可持续的基本养老保险和基本医疗保险制度。健全重大疾病医疗保险和医疗救助制度，探索长期护理保险和商业医疗保险，发展多层次、多支柱养老保险体系，健全灵活就业人员社保制度。</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持续完善社会救助体系。</w:t>
      </w:r>
      <w:r>
        <w:rPr>
          <w:rFonts w:ascii="Times New Roman" w:hAnsi="Times New Roman" w:eastAsia="仿宋_GB2312" w:cs="Times New Roman"/>
          <w:color w:val="000000" w:themeColor="text1"/>
          <w:sz w:val="32"/>
          <w:szCs w:val="32"/>
          <w14:textFill>
            <w14:solidFill>
              <w14:schemeClr w14:val="tx1"/>
            </w14:solidFill>
          </w14:textFill>
        </w:rPr>
        <w:t>统筹完善分层分类、城乡统筹的社会救助体系，完善社会福利、慈善事业、优抚安置等制度。加强生活困难群众基本生活救助、专项救助、临时救助，全面实施特困人员救助供养和最低生活保障制度，提高兜底保障能力和服务质量。</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织密社会关爱体系。</w:t>
      </w:r>
      <w:r>
        <w:rPr>
          <w:rFonts w:ascii="Times New Roman" w:hAnsi="Times New Roman" w:eastAsia="仿宋_GB2312" w:cs="Times New Roman"/>
          <w:color w:val="000000" w:themeColor="text1"/>
          <w:sz w:val="32"/>
          <w:szCs w:val="32"/>
          <w14:textFill>
            <w14:solidFill>
              <w14:schemeClr w14:val="tx1"/>
            </w14:solidFill>
          </w14:textFill>
        </w:rPr>
        <w:t>依法保障退役军人合法权益，严格落实抚恤金、优待金等动态调整政策，积极做好退役军人安置及双拥工作。积极应对人口老龄问题，加快推进医养结合，逐步构建居家社区机构相协调、医养康养相结合的养老服务体系。打造康养小镇，推动智能养老，积极推进养老与养老产业、旅游产业融合发展。</w:t>
      </w:r>
    </w:p>
    <w:p>
      <w:pPr>
        <w:adjustRightInd w:val="0"/>
        <w:snapToGrid w:val="0"/>
        <w:spacing w:line="60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深化殡葬制度改革。</w:t>
      </w:r>
      <w:r>
        <w:rPr>
          <w:rFonts w:ascii="Times New Roman" w:hAnsi="Times New Roman" w:eastAsia="仿宋_GB2312" w:cs="Times New Roman"/>
          <w:color w:val="000000" w:themeColor="text1"/>
          <w:sz w:val="32"/>
          <w:szCs w:val="32"/>
          <w14:textFill>
            <w14:solidFill>
              <w14:schemeClr w14:val="tx1"/>
            </w14:solidFill>
          </w14:textFill>
        </w:rPr>
        <w:t>改造升级公益性殡葬服务设施，进一步规范殡葬服务市场，提升殡葬基本公共服务水平。</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85" w:name="_Toc24965"/>
      <w:bookmarkStart w:id="486" w:name="_Toc59989607"/>
      <w:bookmarkStart w:id="487" w:name="_Toc32749"/>
      <w:bookmarkStart w:id="488" w:name="_Toc29923"/>
      <w:r>
        <w:rPr>
          <w:rFonts w:ascii="Times New Roman" w:hAnsi="Times New Roman" w:eastAsia="楷体_GB2312" w:cs="Times New Roman"/>
          <w:b/>
          <w:bCs/>
          <w:color w:val="000000" w:themeColor="text1"/>
          <w:sz w:val="32"/>
          <w:szCs w:val="32"/>
          <w14:textFill>
            <w14:solidFill>
              <w14:schemeClr w14:val="tx1"/>
            </w14:solidFill>
          </w14:textFill>
        </w:rPr>
        <w:t>第六节 推进养老服务体系建设</w:t>
      </w:r>
      <w:bookmarkEnd w:id="485"/>
      <w:bookmarkEnd w:id="486"/>
      <w:bookmarkEnd w:id="487"/>
      <w:bookmarkEnd w:id="488"/>
    </w:p>
    <w:p>
      <w:pPr>
        <w:adjustRightInd w:val="0"/>
        <w:snapToGrid w:val="0"/>
        <w:spacing w:line="62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健全基本养老服务体系</w:t>
      </w:r>
      <w:r>
        <w:rPr>
          <w:rFonts w:ascii="Times New Roman" w:hAnsi="Times New Roman" w:eastAsia="仿宋_GB2312" w:cs="Times New Roman"/>
          <w:bCs/>
          <w:color w:val="000000" w:themeColor="text1"/>
          <w:sz w:val="32"/>
          <w:szCs w:val="32"/>
          <w14:textFill>
            <w14:solidFill>
              <w14:schemeClr w14:val="tx1"/>
            </w14:solidFill>
          </w14:textFill>
        </w:rPr>
        <w:t>。积极开发老龄人力资源，发展银发经济，推动养老事业和养老产业协同发展。</w:t>
      </w:r>
      <w:r>
        <w:rPr>
          <w:rFonts w:ascii="Times New Roman" w:hAnsi="Times New Roman" w:eastAsia="仿宋_GB2312" w:cs="Times New Roman"/>
          <w:color w:val="000000" w:themeColor="text1"/>
          <w:sz w:val="32"/>
          <w:szCs w:val="32"/>
          <w14:textFill>
            <w14:solidFill>
              <w14:schemeClr w14:val="tx1"/>
            </w14:solidFill>
          </w14:textFill>
        </w:rPr>
        <w:t>推动居家、社区和机构养老融合发展，支持社会组织、专业社工、志愿服务等社会力量参与养老服务，发展普惠型养老服务和互助型养老模式。建立健全养老服务市场，采取公建民营、民办公助、以房养老等方式扩大市场和社会力量，大力推动养老方式多样化、服务对象公众化、投资主体多元化，实现养老服务高质量发展。</w:t>
      </w:r>
    </w:p>
    <w:p>
      <w:pPr>
        <w:adjustRightInd w:val="0"/>
        <w:snapToGrid w:val="0"/>
        <w:spacing w:line="620" w:lineRule="exact"/>
        <w:ind w:firstLine="567"/>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完善城乡社区居家养老服务设施建设。</w:t>
      </w:r>
      <w:r>
        <w:rPr>
          <w:rFonts w:ascii="Times New Roman" w:hAnsi="Times New Roman" w:eastAsia="仿宋_GB2312" w:cs="Times New Roman"/>
          <w:bCs/>
          <w:color w:val="000000" w:themeColor="text1"/>
          <w:sz w:val="32"/>
          <w:szCs w:val="32"/>
          <w14:textFill>
            <w14:solidFill>
              <w14:schemeClr w14:val="tx1"/>
            </w14:solidFill>
          </w14:textFill>
        </w:rPr>
        <w:t>落实养老服务设施分区分级规划建设要求，新建住宅小区严格按照标准配建养老服务设施，做到同步规划、同步建设、同步验收、同步交付。优化城乡存量养老服务设施服务功能，降低空置率。支持城镇社区日间照料中心、社区嵌入式养老服务机构、社区养老服务站点建设；根据农村老年人渐进式养老服务需求，继续采取叠加式投入方式，支持有条件、有需求的行政村建设互助式养老服务设施，促进优质养老服务资源向老年人周边、身边和床边聚集。通过政府购买服务等方式，推进居家和社区适老化改造，引导社会力量广泛参与居家和社区养老服务，支持培养一批专业化、连锁化、品牌化社区养老服务机构。</w:t>
      </w:r>
    </w:p>
    <w:p>
      <w:pPr>
        <w:adjustRightInd w:val="0"/>
        <w:snapToGrid w:val="0"/>
        <w:spacing w:line="62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提高养老服务质量与水平</w:t>
      </w:r>
      <w:r>
        <w:rPr>
          <w:rFonts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加快建设居家社区机构相协调、医养康养相结合的多层次养老服务体系，健全养老服务综合监管制度。鼓励各级医疗卫生机构与养老机构组建医疗养老联合体，大力推</w:t>
      </w:r>
      <w:r>
        <w:rPr>
          <w:rFonts w:ascii="Times New Roman" w:hAnsi="Times New Roman" w:eastAsia="仿宋_GB2312" w:cs="Times New Roman"/>
          <w:color w:val="000000" w:themeColor="text1"/>
          <w:spacing w:val="-6"/>
          <w:sz w:val="32"/>
          <w:szCs w:val="32"/>
          <w14:textFill>
            <w14:solidFill>
              <w14:schemeClr w14:val="tx1"/>
            </w14:solidFill>
          </w14:textFill>
        </w:rPr>
        <w:t>进敬老院、老年活动中心、日间照料中心、社区老年饭桌等养老设施和服务供给，深度开展健康预防、生活照料、疾病治疗、康复护理、安宁疗护等医养康养一体化服务。创新“互联网+健康养老”模式，促进医院、养老机构、社区、家庭信息互联互通。充分利用健康医疗服务信息化资源，建立老年人健康全周期管理体系。</w:t>
      </w:r>
    </w:p>
    <w:p>
      <w:pPr>
        <w:pStyle w:val="49"/>
        <w:rPr>
          <w:rFonts w:ascii="Times New Roman" w:hAnsi="Times New Roman"/>
          <w:color w:val="000000" w:themeColor="text1"/>
          <w14:textFill>
            <w14:solidFill>
              <w14:schemeClr w14:val="tx1"/>
            </w14:solidFill>
          </w14:textFill>
        </w:rPr>
      </w:pPr>
    </w:p>
    <w:p>
      <w:pPr>
        <w:pStyle w:val="49"/>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color w:val="000000" w:themeColor="text1"/>
          <w14:textFill>
            <w14:solidFill>
              <w14:schemeClr w14:val="tx1"/>
            </w14:solidFill>
          </w14:textFill>
        </w:rPr>
        <w:t>专栏十三：养老服务能力提升重点工程项目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CellMar>
            <w:top w:w="85" w:type="dxa"/>
            <w:left w:w="227" w:type="dxa"/>
            <w:bottom w:w="85" w:type="dxa"/>
            <w:right w:w="227" w:type="dxa"/>
          </w:tblCellMar>
        </w:tblPrEx>
        <w:trPr>
          <w:trHeight w:val="4388"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1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养老服务改善提升</w:t>
            </w:r>
            <w:r>
              <w:rPr>
                <w:rFonts w:ascii="Times New Roman" w:hAnsi="Times New Roman" w:eastAsia="仿宋_GB2312" w:cs="Times New Roman"/>
                <w:bCs/>
                <w:color w:val="000000" w:themeColor="text1"/>
                <w:sz w:val="28"/>
                <w:szCs w:val="24"/>
                <w14:textFill>
                  <w14:solidFill>
                    <w14:schemeClr w14:val="tx1"/>
                  </w14:solidFill>
                </w14:textFill>
              </w:rPr>
              <w:t>：实施居家社区养老服务提质增效工程，在龙翔等社区建立嵌入式养老服务机构或日间照料中心，在雨强、李塬畔等村建设老年饭桌。实施盐池县老年人福利服务中心护理型床位等机构提档升级工程</w:t>
            </w:r>
            <w:r>
              <w:rPr>
                <w:rFonts w:hint="eastAsia" w:ascii="Times New Roman" w:hAnsi="Times New Roman" w:eastAsia="仿宋_GB2312" w:cs="Times New Roman"/>
                <w:bCs/>
                <w:color w:val="000000" w:themeColor="text1"/>
                <w:sz w:val="28"/>
                <w:szCs w:val="24"/>
                <w14:textFill>
                  <w14:solidFill>
                    <w14:schemeClr w14:val="tx1"/>
                  </w14:solidFill>
                </w14:textFill>
              </w:rPr>
              <w:t>，建设县老年养护院，新建改建乡级敬老院</w:t>
            </w:r>
            <w:r>
              <w:rPr>
                <w:rFonts w:ascii="Times New Roman" w:hAnsi="Times New Roman" w:eastAsia="仿宋_GB2312" w:cs="Times New Roman"/>
                <w:bCs/>
                <w:color w:val="000000" w:themeColor="text1"/>
                <w:sz w:val="28"/>
                <w:szCs w:val="24"/>
                <w14:textFill>
                  <w14:solidFill>
                    <w14:schemeClr w14:val="tx1"/>
                  </w14:solidFill>
                </w14:textFill>
              </w:rPr>
              <w:t>。</w:t>
            </w:r>
          </w:p>
          <w:p>
            <w:pPr>
              <w:numPr>
                <w:ilvl w:val="0"/>
                <w:numId w:val="1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养老服务功能拓展</w:t>
            </w:r>
            <w:r>
              <w:rPr>
                <w:rFonts w:ascii="Times New Roman" w:hAnsi="Times New Roman" w:eastAsia="仿宋_GB2312" w:cs="Times New Roman"/>
                <w:bCs/>
                <w:color w:val="000000" w:themeColor="text1"/>
                <w:sz w:val="28"/>
                <w:szCs w:val="24"/>
                <w14:textFill>
                  <w14:solidFill>
                    <w14:schemeClr w14:val="tx1"/>
                  </w14:solidFill>
                </w14:textFill>
              </w:rPr>
              <w:t>：实施永宏乐丰康复生态养生园二、三期建设。</w:t>
            </w:r>
          </w:p>
          <w:p>
            <w:pPr>
              <w:numPr>
                <w:ilvl w:val="0"/>
                <w:numId w:val="12"/>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养老服务人才队伍建设</w:t>
            </w:r>
            <w:r>
              <w:rPr>
                <w:rFonts w:ascii="Times New Roman" w:hAnsi="Times New Roman" w:eastAsia="仿宋_GB2312" w:cs="Times New Roman"/>
                <w:bCs/>
                <w:color w:val="000000" w:themeColor="text1"/>
                <w:sz w:val="28"/>
                <w:szCs w:val="24"/>
                <w14:textFill>
                  <w14:solidFill>
                    <w14:schemeClr w14:val="tx1"/>
                  </w14:solidFill>
                </w14:textFill>
              </w:rPr>
              <w:t>：建立养老服务人才双向培养机制。探索建立养老护理员从业年限补贴制度，开展养老护理员职业技能等级认定，培育壮大养老志愿服务队伍。</w:t>
            </w:r>
          </w:p>
        </w:tc>
      </w:tr>
    </w:tbl>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89" w:name="_Toc59989608"/>
      <w:bookmarkStart w:id="490" w:name="_Toc22799"/>
      <w:bookmarkStart w:id="491" w:name="_Toc18902"/>
      <w:bookmarkStart w:id="492" w:name="_Toc2893"/>
      <w:r>
        <w:rPr>
          <w:rFonts w:ascii="Times New Roman" w:hAnsi="Times New Roman" w:eastAsia="楷体_GB2312" w:cs="Times New Roman"/>
          <w:b/>
          <w:bCs/>
          <w:color w:val="000000" w:themeColor="text1"/>
          <w:sz w:val="32"/>
          <w:szCs w:val="32"/>
          <w14:textFill>
            <w14:solidFill>
              <w14:schemeClr w14:val="tx1"/>
            </w14:solidFill>
          </w14:textFill>
        </w:rPr>
        <w:t>第七节 保障妇女儿童合法权益</w:t>
      </w:r>
      <w:bookmarkEnd w:id="489"/>
      <w:bookmarkEnd w:id="490"/>
      <w:bookmarkEnd w:id="491"/>
      <w:bookmarkEnd w:id="492"/>
    </w:p>
    <w:p>
      <w:pPr>
        <w:adjustRightInd w:val="0"/>
        <w:snapToGrid w:val="0"/>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促进妇女全面发展。</w:t>
      </w:r>
      <w:r>
        <w:rPr>
          <w:rFonts w:ascii="Times New Roman" w:hAnsi="Times New Roman" w:eastAsia="仿宋_GB2312" w:cs="Times New Roman"/>
          <w:color w:val="000000" w:themeColor="text1"/>
          <w:sz w:val="32"/>
          <w:szCs w:val="32"/>
          <w14:textFill>
            <w14:solidFill>
              <w14:schemeClr w14:val="tx1"/>
            </w14:solidFill>
          </w14:textFill>
        </w:rPr>
        <w:t>全面贯彻落实男女平等基本国策，坚持和完善促进男女平等、妇女全面发展的制度机制，保障妇女平等获得就学、就业、社会保障、婚姻家庭财产、参与社会事务等权利和机会。加强妇女劳动保护、卫生保健、生育关怀、社会福利、法律援助等工作，拓宽妇女就业渠道，消除就业性别歧视和偏见；建立城乡生育补贴制度；保障农村妇女土地权益和集体经济组织成员待遇；建立健全贫困妇女、残疾妇女、留守妇女等困难妇女关爱服务体系，将“城镇适龄妇女‘两癌’免费筛查”列入民生项目；严厉打击拐卖、强奸、猥亵妇女和暴力侵害妇女等违法犯罪行为。</w:t>
      </w:r>
    </w:p>
    <w:p>
      <w:pPr>
        <w:adjustRightInd w:val="0"/>
        <w:snapToGrid w:val="0"/>
        <w:spacing w:line="560" w:lineRule="exact"/>
        <w:ind w:firstLine="643"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保障儿</w:t>
      </w:r>
      <w:r>
        <w:rPr>
          <w:rFonts w:ascii="Times New Roman" w:hAnsi="Times New Roman" w:eastAsia="仿宋_GB2312" w:cs="Times New Roman"/>
          <w:b/>
          <w:bCs/>
          <w:color w:val="000000" w:themeColor="text1"/>
          <w:spacing w:val="-6"/>
          <w:sz w:val="32"/>
          <w:szCs w:val="32"/>
          <w14:textFill>
            <w14:solidFill>
              <w14:schemeClr w14:val="tx1"/>
            </w14:solidFill>
          </w14:textFill>
        </w:rPr>
        <w:t>童优先发展。</w:t>
      </w:r>
      <w:r>
        <w:rPr>
          <w:rFonts w:ascii="Times New Roman" w:hAnsi="Times New Roman" w:eastAsia="仿宋_GB2312" w:cs="Times New Roman"/>
          <w:color w:val="000000" w:themeColor="text1"/>
          <w:spacing w:val="-6"/>
          <w:sz w:val="32"/>
          <w:szCs w:val="32"/>
          <w14:textFill>
            <w14:solidFill>
              <w14:schemeClr w14:val="tx1"/>
            </w14:solidFill>
          </w14:textFill>
        </w:rPr>
        <w:t>全面贯彻落实儿童优先原则，建立和完善促进儿童优先发展和全面发展的制度体系，保障资源配置对儿童基本需求的高度优先。强化儿童生存、发展、受保护和参与等权利的依法保障和社会责任。完善学校家庭社会协同育人机制，加强儿童思想道德教育、劳动教育和安全教育，保障儿童身心健康。健全未成年人网络保护综合治理机制，提升儿童网络素养，严厉打击危害儿童身心健康的违法犯罪行为。预防未成年人违法犯罪。</w:t>
      </w:r>
    </w:p>
    <w:p>
      <w:pPr>
        <w:adjustRightInd w:val="0"/>
        <w:snapToGrid w:val="0"/>
        <w:spacing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支持家庭发展。</w:t>
      </w:r>
      <w:r>
        <w:rPr>
          <w:rFonts w:ascii="Times New Roman" w:hAnsi="Times New Roman" w:eastAsia="仿宋_GB2312" w:cs="Times New Roman"/>
          <w:color w:val="000000" w:themeColor="text1"/>
          <w:sz w:val="32"/>
          <w:szCs w:val="32"/>
          <w14:textFill>
            <w14:solidFill>
              <w14:schemeClr w14:val="tx1"/>
            </w14:solidFill>
          </w14:textFill>
        </w:rPr>
        <w:t>加强家庭、家教、家风建设，推动家庭文明、家庭教育、家庭服务、家庭研究工作。深入实施“家家幸福安康工程”，充分发挥家庭家教家风在基层社会治理中的重要作用，建设平等、和睦、文明的婚姻家庭关系，促进夫妻共同承担儿童的抚养、教育、保护责任，支持家庭承担赡养老人责任，完善婚姻家庭纠纷预防化解机制，预防和制止家庭暴力。建立完善覆盖城乡的家庭教育指导服务体系，加强家庭教育指导服务站点、信息化服务平台等建设。倡导夫妻共担家务，推动落实父母带薪育儿假。将村（社区）“儿童之家”“妇女之家”和家庭教育指导服务纳入城乡公共服务体系，解决妇女儿童发展的重难点问题。</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93" w:name="_Toc8979"/>
      <w:r>
        <w:rPr>
          <w:rFonts w:ascii="Times New Roman" w:hAnsi="Times New Roman" w:eastAsia="楷体_GB2312" w:cs="Times New Roman"/>
          <w:b/>
          <w:bCs/>
          <w:color w:val="000000" w:themeColor="text1"/>
          <w:sz w:val="32"/>
          <w:szCs w:val="32"/>
          <w14:textFill>
            <w14:solidFill>
              <w14:schemeClr w14:val="tx1"/>
            </w14:solidFill>
          </w14:textFill>
        </w:rPr>
        <w:t>第</w:t>
      </w:r>
      <w:r>
        <w:rPr>
          <w:rFonts w:hint="eastAsia" w:ascii="Times New Roman" w:hAnsi="Times New Roman" w:eastAsia="楷体_GB2312" w:cs="Times New Roman"/>
          <w:b/>
          <w:bCs/>
          <w:color w:val="000000" w:themeColor="text1"/>
          <w:sz w:val="32"/>
          <w:szCs w:val="32"/>
          <w14:textFill>
            <w14:solidFill>
              <w14:schemeClr w14:val="tx1"/>
            </w14:solidFill>
          </w14:textFill>
        </w:rPr>
        <w:t>八</w:t>
      </w:r>
      <w:r>
        <w:rPr>
          <w:rFonts w:ascii="Times New Roman" w:hAnsi="Times New Roman" w:eastAsia="楷体_GB2312" w:cs="Times New Roman"/>
          <w:b/>
          <w:bCs/>
          <w:color w:val="000000" w:themeColor="text1"/>
          <w:sz w:val="32"/>
          <w:szCs w:val="32"/>
          <w14:textFill>
            <w14:solidFill>
              <w14:schemeClr w14:val="tx1"/>
            </w14:solidFill>
          </w14:textFill>
        </w:rPr>
        <w:t>节 推进青年事业发展</w:t>
      </w:r>
      <w:bookmarkEnd w:id="493"/>
    </w:p>
    <w:p>
      <w:pPr>
        <w:adjustRightInd w:val="0"/>
        <w:snapToGrid w:val="0"/>
        <w:spacing w:after="120" w:afterLines="50"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坚持党管青年原则和青年优先发展理念，把青年发展摆在工作全局中更加重要的战略地位。坚持青年为本，尊重青年主体地位，把服务与成才紧密结合，让青年有更多获得感、幸福感、安全感；坚持全局视野，从战略高度看待青年发展事业，营造有利于青年发展的良好环境；不断完善青年发展政策体系和工作机制，切实提升青年思想政治素质和全面发展水平，保障青年合法权益。深化“希望工程”等公益品牌，全面贯彻落实宁夏中长期青年发展规划，实施“青年志愿者”等青年发展规划项目，加强青年创业服务，支持青年创业基金发展，实施农村青年创业致富“领头雁”培养计划，继续办好青年创业创新大赛，广泛开展青年职业技能竞赛活动；为青年创新创业搭建更广阔舞台。维护青年合法权益，统计“义务教育阶段巩固率”</w:t>
      </w:r>
      <w:r>
        <w:rPr>
          <w:rFonts w:ascii="Times New Roman" w:hAnsi="Times New Roman" w:eastAsia="仿宋_GB2312" w:cs="Times New Roman"/>
          <w:color w:val="000000" w:themeColor="text1"/>
          <w:sz w:val="32"/>
          <w:szCs w:val="32"/>
          <w14:textFill>
            <w14:solidFill>
              <w14:schemeClr w14:val="tx1"/>
            </w14:solidFill>
          </w14:textFill>
        </w:rPr>
        <w:t>“高中阶段毛入学率”“</w:t>
      </w:r>
      <w:r>
        <w:rPr>
          <w:rFonts w:hint="eastAsia" w:ascii="Times New Roman" w:hAnsi="Times New Roman" w:eastAsia="仿宋_GB2312" w:cs="Times New Roman"/>
          <w:color w:val="000000" w:themeColor="text1"/>
          <w:sz w:val="32"/>
          <w:szCs w:val="32"/>
          <w14:textFill>
            <w14:solidFill>
              <w14:schemeClr w14:val="tx1"/>
            </w14:solidFill>
          </w14:textFill>
        </w:rPr>
        <w:t>青年就业率”</w:t>
      </w:r>
      <w:r>
        <w:rPr>
          <w:rFonts w:ascii="Times New Roman" w:hAnsi="Times New Roman" w:eastAsia="仿宋_GB2312" w:cs="Times New Roman"/>
          <w:color w:val="000000" w:themeColor="text1"/>
          <w:sz w:val="32"/>
          <w:szCs w:val="32"/>
          <w14:textFill>
            <w14:solidFill>
              <w14:schemeClr w14:val="tx1"/>
            </w14:solidFill>
          </w14:textFill>
        </w:rPr>
        <w:t>“未成年人获得法律援助人次数”“各级党代表青年比例”“各级人大代表青年比例”“各级政协委员青年比例”7</w:t>
      </w:r>
      <w:r>
        <w:rPr>
          <w:rFonts w:hint="eastAsia" w:ascii="Times New Roman" w:hAnsi="Times New Roman" w:eastAsia="仿宋_GB2312" w:cs="Times New Roman"/>
          <w:color w:val="000000" w:themeColor="text1"/>
          <w:sz w:val="32"/>
          <w:szCs w:val="32"/>
          <w14:textFill>
            <w14:solidFill>
              <w14:schemeClr w14:val="tx1"/>
            </w14:solidFill>
          </w14:textFill>
        </w:rPr>
        <w:t>项指标</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全面预防青少年违法犯罪，将预防青少年违法犯罪工作纳入“平安盐池”建设考核范畴，净化校园周边环境，严厉打击各类涉及青少年违法犯罪行为，为青少年健康成长保驾护航。</w:t>
      </w:r>
      <w:bookmarkStart w:id="494" w:name="_Toc24823"/>
      <w:bookmarkStart w:id="495" w:name="_Toc19720"/>
      <w:bookmarkStart w:id="496" w:name="_Toc4473"/>
      <w:bookmarkStart w:id="497" w:name="_Toc59989609"/>
    </w:p>
    <w:p>
      <w:pPr>
        <w:adjustRightInd w:val="0"/>
        <w:snapToGrid w:val="0"/>
        <w:spacing w:before="240" w:beforeLines="100" w:after="360" w:afterLines="150" w:line="600" w:lineRule="exact"/>
        <w:ind w:firstLine="72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第九章 创新基层治理模式，有效提升党的执政水平</w:t>
      </w:r>
      <w:bookmarkEnd w:id="494"/>
      <w:bookmarkEnd w:id="495"/>
      <w:bookmarkEnd w:id="496"/>
      <w:bookmarkEnd w:id="497"/>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加快推进治理体系和治理能力现代化，深入开展全国市域社会治理现代化试点合格县创建工作。创新居民自治模式，推进网格化、智能化、治理能力现代化，不断提高基层治理能力和治理水平</w:t>
      </w:r>
      <w:r>
        <w:rPr>
          <w:rFonts w:hint="eastAsia" w:ascii="Times New Roman" w:hAnsi="Times New Roman" w:eastAsia="仿宋_GB2312" w:cs="Times New Roman"/>
          <w:color w:val="000000" w:themeColor="text1"/>
          <w:sz w:val="32"/>
          <w:szCs w:val="32"/>
          <w14:textFill>
            <w14:solidFill>
              <w14:schemeClr w14:val="tx1"/>
            </w14:solidFill>
          </w14:textFill>
        </w:rPr>
        <w:t>，全面提升平安盐池建设科学化、社会化、法制化</w:t>
      </w:r>
      <w:r>
        <w:rPr>
          <w:rFonts w:ascii="Times New Roman" w:hAnsi="Times New Roman" w:eastAsia="仿宋_GB2312" w:cs="Times New Roman"/>
          <w:color w:val="000000" w:themeColor="text1"/>
          <w:sz w:val="32"/>
          <w:szCs w:val="32"/>
          <w14:textFill>
            <w14:solidFill>
              <w14:schemeClr w14:val="tx1"/>
            </w14:solidFill>
          </w14:textFill>
        </w:rPr>
        <w:t>。</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498" w:name="_Toc59989610"/>
      <w:bookmarkStart w:id="499" w:name="_Toc3802"/>
      <w:bookmarkStart w:id="500" w:name="_Toc6913"/>
      <w:bookmarkStart w:id="501" w:name="_Toc13398"/>
      <w:r>
        <w:rPr>
          <w:rFonts w:ascii="Times New Roman" w:hAnsi="Times New Roman" w:eastAsia="楷体_GB2312" w:cs="Times New Roman"/>
          <w:b/>
          <w:bCs/>
          <w:color w:val="000000" w:themeColor="text1"/>
          <w:sz w:val="32"/>
          <w:szCs w:val="32"/>
          <w14:textFill>
            <w14:solidFill>
              <w14:schemeClr w14:val="tx1"/>
            </w14:solidFill>
          </w14:textFill>
        </w:rPr>
        <w:t>第一节 推进服务型政府建设</w:t>
      </w:r>
      <w:bookmarkEnd w:id="498"/>
      <w:bookmarkEnd w:id="499"/>
      <w:bookmarkEnd w:id="500"/>
      <w:bookmarkEnd w:id="501"/>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坚持和完善中国特色社会主义行政体制，构建职责明确、依法行政的政府治理体系。</w:t>
      </w:r>
    </w:p>
    <w:p>
      <w:pPr>
        <w:adjustRightInd w:val="0"/>
        <w:snapToGrid w:val="0"/>
        <w:spacing w:line="60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w:t>
      </w:r>
      <w:r>
        <w:rPr>
          <w:rFonts w:ascii="Times New Roman" w:hAnsi="Times New Roman" w:eastAsia="仿宋_GB2312" w:cs="Times New Roman"/>
          <w:b/>
          <w:bCs/>
          <w:color w:val="000000" w:themeColor="text1"/>
          <w:spacing w:val="-6"/>
          <w:sz w:val="32"/>
          <w:szCs w:val="32"/>
          <w14:textFill>
            <w14:solidFill>
              <w14:schemeClr w14:val="tx1"/>
            </w14:solidFill>
          </w14:textFill>
        </w:rPr>
        <w:t>为民理念</w:t>
      </w:r>
      <w:r>
        <w:rPr>
          <w:rFonts w:ascii="Times New Roman" w:hAnsi="Times New Roman" w:eastAsia="仿宋_GB2312" w:cs="Times New Roman"/>
          <w:color w:val="000000" w:themeColor="text1"/>
          <w:spacing w:val="-6"/>
          <w:sz w:val="32"/>
          <w:szCs w:val="32"/>
          <w14:textFill>
            <w14:solidFill>
              <w14:schemeClr w14:val="tx1"/>
            </w14:solidFill>
          </w14:textFill>
        </w:rPr>
        <w:t>。牢固树立以人为本的中心思想，着力解决好与人民群众生活息息相关的教育、就业、医疗卫生、社会保障、社会稳定等关键民生问题，在更高水平上实现幼有所育、学有所教、劳有所得、病有所医、老有所养、住有所居、弱有所扶，使人民群众获得感、幸福感、安全感更加充实、更有保障、更可持续。</w:t>
      </w:r>
    </w:p>
    <w:p>
      <w:pPr>
        <w:adjustRightInd w:val="0"/>
        <w:snapToGrid w:val="0"/>
        <w:spacing w:line="60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提高为民本领</w:t>
      </w:r>
      <w:r>
        <w:rPr>
          <w:rFonts w:ascii="Times New Roman" w:hAnsi="Times New Roman" w:eastAsia="仿宋_GB2312" w:cs="Times New Roman"/>
          <w:color w:val="000000" w:themeColor="text1"/>
          <w:sz w:val="32"/>
          <w:szCs w:val="32"/>
          <w14:textFill>
            <w14:solidFill>
              <w14:schemeClr w14:val="tx1"/>
            </w14:solidFill>
          </w14:textFill>
        </w:rPr>
        <w:t>。适应人民群众对公共服务的精细化需求，从细微处入手，努力实现公共服务在覆盖广度、服务质量和及时性等方面大幅度提升。同时，适应新形势新任务，充分运用大数据、“互联网+”，加快建设数字政府，推进5G网络建设布局，加强政务信息化建设和共享，外事、港澳台侨、档案等工作稳步推进，优化政府服务流程，提升政府治理体系和治理能力现代化，让人民群众办事更加快捷。</w:t>
      </w:r>
    </w:p>
    <w:p>
      <w:pPr>
        <w:adjustRightInd w:val="0"/>
        <w:snapToGrid w:val="0"/>
        <w:spacing w:line="60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改进为民作风</w:t>
      </w:r>
      <w:r>
        <w:rPr>
          <w:rFonts w:ascii="Times New Roman" w:hAnsi="Times New Roman" w:eastAsia="仿宋_GB2312" w:cs="Times New Roman"/>
          <w:color w:val="000000" w:themeColor="text1"/>
          <w:sz w:val="32"/>
          <w:szCs w:val="32"/>
          <w14:textFill>
            <w14:solidFill>
              <w14:schemeClr w14:val="tx1"/>
            </w14:solidFill>
          </w14:textFill>
        </w:rPr>
        <w:t>。根据群众需求细化为民服务举措，简化办事流程，采取“一站式”服务、“最多跑一次”、“不见面审批”、“一趟不用跑”等措施，实现多渠道、多层次、跨部门、无缝隙、全方位的整合，为人民群众提供更多便利。</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02" w:name="_Toc59989611"/>
      <w:bookmarkStart w:id="503" w:name="_Toc31830"/>
      <w:bookmarkStart w:id="504" w:name="_Toc22459"/>
      <w:bookmarkStart w:id="505" w:name="_Toc5260"/>
      <w:r>
        <w:rPr>
          <w:rFonts w:ascii="Times New Roman" w:hAnsi="Times New Roman" w:eastAsia="楷体_GB2312" w:cs="Times New Roman"/>
          <w:b/>
          <w:bCs/>
          <w:color w:val="000000" w:themeColor="text1"/>
          <w:sz w:val="32"/>
          <w:szCs w:val="32"/>
          <w14:textFill>
            <w14:solidFill>
              <w14:schemeClr w14:val="tx1"/>
            </w14:solidFill>
          </w14:textFill>
        </w:rPr>
        <w:t>第二节 健全完善基层治理体系</w:t>
      </w:r>
      <w:bookmarkEnd w:id="502"/>
      <w:bookmarkEnd w:id="503"/>
      <w:bookmarkEnd w:id="504"/>
      <w:bookmarkEnd w:id="505"/>
    </w:p>
    <w:p>
      <w:pPr>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人民为中心工作导向，创新完善共建共治共享的基层社会治理体系，聚焦乡村、社区、社团、企业、校园、宗教等重点领域治理，夯实基层治理基础，推动治理重心下移，打造基层治理体系和治理能力现代化创新区。</w:t>
      </w:r>
    </w:p>
    <w:p>
      <w:pPr>
        <w:adjustRightInd w:val="0"/>
        <w:snapToGrid w:val="0"/>
        <w:spacing w:line="60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06" w:name="_Toc59989612"/>
      <w:bookmarkStart w:id="507" w:name="_Toc6690"/>
      <w:bookmarkStart w:id="508" w:name="_Toc10239"/>
      <w:bookmarkStart w:id="509" w:name="_Toc25161"/>
      <w:r>
        <w:rPr>
          <w:rFonts w:ascii="Times New Roman" w:hAnsi="Times New Roman" w:eastAsia="楷体_GB2312" w:cs="Times New Roman"/>
          <w:b/>
          <w:bCs/>
          <w:color w:val="000000" w:themeColor="text1"/>
          <w:sz w:val="32"/>
          <w:szCs w:val="32"/>
          <w14:textFill>
            <w14:solidFill>
              <w14:schemeClr w14:val="tx1"/>
            </w14:solidFill>
          </w14:textFill>
        </w:rPr>
        <w:t>（一）强化党建引领</w:t>
      </w:r>
      <w:bookmarkEnd w:id="506"/>
      <w:bookmarkEnd w:id="507"/>
      <w:bookmarkEnd w:id="508"/>
      <w:bookmarkEnd w:id="509"/>
    </w:p>
    <w:p>
      <w:pPr>
        <w:adjustRightInd w:val="0"/>
        <w:snapToGrid w:val="0"/>
        <w:spacing w:line="60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加强干部队伍建设</w:t>
      </w:r>
      <w:r>
        <w:rPr>
          <w:rFonts w:ascii="Times New Roman" w:hAnsi="Times New Roman" w:eastAsia="仿宋_GB2312" w:cs="Times New Roman"/>
          <w:color w:val="000000" w:themeColor="text1"/>
          <w:sz w:val="32"/>
          <w:szCs w:val="32"/>
          <w14:textFill>
            <w14:solidFill>
              <w14:schemeClr w14:val="tx1"/>
            </w14:solidFill>
          </w14:textFill>
        </w:rPr>
        <w:t>。全面贯彻新时代党的组织路线，以提升组织力为重点，突出政治引领，深入实施“三大三强”行动、“两个带头人”工程，选优配强村“两委”班子，加强干部队伍建设，持续整顿软弱涣散基层党组织，不断强化党员干部教育培训，加强基层党务工作者队伍建设。提高各级领导班子和干部适应新时代新要求抓改革、促发展、保稳定水平和专业化能力，加强对敢担当善作为干部的激励保护。</w:t>
      </w:r>
    </w:p>
    <w:p>
      <w:pPr>
        <w:adjustRightInd w:val="0"/>
        <w:snapToGrid w:val="0"/>
        <w:spacing w:line="580" w:lineRule="exact"/>
        <w:ind w:firstLine="630" w:firstLineChars="196"/>
        <w:rPr>
          <w:rFonts w:ascii="Times New Roman" w:hAnsi="Times New Roman" w:eastAsia="仿宋_GB2312" w:cs="Times New Roman"/>
          <w:color w:val="000000" w:themeColor="text1"/>
          <w:sz w:val="32"/>
          <w:szCs w:val="32"/>
          <w:highlight w:val="red"/>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完善基层党组织建设</w:t>
      </w:r>
      <w:r>
        <w:rPr>
          <w:rFonts w:ascii="Times New Roman" w:hAnsi="Times New Roman" w:eastAsia="仿宋_GB2312" w:cs="Times New Roman"/>
          <w:color w:val="000000" w:themeColor="text1"/>
          <w:sz w:val="32"/>
          <w:szCs w:val="32"/>
          <w14:textFill>
            <w14:solidFill>
              <w14:schemeClr w14:val="tx1"/>
            </w14:solidFill>
          </w14:textFill>
        </w:rPr>
        <w:t>。按照“任务担当、规模适度、方便管理、界定清晰、责任明确”的原则，在县、乡镇（街道）、村（社区）三个层面构建网格化管理体系。把基层党建、乡村振兴、矛盾纠纷化解、社会治安、环境卫生整治、精神文明建设、服务居民群众等各项工作落实到网格化管理中，着力延伸党组织的管理服务触角，形成快速反应和高效处理体系，有效推动基层党建与基层治理深度融合</w:t>
      </w:r>
      <w:r>
        <w:rPr>
          <w:rFonts w:hint="eastAsia" w:ascii="Times New Roman" w:hAnsi="Times New Roman" w:eastAsia="仿宋_GB2312" w:cs="Times New Roman"/>
          <w:color w:val="000000" w:themeColor="text1"/>
          <w:sz w:val="32"/>
          <w:szCs w:val="32"/>
          <w14:textFill>
            <w14:solidFill>
              <w14:schemeClr w14:val="tx1"/>
            </w14:solidFill>
          </w14:textFill>
        </w:rPr>
        <w:t>。</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10" w:name="_Toc11435"/>
      <w:bookmarkStart w:id="511" w:name="_Toc14127"/>
      <w:bookmarkStart w:id="512" w:name="_Toc59989613"/>
      <w:bookmarkStart w:id="513" w:name="_Toc3979"/>
      <w:r>
        <w:rPr>
          <w:rFonts w:ascii="Times New Roman" w:hAnsi="Times New Roman" w:eastAsia="楷体_GB2312" w:cs="Times New Roman"/>
          <w:b/>
          <w:bCs/>
          <w:color w:val="000000" w:themeColor="text1"/>
          <w:sz w:val="32"/>
          <w:szCs w:val="32"/>
          <w14:textFill>
            <w14:solidFill>
              <w14:schemeClr w14:val="tx1"/>
            </w14:solidFill>
          </w14:textFill>
        </w:rPr>
        <w:t>（二）强化基层治理体系建设</w:t>
      </w:r>
      <w:bookmarkEnd w:id="510"/>
      <w:bookmarkEnd w:id="511"/>
      <w:bookmarkEnd w:id="512"/>
      <w:bookmarkEnd w:id="513"/>
    </w:p>
    <w:p>
      <w:pPr>
        <w:adjustRightInd w:val="0"/>
        <w:snapToGrid w:val="0"/>
        <w:spacing w:line="58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着力推进市域社会治理现代化试点合格县创建工作。</w:t>
      </w:r>
      <w:r>
        <w:rPr>
          <w:rFonts w:ascii="Times New Roman" w:hAnsi="Times New Roman" w:eastAsia="仿宋_GB2312" w:cs="Times New Roman"/>
          <w:color w:val="000000" w:themeColor="text1"/>
          <w:sz w:val="32"/>
          <w:szCs w:val="32"/>
          <w14:textFill>
            <w14:solidFill>
              <w14:schemeClr w14:val="tx1"/>
            </w14:solidFill>
          </w14:textFill>
        </w:rPr>
        <w:t>围绕六大领域治理，在县、乡镇（街道）、村（社区）三个层面构建党委统一领导、分类分级治理的“四级网格化”治理模式，实现纵横联动、政社互动、专群齐动，进一步提高社会化、法治化、智能化、专业化基层治理水平。</w:t>
      </w:r>
    </w:p>
    <w:p>
      <w:pPr>
        <w:adjustRightInd w:val="0"/>
        <w:snapToGrid w:val="0"/>
        <w:spacing w:line="58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完善基层治理体系</w:t>
      </w:r>
      <w:r>
        <w:rPr>
          <w:rFonts w:ascii="Times New Roman" w:hAnsi="Times New Roman" w:eastAsia="仿宋_GB2312" w:cs="Times New Roman"/>
          <w:color w:val="000000" w:themeColor="text1"/>
          <w:sz w:val="32"/>
          <w:szCs w:val="32"/>
          <w14:textFill>
            <w14:solidFill>
              <w14:schemeClr w14:val="tx1"/>
            </w14:solidFill>
          </w14:textFill>
        </w:rPr>
        <w:t>。全面梳理乡镇、村（社区）实际承担的工作事项，按照人财物与责权利对应的原则，探索治理资源统筹机制，创新基层治理结构。健全基层党组织领导的基层群众自治机制，依法厘清乡镇和基层群众自治组织权责边界，切实深化基层自治实践。把智能化建设上升为重要的实现治理现代化的路径，充分发挥市域优势，推动大数据、人工智能、区块链等现代科技与社会治理深度融合。</w:t>
      </w:r>
    </w:p>
    <w:p>
      <w:pPr>
        <w:adjustRightInd w:val="0"/>
        <w:snapToGrid w:val="0"/>
        <w:spacing w:line="58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完善德治制度</w:t>
      </w:r>
      <w:r>
        <w:rPr>
          <w:rFonts w:ascii="Times New Roman" w:hAnsi="Times New Roman" w:eastAsia="仿宋_GB2312" w:cs="Times New Roman"/>
          <w:color w:val="000000" w:themeColor="text1"/>
          <w:sz w:val="32"/>
          <w:szCs w:val="32"/>
          <w14:textFill>
            <w14:solidFill>
              <w14:schemeClr w14:val="tx1"/>
            </w14:solidFill>
          </w14:textFill>
        </w:rPr>
        <w:t>。完善弘扬社会主义核心价值观的法规政策体系，推动社会主义核心价值观融入法治和社会治理。继续推进全国文明城市、国家安全发展示范城市、文明村镇、文明校园等创建活动，积极推进移风易俗制度化、常态化，建立盐池县文明行为促进制度。深入推进司法公信、政务诚信、商务诚信、社会诚信建设，积极培育城乡文化，健全社会征信体系，推进诚信建设长效机制。</w:t>
      </w:r>
    </w:p>
    <w:p>
      <w:pPr>
        <w:adjustRightInd w:val="0"/>
        <w:snapToGrid w:val="0"/>
        <w:spacing w:line="580" w:lineRule="exact"/>
        <w:ind w:firstLine="643"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14" w:name="_Toc7087"/>
      <w:bookmarkStart w:id="515" w:name="_Toc2385"/>
      <w:bookmarkStart w:id="516" w:name="_Toc59989614"/>
      <w:bookmarkStart w:id="517" w:name="_Toc24482"/>
      <w:r>
        <w:rPr>
          <w:rFonts w:ascii="Times New Roman" w:hAnsi="Times New Roman" w:eastAsia="楷体_GB2312" w:cs="Times New Roman"/>
          <w:b/>
          <w:bCs/>
          <w:color w:val="000000" w:themeColor="text1"/>
          <w:sz w:val="32"/>
          <w:szCs w:val="32"/>
          <w14:textFill>
            <w14:solidFill>
              <w14:schemeClr w14:val="tx1"/>
            </w14:solidFill>
          </w14:textFill>
        </w:rPr>
        <w:t>（三）加强社会治安防控</w:t>
      </w:r>
      <w:bookmarkEnd w:id="514"/>
      <w:bookmarkEnd w:id="515"/>
      <w:bookmarkEnd w:id="516"/>
      <w:bookmarkEnd w:id="517"/>
    </w:p>
    <w:p>
      <w:pPr>
        <w:adjustRightInd w:val="0"/>
        <w:snapToGrid w:val="0"/>
        <w:spacing w:line="580" w:lineRule="exact"/>
        <w:ind w:firstLine="640" w:firstLineChars="200"/>
        <w:outlineLvl w:val="2"/>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依靠群众解决群众身边的问题作为着力点，打牢社会治安防控的群众基础。切实加强基层综治组织、机关、团体、企事业单位治安防范力量，建立健全基层社会治安防控目标管理责任制。科学整合各种力量与资源，健全点线面结合、网上网下结合、人防物防技防结合、打防管控结合的立体化社会治安防控体系，增强群防群治工作的针对性、实效性。运用法治思维和法治方式推进社会治安，坚持在法治轨道上统筹社会力量、平衡社会利益、调节社会关系、规范社会行为、化解社会矛盾，以良法促发展保善治。提高社会治安专业化水平，加强社会治安各类专业化人才队伍建设，提高对各类风险发现、防范、化解、管控能力。打造统一规范、运行高效的人工智能和大数据平台，扩大“互联网+”在城市管理、社会治理、城市安全、风险防范和民生服务领域中的应用，形成纵向贯通、横向集成、共享共用的综合平台，形成问题联治、工作联动、平安联创的社会治安工作机制。</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18" w:name="_Toc16126"/>
      <w:bookmarkStart w:id="519" w:name="_Toc32576"/>
      <w:bookmarkStart w:id="520" w:name="_Toc59989615"/>
      <w:bookmarkStart w:id="521" w:name="_Toc18486"/>
      <w:r>
        <w:rPr>
          <w:rFonts w:ascii="Times New Roman" w:hAnsi="Times New Roman" w:eastAsia="楷体_GB2312" w:cs="Times New Roman"/>
          <w:b/>
          <w:bCs/>
          <w:color w:val="000000" w:themeColor="text1"/>
          <w:sz w:val="32"/>
          <w:szCs w:val="32"/>
          <w14:textFill>
            <w14:solidFill>
              <w14:schemeClr w14:val="tx1"/>
            </w14:solidFill>
          </w14:textFill>
        </w:rPr>
        <w:t>第三节 全面推进法治盐池建设</w:t>
      </w:r>
      <w:bookmarkEnd w:id="518"/>
      <w:bookmarkEnd w:id="519"/>
      <w:bookmarkEnd w:id="520"/>
      <w:bookmarkEnd w:id="521"/>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坚持党对全面依法治县的领导，牢固树立全面依法治县理念，着力推进党的领导制度化、法治化，保障县委各项决策部署得到有效落实。</w:t>
      </w:r>
    </w:p>
    <w:p>
      <w:pPr>
        <w:adjustRightInd w:val="0"/>
        <w:snapToGrid w:val="0"/>
        <w:spacing w:line="580"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加强法律监督。</w:t>
      </w:r>
      <w:r>
        <w:rPr>
          <w:rFonts w:ascii="Times New Roman" w:hAnsi="Times New Roman" w:eastAsia="仿宋_GB2312" w:cs="Times New Roman"/>
          <w:color w:val="000000" w:themeColor="text1"/>
          <w:sz w:val="32"/>
          <w:szCs w:val="32"/>
          <w14:textFill>
            <w14:solidFill>
              <w14:schemeClr w14:val="tx1"/>
            </w14:solidFill>
          </w14:textFill>
        </w:rPr>
        <w:t>坚持和完善人民代表大会制度，加强人大监督，保障人民依法通过各种途径和形式管理政府事务、管理经济文化事业、管理社会事务。</w:t>
      </w:r>
    </w:p>
    <w:p>
      <w:pPr>
        <w:adjustRightInd w:val="0"/>
        <w:snapToGrid w:val="0"/>
        <w:spacing w:line="580" w:lineRule="exact"/>
        <w:ind w:firstLine="567"/>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加大</w:t>
      </w:r>
      <w:r>
        <w:rPr>
          <w:rFonts w:ascii="Times New Roman" w:hAnsi="Times New Roman" w:eastAsia="仿宋_GB2312" w:cs="Times New Roman"/>
          <w:b/>
          <w:bCs/>
          <w:color w:val="000000" w:themeColor="text1"/>
          <w:spacing w:val="-6"/>
          <w:sz w:val="32"/>
          <w:szCs w:val="32"/>
          <w14:textFill>
            <w14:solidFill>
              <w14:schemeClr w14:val="tx1"/>
            </w14:solidFill>
          </w14:textFill>
        </w:rPr>
        <w:t>法治宣传</w:t>
      </w:r>
      <w:r>
        <w:rPr>
          <w:rFonts w:ascii="Times New Roman" w:hAnsi="Times New Roman" w:eastAsia="仿宋_GB2312" w:cs="Times New Roman"/>
          <w:color w:val="000000" w:themeColor="text1"/>
          <w:spacing w:val="-6"/>
          <w:sz w:val="32"/>
          <w:szCs w:val="32"/>
          <w14:textFill>
            <w14:solidFill>
              <w14:schemeClr w14:val="tx1"/>
            </w14:solidFill>
          </w14:textFill>
        </w:rPr>
        <w:t>。弘扬社会主义法治精神，深入推进“八五”普法，扎实推动宪法、民法典落实，多形式广泛开展贴近基层、贴近群众、贴近生产、贴近生活的群众性法治文化教育活动，切实推动法治宣传教育向基层延伸，引导群众依法办事。增强普法工作的针对性和实效性，特别要加强青少年法治教育，真正把法治精神融入公民日常生活工作当中，不断提升法治意识和公民法治素养。</w:t>
      </w:r>
    </w:p>
    <w:p>
      <w:pPr>
        <w:adjustRightInd w:val="0"/>
        <w:snapToGrid w:val="0"/>
        <w:spacing w:line="58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深化法治政府建设</w:t>
      </w:r>
      <w:r>
        <w:rPr>
          <w:rFonts w:ascii="Times New Roman" w:hAnsi="Times New Roman" w:eastAsia="仿宋_GB2312" w:cs="Times New Roman"/>
          <w:color w:val="000000" w:themeColor="text1"/>
          <w:sz w:val="32"/>
          <w:szCs w:val="32"/>
          <w14:textFill>
            <w14:solidFill>
              <w14:schemeClr w14:val="tx1"/>
            </w14:solidFill>
          </w14:textFill>
        </w:rPr>
        <w:t>。依法全面履行政府职能，完善依法行政制度体系，严格按照宪法和法律规定行使职权，提高司法公信力。聚焦行政执法的源头、过程、结果三个关键环节，把行政执法的公示、全过程记录和重大行政执法法制审核作为提高行政执法成效的关键点，通过行政执法程序、机制的调整，调动行政执法机关和执法人员的积极性和能动性，保证行政执法的严格、公正、规范和透明。健全依法决策机制，带动公众和全社会对行政执法的配合和支持。深化司法责任制和综合配套改革，加强司法制约监督，健全社会法治保障制度，让人民群众在司法环境中感受到公平正义。</w:t>
      </w:r>
    </w:p>
    <w:p>
      <w:pPr>
        <w:adjustRightInd w:val="0"/>
        <w:snapToGrid w:val="0"/>
        <w:spacing w:line="58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加强公共法律服务体系建设</w:t>
      </w:r>
      <w:r>
        <w:rPr>
          <w:rFonts w:ascii="Times New Roman" w:hAnsi="Times New Roman" w:eastAsia="仿宋_GB2312" w:cs="Times New Roman"/>
          <w:color w:val="000000" w:themeColor="text1"/>
          <w:sz w:val="32"/>
          <w:szCs w:val="32"/>
          <w14:textFill>
            <w14:solidFill>
              <w14:schemeClr w14:val="tx1"/>
            </w14:solidFill>
          </w14:textFill>
        </w:rPr>
        <w:t>。坚持和发展新时代“枫桥经验”，实现村（居）法律服务阵地建设全覆盖，不断完善多元矛盾调解机制。全面推行“一村（社区）一法律顾问”制度，建立完善社会化法治人才引进机制，强化政府购买，发动社会组织、律师、法律顾问等社会力量广泛参与依法治县工作，构建覆盖城乡的公共法律服务体系。</w:t>
      </w:r>
      <w:r>
        <w:rPr>
          <w:rFonts w:ascii="Times New Roman" w:hAnsi="Times New Roman" w:eastAsia="仿宋_GB2312" w:cs="Times New Roman"/>
          <w:bCs/>
          <w:color w:val="000000" w:themeColor="text1"/>
          <w:sz w:val="32"/>
          <w:szCs w:val="32"/>
          <w14:textFill>
            <w14:solidFill>
              <w14:schemeClr w14:val="tx1"/>
            </w14:solidFill>
          </w14:textFill>
        </w:rPr>
        <w:t>推进法律服务体系智能化建设，</w:t>
      </w:r>
      <w:r>
        <w:rPr>
          <w:rFonts w:ascii="Times New Roman" w:hAnsi="Times New Roman" w:eastAsia="仿宋_GB2312" w:cs="Times New Roman"/>
          <w:color w:val="000000" w:themeColor="text1"/>
          <w:sz w:val="32"/>
          <w:szCs w:val="32"/>
          <w14:textFill>
            <w14:solidFill>
              <w14:schemeClr w14:val="tx1"/>
            </w14:solidFill>
          </w14:textFill>
        </w:rPr>
        <w:t>加快推动公共法律服务实体、网络、热线“三台”融合，推进业务数据化、网络化、智能化，建设“数字法治、智慧法治”信息化体系。</w:t>
      </w:r>
    </w:p>
    <w:p>
      <w:pPr>
        <w:adjustRightInd w:val="0"/>
        <w:snapToGrid w:val="0"/>
        <w:spacing w:line="580" w:lineRule="exact"/>
        <w:ind w:firstLine="567"/>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全面深化司法责任制和综合配套改革</w:t>
      </w:r>
      <w:r>
        <w:rPr>
          <w:rFonts w:ascii="Times New Roman" w:hAnsi="Times New Roman" w:eastAsia="仿宋_GB2312" w:cs="Times New Roman"/>
          <w:color w:val="000000" w:themeColor="text1"/>
          <w:sz w:val="32"/>
          <w:szCs w:val="32"/>
          <w14:textFill>
            <w14:solidFill>
              <w14:schemeClr w14:val="tx1"/>
            </w14:solidFill>
          </w14:textFill>
        </w:rPr>
        <w:t>。构建精细化审判管理模式，严格审判监督，发挥专业法官会议、审判委员会作用，运用信息化手段全面实现司法公开，严格落实“谁执法谁普法”的普法责任制。进一步落实以审判为中心的刑事诉讼改革，将罪刑法定、罪责刑相适应、法律面前人人平等、证据裁判、程序公正、尊重和保护人权、疑罪从无等原则和理念，切实贯彻落实到每一个案件中。严格遵守法定程序，严格执行证据裁判原则和非法证据排除制度，充分发挥审判程序的职能作用，有效落实证人、侦查人员出庭制度。</w:t>
      </w:r>
    </w:p>
    <w:p>
      <w:pPr>
        <w:adjustRightInd w:val="0"/>
        <w:snapToGrid w:val="0"/>
        <w:spacing w:before="240" w:beforeLines="100" w:after="240" w:afterLines="100" w:line="58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22" w:name="_Toc2980"/>
      <w:bookmarkStart w:id="523" w:name="_Toc59989616"/>
      <w:bookmarkStart w:id="524" w:name="_Toc25067"/>
      <w:bookmarkStart w:id="525" w:name="_Toc8866"/>
      <w:r>
        <w:rPr>
          <w:rFonts w:ascii="Times New Roman" w:hAnsi="Times New Roman" w:eastAsia="楷体_GB2312" w:cs="Times New Roman"/>
          <w:b/>
          <w:bCs/>
          <w:color w:val="000000" w:themeColor="text1"/>
          <w:sz w:val="32"/>
          <w:szCs w:val="32"/>
          <w14:textFill>
            <w14:solidFill>
              <w14:schemeClr w14:val="tx1"/>
            </w14:solidFill>
          </w14:textFill>
        </w:rPr>
        <w:t>第四节 提高公共安全保障能力</w:t>
      </w:r>
      <w:bookmarkEnd w:id="522"/>
      <w:bookmarkEnd w:id="523"/>
      <w:bookmarkEnd w:id="524"/>
      <w:bookmarkEnd w:id="525"/>
    </w:p>
    <w:p>
      <w:pPr>
        <w:adjustRightInd w:val="0"/>
        <w:snapToGrid w:val="0"/>
        <w:spacing w:line="58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坚持人民至上、生命至上，</w:t>
      </w:r>
      <w:r>
        <w:rPr>
          <w:rFonts w:hint="eastAsia" w:ascii="Times New Roman" w:hAnsi="Times New Roman" w:eastAsia="仿宋_GB2312" w:cs="Times New Roman"/>
          <w:color w:val="000000" w:themeColor="text1"/>
          <w:sz w:val="32"/>
          <w:szCs w:val="32"/>
          <w14:textFill>
            <w14:solidFill>
              <w14:schemeClr w14:val="tx1"/>
            </w14:solidFill>
          </w14:textFill>
        </w:rPr>
        <w:t>健全公共安全体制机制，</w:t>
      </w:r>
      <w:r>
        <w:rPr>
          <w:rFonts w:ascii="Times New Roman" w:hAnsi="Times New Roman" w:eastAsia="仿宋_GB2312" w:cs="Times New Roman"/>
          <w:color w:val="000000" w:themeColor="text1"/>
          <w:sz w:val="32"/>
          <w:szCs w:val="32"/>
          <w14:textFill>
            <w14:solidFill>
              <w14:schemeClr w14:val="tx1"/>
            </w14:solidFill>
          </w14:textFill>
        </w:rPr>
        <w:t>把保护人民群众生命安全摆在首位，全面提高公共安全保障能力。</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强化安全生产管理。</w:t>
      </w:r>
      <w:r>
        <w:rPr>
          <w:rFonts w:ascii="Times New Roman" w:hAnsi="Times New Roman" w:eastAsia="仿宋_GB2312" w:cs="Times New Roman"/>
          <w:color w:val="000000" w:themeColor="text1"/>
          <w:sz w:val="32"/>
          <w:szCs w:val="32"/>
          <w14:textFill>
            <w14:solidFill>
              <w14:schemeClr w14:val="tx1"/>
            </w14:solidFill>
          </w14:textFill>
        </w:rPr>
        <w:t>牢固树立安全发展理念，坚持“党政同责、一岗双责、齐抓共管、失职追责”，严格落实安全生产党政领导、部门监管、企业主体“三大责任”，建立健全安全隐患排查和安全预防控制体系，持续深化安全生产专项整治三年行动，加强安全生产监管执法，依法惩治安全生产违法行为，有效遏制危险化学品、矿山、建筑施工、交通、消防等重点领域生产安全事故，扎实推进安全生产治理体系和治理能力现代化。健全完善安全风险评估机制，大力开展公共安全保障行动。“十四五”期间，亿元GDP生产安全事故死亡率控制在指标以内。</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严格食品药品安全监管。</w:t>
      </w:r>
      <w:r>
        <w:rPr>
          <w:rFonts w:hint="eastAsia" w:ascii="Times New Roman" w:hAnsi="Times New Roman" w:eastAsia="仿宋_GB2312" w:cs="Times New Roman"/>
          <w:color w:val="000000" w:themeColor="text1"/>
          <w:sz w:val="32"/>
          <w:szCs w:val="32"/>
          <w14:textFill>
            <w14:solidFill>
              <w14:schemeClr w14:val="tx1"/>
            </w14:solidFill>
          </w14:textFill>
        </w:rPr>
        <w:t>把防范化解食品药品安全风险贯穿于市场监管工作全过程，加强和改进食品药品安全监管体系，织密食品药品监管网络。稳步推进食品药品安全放心工程建设攻坚行动，加强食品药品生产、流通、消费等环节的日常监管，建立源头严防、过程严管、风险严控全环节安全监管长效机制，加强食品药品风险监测、抽检和监管执法，全</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力</w:t>
      </w:r>
      <w:r>
        <w:rPr>
          <w:rFonts w:hint="eastAsia" w:ascii="Times New Roman" w:hAnsi="Times New Roman" w:eastAsia="仿宋_GB2312" w:cs="Times New Roman"/>
          <w:color w:val="000000" w:themeColor="text1"/>
          <w:sz w:val="32"/>
          <w:szCs w:val="32"/>
          <w14:textFill>
            <w14:solidFill>
              <w14:schemeClr w14:val="tx1"/>
            </w14:solidFill>
          </w14:textFill>
        </w:rPr>
        <w:t>创建食品药品安全县。</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提升消防综合应急救援能力</w:t>
      </w:r>
      <w:r>
        <w:rPr>
          <w:rFonts w:ascii="Times New Roman" w:hAnsi="Times New Roman" w:eastAsia="仿宋_GB2312" w:cs="Times New Roman"/>
          <w:color w:val="000000" w:themeColor="text1"/>
          <w:sz w:val="32"/>
          <w:szCs w:val="32"/>
          <w14:textFill>
            <w14:solidFill>
              <w14:schemeClr w14:val="tx1"/>
            </w14:solidFill>
          </w14:textFill>
        </w:rPr>
        <w:t>。建立健全重大突发事件应急管理体系，加强应急预案管理，强化应急救援演练，建立鼓励社会力量参与应急救援合作机制，全面提升应急管理能力。强化县级应急指挥中心功能，持续健全气象灾害监测预警、信息发布、组织责任、风险防范制度体系，建设自然灾害综合监测预警信息系统，完善乡镇（街道）、行政村（社区）网格化管理，提升基层应急救援能力。加强应急队伍建设，提升应急管理、应急救援人员专业化水平，健全完善以综合性消防救援队伍为主力、专业应急力量为协同、社会应急力量为辅助的应急救援力量体系。推进城乡公共消防基础设施建设，大力发展多种形式消防力量，结合城市发展，优化消防站布局，逐步提升综合应急救援专业化水平和综合应急救援保障能力，健全和完善地震、水域、化工、高层、森林草原等专业队作战编成，建立政、企、乡、微等多种形式消防队伍常态化联勤联训联动机制，提高协同处置能力。“十四五”末，安全生产监督执法和应急管理专业人员占比达到80%以上。</w:t>
      </w:r>
    </w:p>
    <w:p>
      <w:pPr>
        <w:adjustRightInd w:val="0"/>
        <w:snapToGrid w:val="0"/>
        <w:spacing w:line="58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完善应急保障机制</w:t>
      </w:r>
      <w:r>
        <w:rPr>
          <w:rFonts w:ascii="Times New Roman" w:hAnsi="Times New Roman" w:eastAsia="仿宋_GB2312" w:cs="Times New Roman"/>
          <w:color w:val="000000" w:themeColor="text1"/>
          <w:sz w:val="32"/>
          <w:szCs w:val="32"/>
          <w14:textFill>
            <w14:solidFill>
              <w14:schemeClr w14:val="tx1"/>
            </w14:solidFill>
          </w14:textFill>
        </w:rPr>
        <w:t>。增加物资储备，加强应急物资保障体系和能力建设，实行救援物资集中管理、统一调度、统一配送，保证应急救援物资储备满足县域需求。完善农业灾害保险政策，提高防灾、减灾、抗灾、救灾能力。推进人防设施建设，全面做好事故灾害应急准备。</w:t>
      </w:r>
    </w:p>
    <w:p>
      <w:pPr>
        <w:pStyle w:val="49"/>
        <w:rPr>
          <w:rFonts w:ascii="Times New Roman" w:hAnsi="Times New Roman" w:eastAsia="仿宋_GB2312"/>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专栏十四：社会治理能力提升重点工程项目</w:t>
      </w:r>
    </w:p>
    <w:tbl>
      <w:tblPr>
        <w:tblStyle w:val="23"/>
        <w:tblW w:w="88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2F2F2"/>
        <w:tblLayout w:type="fixed"/>
        <w:tblCellMar>
          <w:top w:w="85" w:type="dxa"/>
          <w:left w:w="227" w:type="dxa"/>
          <w:bottom w:w="85" w:type="dxa"/>
          <w:right w:w="227" w:type="dxa"/>
        </w:tblCellMar>
      </w:tblPr>
      <w:tblGrid>
        <w:gridCol w:w="88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2F2F2"/>
        </w:tblPrEx>
        <w:trPr>
          <w:trHeight w:val="2449" w:hRule="atLeast"/>
          <w:jc w:val="center"/>
        </w:trPr>
        <w:tc>
          <w:tcPr>
            <w:tcW w:w="8848" w:type="dxa"/>
            <w:tcBorders>
              <w:top w:val="single" w:color="auto" w:sz="8" w:space="0"/>
              <w:left w:val="single" w:color="auto" w:sz="8" w:space="0"/>
              <w:bottom w:val="single" w:color="auto" w:sz="8" w:space="0"/>
              <w:right w:val="single" w:color="auto" w:sz="8" w:space="0"/>
            </w:tcBorders>
            <w:shd w:val="clear" w:color="auto" w:fill="FFFFFF" w:themeFill="background1"/>
          </w:tcPr>
          <w:p>
            <w:pPr>
              <w:numPr>
                <w:ilvl w:val="0"/>
                <w:numId w:val="13"/>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基层治理</w:t>
            </w:r>
            <w:r>
              <w:rPr>
                <w:rFonts w:hint="eastAsia" w:ascii="Times New Roman" w:hAnsi="Times New Roman" w:eastAsia="仿宋_GB2312" w:cs="Times New Roman"/>
                <w:b/>
                <w:color w:val="000000" w:themeColor="text1"/>
                <w:sz w:val="28"/>
                <w:szCs w:val="24"/>
                <w14:textFill>
                  <w14:solidFill>
                    <w14:schemeClr w14:val="tx1"/>
                  </w14:solidFill>
                </w14:textFill>
              </w:rPr>
              <w:t>能力提升工程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县乡村“三馆一站一中心”建设。</w:t>
            </w:r>
          </w:p>
          <w:p>
            <w:pPr>
              <w:numPr>
                <w:ilvl w:val="0"/>
                <w:numId w:val="13"/>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hint="eastAsia" w:ascii="Times New Roman" w:hAnsi="Times New Roman" w:eastAsia="仿宋_GB2312" w:cs="Times New Roman"/>
                <w:b/>
                <w:color w:val="000000" w:themeColor="text1"/>
                <w:sz w:val="28"/>
                <w:szCs w:val="24"/>
                <w14:textFill>
                  <w14:solidFill>
                    <w14:schemeClr w14:val="tx1"/>
                  </w14:solidFill>
                </w14:textFill>
              </w:rPr>
              <w:t>治理基础</w:t>
            </w:r>
            <w:r>
              <w:rPr>
                <w:rFonts w:ascii="Times New Roman" w:hAnsi="Times New Roman" w:eastAsia="仿宋_GB2312" w:cs="Times New Roman"/>
                <w:b/>
                <w:color w:val="000000" w:themeColor="text1"/>
                <w:sz w:val="28"/>
                <w:szCs w:val="24"/>
                <w14:textFill>
                  <w14:solidFill>
                    <w14:schemeClr w14:val="tx1"/>
                  </w14:solidFill>
                </w14:textFill>
              </w:rPr>
              <w:t>设施</w:t>
            </w:r>
            <w:r>
              <w:rPr>
                <w:rFonts w:hint="eastAsia" w:ascii="Times New Roman" w:hAnsi="Times New Roman" w:eastAsia="仿宋_GB2312" w:cs="Times New Roman"/>
                <w:b/>
                <w:color w:val="000000" w:themeColor="text1"/>
                <w:sz w:val="28"/>
                <w:szCs w:val="24"/>
                <w14:textFill>
                  <w14:solidFill>
                    <w14:schemeClr w14:val="tx1"/>
                  </w14:solidFill>
                </w14:textFill>
              </w:rPr>
              <w:t>建设工程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盐池县公安局派出所新建、扩建项目，盐池县公安局交警大队新建交通安全设施项目，盐池县公共法律服务中心建设。</w:t>
            </w:r>
          </w:p>
          <w:p>
            <w:pPr>
              <w:numPr>
                <w:ilvl w:val="0"/>
                <w:numId w:val="13"/>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4"/>
                <w14:textFill>
                  <w14:solidFill>
                    <w14:schemeClr w14:val="tx1"/>
                  </w14:solidFill>
                </w14:textFill>
              </w:rPr>
            </w:pPr>
            <w:r>
              <w:rPr>
                <w:rFonts w:hint="eastAsia" w:ascii="Times New Roman" w:hAnsi="Times New Roman" w:eastAsia="仿宋_GB2312" w:cs="Times New Roman"/>
                <w:b/>
                <w:color w:val="000000" w:themeColor="text1"/>
                <w:sz w:val="28"/>
                <w:szCs w:val="24"/>
                <w14:textFill>
                  <w14:solidFill>
                    <w14:schemeClr w14:val="tx1"/>
                  </w14:solidFill>
                </w14:textFill>
              </w:rPr>
              <w:t>“互联网+”社会治理</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建设50座数字基站，推进公安局视频监控、信息一体化检查站、智慧小区及智慧警务室建设。</w:t>
            </w:r>
          </w:p>
          <w:p>
            <w:pPr>
              <w:numPr>
                <w:ilvl w:val="0"/>
                <w:numId w:val="13"/>
              </w:numPr>
              <w:adjustRightInd w:val="0"/>
              <w:snapToGrid w:val="0"/>
              <w:spacing w:line="480" w:lineRule="exact"/>
              <w:ind w:left="0" w:firstLine="562" w:firstLineChars="200"/>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28"/>
                <w:szCs w:val="24"/>
                <w14:textFill>
                  <w14:solidFill>
                    <w14:schemeClr w14:val="tx1"/>
                  </w14:solidFill>
                </w14:textFill>
              </w:rPr>
              <w:t>应急</w:t>
            </w:r>
            <w:r>
              <w:rPr>
                <w:rFonts w:hint="eastAsia" w:ascii="Times New Roman" w:hAnsi="Times New Roman" w:eastAsia="仿宋_GB2312" w:cs="Times New Roman"/>
                <w:b/>
                <w:color w:val="000000" w:themeColor="text1"/>
                <w:sz w:val="28"/>
                <w:szCs w:val="24"/>
                <w14:textFill>
                  <w14:solidFill>
                    <w14:schemeClr w14:val="tx1"/>
                  </w14:solidFill>
                </w14:textFill>
              </w:rPr>
              <w:t>能力提升工程</w:t>
            </w:r>
            <w:r>
              <w:rPr>
                <w:rFonts w:ascii="Times New Roman" w:hAnsi="Times New Roman" w:eastAsia="仿宋_GB2312" w:cs="Times New Roman"/>
                <w:b/>
                <w:color w:val="000000" w:themeColor="text1"/>
                <w:sz w:val="28"/>
                <w:szCs w:val="24"/>
                <w14:textFill>
                  <w14:solidFill>
                    <w14:schemeClr w14:val="tx1"/>
                  </w14:solidFill>
                </w14:textFill>
              </w:rPr>
              <w:t>：</w:t>
            </w:r>
            <w:r>
              <w:rPr>
                <w:rFonts w:ascii="Times New Roman" w:hAnsi="Times New Roman" w:eastAsia="仿宋_GB2312" w:cs="Times New Roman"/>
                <w:bCs/>
                <w:color w:val="000000" w:themeColor="text1"/>
                <w:sz w:val="28"/>
                <w:szCs w:val="24"/>
                <w14:textFill>
                  <w14:solidFill>
                    <w14:schemeClr w14:val="tx1"/>
                  </w14:solidFill>
                </w14:textFill>
              </w:rPr>
              <w:t>盐池县森林草原消防站、应急物资储备库建设。</w:t>
            </w:r>
          </w:p>
        </w:tc>
      </w:tr>
    </w:tbl>
    <w:p>
      <w:pPr>
        <w:rPr>
          <w:rFonts w:ascii="Times New Roman" w:hAnsi="Times New Roman" w:cs="Times New Roman"/>
          <w:color w:val="000000" w:themeColor="text1"/>
          <w14:textFill>
            <w14:solidFill>
              <w14:schemeClr w14:val="tx1"/>
            </w14:solidFill>
          </w14:textFill>
        </w:rPr>
      </w:pPr>
    </w:p>
    <w:p>
      <w:pPr>
        <w:adjustRightInd w:val="0"/>
        <w:snapToGrid w:val="0"/>
        <w:spacing w:before="240" w:beforeLines="100" w:after="240" w:afterLines="100" w:line="600" w:lineRule="exact"/>
        <w:ind w:left="630" w:leftChars="300" w:right="630" w:rightChars="300"/>
        <w:jc w:val="center"/>
        <w:outlineLvl w:val="0"/>
        <w:rPr>
          <w:rFonts w:ascii="Times New Roman" w:hAnsi="Times New Roman" w:eastAsia="黑体" w:cs="Times New Roman"/>
          <w:color w:val="000000" w:themeColor="text1"/>
          <w:sz w:val="36"/>
          <w:szCs w:val="36"/>
          <w14:textFill>
            <w14:solidFill>
              <w14:schemeClr w14:val="tx1"/>
            </w14:solidFill>
          </w14:textFill>
        </w:rPr>
      </w:pPr>
      <w:bookmarkStart w:id="526" w:name="_Toc5307"/>
      <w:bookmarkStart w:id="527" w:name="_Toc9823"/>
      <w:bookmarkStart w:id="528" w:name="_Toc15061"/>
      <w:bookmarkStart w:id="529" w:name="_Toc59989617"/>
      <w:r>
        <w:rPr>
          <w:rFonts w:ascii="Times New Roman" w:hAnsi="Times New Roman" w:eastAsia="黑体" w:cs="Times New Roman"/>
          <w:color w:val="000000" w:themeColor="text1"/>
          <w:sz w:val="36"/>
          <w:szCs w:val="36"/>
          <w14:textFill>
            <w14:solidFill>
              <w14:schemeClr w14:val="tx1"/>
            </w14:solidFill>
          </w14:textFill>
        </w:rPr>
        <w:t>第十章 强化规划实施保障措施</w:t>
      </w:r>
      <w:bookmarkEnd w:id="526"/>
      <w:bookmarkEnd w:id="527"/>
      <w:bookmarkEnd w:id="528"/>
      <w:bookmarkEnd w:id="529"/>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实现“十四五”规划和2035年远景目标，必须坚持党的全面领导，强化政治保障、组织保障和服务保障，充分调动一切积极因素，广泛团结一切可以团结的力量，形成推动发展的强大合力。</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30" w:name="_Toc59989618"/>
      <w:bookmarkStart w:id="531" w:name="_Toc9955"/>
      <w:bookmarkStart w:id="532" w:name="_Toc4101"/>
      <w:bookmarkStart w:id="533" w:name="_Toc13110"/>
      <w:r>
        <w:rPr>
          <w:rFonts w:ascii="Times New Roman" w:hAnsi="Times New Roman" w:eastAsia="楷体_GB2312" w:cs="Times New Roman"/>
          <w:b/>
          <w:bCs/>
          <w:color w:val="000000" w:themeColor="text1"/>
          <w:sz w:val="32"/>
          <w:szCs w:val="32"/>
          <w14:textFill>
            <w14:solidFill>
              <w14:schemeClr w14:val="tx1"/>
            </w14:solidFill>
          </w14:textFill>
        </w:rPr>
        <w:t>第一节 加强党的全面领导</w:t>
      </w:r>
      <w:bookmarkEnd w:id="530"/>
      <w:bookmarkEnd w:id="531"/>
      <w:bookmarkEnd w:id="532"/>
      <w:bookmarkEnd w:id="533"/>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充分发挥党总揽全局、协调各方的领导核心作用，为经济社会高质量发展提供坚强政治保障。</w:t>
      </w:r>
      <w:r>
        <w:rPr>
          <w:rFonts w:ascii="Times New Roman" w:hAnsi="Times New Roman" w:eastAsia="仿宋_GB2312" w:cs="Times New Roman"/>
          <w:b/>
          <w:bCs/>
          <w:color w:val="000000" w:themeColor="text1"/>
          <w:sz w:val="32"/>
          <w:szCs w:val="32"/>
          <w14:textFill>
            <w14:solidFill>
              <w14:schemeClr w14:val="tx1"/>
            </w14:solidFill>
          </w14:textFill>
        </w:rPr>
        <w:t>加强党的政治建设。</w:t>
      </w:r>
      <w:r>
        <w:rPr>
          <w:rFonts w:ascii="Times New Roman" w:hAnsi="Times New Roman" w:eastAsia="仿宋_GB2312" w:cs="Times New Roman"/>
          <w:color w:val="000000" w:themeColor="text1"/>
          <w:sz w:val="32"/>
          <w:szCs w:val="32"/>
          <w14:textFill>
            <w14:solidFill>
              <w14:schemeClr w14:val="tx1"/>
            </w14:solidFill>
          </w14:textFill>
        </w:rPr>
        <w:t>持续深入学习贯彻习近平新时代中国特色社会主义思想和习近平总书记视察宁夏重要讲话精神，完善上下贯通、执行有力的组织体系，确保党中央和区市党委决策部署在盐池落实落地。</w:t>
      </w:r>
      <w:r>
        <w:rPr>
          <w:rFonts w:ascii="Times New Roman" w:hAnsi="Times New Roman" w:eastAsia="仿宋_GB2312" w:cs="Times New Roman"/>
          <w:b/>
          <w:bCs/>
          <w:color w:val="000000" w:themeColor="text1"/>
          <w:sz w:val="32"/>
          <w:szCs w:val="32"/>
          <w14:textFill>
            <w14:solidFill>
              <w14:schemeClr w14:val="tx1"/>
            </w14:solidFill>
          </w14:textFill>
        </w:rPr>
        <w:t>加强基层组织建设。</w:t>
      </w:r>
      <w:r>
        <w:rPr>
          <w:rFonts w:ascii="Times New Roman" w:hAnsi="Times New Roman" w:eastAsia="仿宋_GB2312" w:cs="Times New Roman"/>
          <w:color w:val="000000" w:themeColor="text1"/>
          <w:sz w:val="32"/>
          <w:szCs w:val="32"/>
          <w14:textFill>
            <w14:solidFill>
              <w14:schemeClr w14:val="tx1"/>
            </w14:solidFill>
          </w14:textFill>
        </w:rPr>
        <w:t>全面实施习近平新时代中国特色社会主义思想入脑入心、党建引领发展、组织制度落实、强化基础保障、考核优化提升、立标杆做表率“六项行动”。</w:t>
      </w:r>
      <w:r>
        <w:rPr>
          <w:rFonts w:ascii="Times New Roman" w:hAnsi="Times New Roman" w:eastAsia="仿宋_GB2312" w:cs="Times New Roman"/>
          <w:b/>
          <w:bCs/>
          <w:color w:val="000000" w:themeColor="text1"/>
          <w:sz w:val="32"/>
          <w:szCs w:val="32"/>
          <w14:textFill>
            <w14:solidFill>
              <w14:schemeClr w14:val="tx1"/>
            </w14:solidFill>
          </w14:textFill>
        </w:rPr>
        <w:t>加强干部队伍建设。</w:t>
      </w:r>
      <w:r>
        <w:rPr>
          <w:rFonts w:ascii="Times New Roman" w:hAnsi="Times New Roman" w:eastAsia="仿宋_GB2312" w:cs="Times New Roman"/>
          <w:color w:val="000000" w:themeColor="text1"/>
          <w:sz w:val="32"/>
          <w:szCs w:val="32"/>
          <w14:textFill>
            <w14:solidFill>
              <w14:schemeClr w14:val="tx1"/>
            </w14:solidFill>
          </w14:textFill>
        </w:rPr>
        <w:t>深入实施干部政治能力、专业能力提升“两大工程”，提高领导干部贯彻新发展理念、构建新发展格局能力。</w:t>
      </w:r>
      <w:r>
        <w:rPr>
          <w:rFonts w:ascii="Times New Roman" w:hAnsi="Times New Roman" w:eastAsia="仿宋_GB2312" w:cs="Times New Roman"/>
          <w:b/>
          <w:bCs/>
          <w:color w:val="000000" w:themeColor="text1"/>
          <w:sz w:val="32"/>
          <w:szCs w:val="32"/>
          <w14:textFill>
            <w14:solidFill>
              <w14:schemeClr w14:val="tx1"/>
            </w14:solidFill>
          </w14:textFill>
        </w:rPr>
        <w:t>坚持全面从严治党。</w:t>
      </w:r>
      <w:r>
        <w:rPr>
          <w:rFonts w:ascii="Times New Roman" w:hAnsi="Times New Roman" w:eastAsia="仿宋_GB2312" w:cs="Times New Roman"/>
          <w:color w:val="000000" w:themeColor="text1"/>
          <w:sz w:val="32"/>
          <w:szCs w:val="32"/>
          <w14:textFill>
            <w14:solidFill>
              <w14:schemeClr w14:val="tx1"/>
            </w14:solidFill>
          </w14:textFill>
        </w:rPr>
        <w:t>从严落实中央八项规定及其实施细则精神，健全基层减负常态化机制，持续纠治形式主义、官僚主义。加强政治监督，落实全面从严治党主体责任、监督责任，切实营造风清气正的政治生态。</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34" w:name="_Toc22002"/>
      <w:bookmarkStart w:id="535" w:name="_Toc16877"/>
      <w:bookmarkStart w:id="536" w:name="_Toc59989619"/>
      <w:bookmarkStart w:id="537" w:name="_Toc14983"/>
      <w:r>
        <w:rPr>
          <w:rFonts w:ascii="Times New Roman" w:hAnsi="Times New Roman" w:eastAsia="楷体_GB2312" w:cs="Times New Roman"/>
          <w:b/>
          <w:bCs/>
          <w:color w:val="000000" w:themeColor="text1"/>
          <w:sz w:val="32"/>
          <w:szCs w:val="32"/>
          <w14:textFill>
            <w14:solidFill>
              <w14:schemeClr w14:val="tx1"/>
            </w14:solidFill>
          </w14:textFill>
        </w:rPr>
        <w:t>第二节 健全</w:t>
      </w:r>
      <w:r>
        <w:rPr>
          <w:rFonts w:hint="eastAsia" w:ascii="Times New Roman" w:hAnsi="Times New Roman" w:eastAsia="楷体_GB2312" w:cs="Times New Roman"/>
          <w:b/>
          <w:bCs/>
          <w:color w:val="000000" w:themeColor="text1"/>
          <w:sz w:val="32"/>
          <w:szCs w:val="32"/>
          <w14:textFill>
            <w14:solidFill>
              <w14:schemeClr w14:val="tx1"/>
            </w14:solidFill>
          </w14:textFill>
        </w:rPr>
        <w:t>规划</w:t>
      </w:r>
      <w:r>
        <w:rPr>
          <w:rFonts w:ascii="Times New Roman" w:hAnsi="Times New Roman" w:eastAsia="楷体_GB2312" w:cs="Times New Roman"/>
          <w:b/>
          <w:bCs/>
          <w:color w:val="000000" w:themeColor="text1"/>
          <w:sz w:val="32"/>
          <w:szCs w:val="32"/>
          <w14:textFill>
            <w14:solidFill>
              <w14:schemeClr w14:val="tx1"/>
            </w14:solidFill>
          </w14:textFill>
        </w:rPr>
        <w:t>实施机制</w:t>
      </w:r>
      <w:bookmarkEnd w:id="534"/>
      <w:bookmarkEnd w:id="535"/>
      <w:bookmarkEnd w:id="536"/>
      <w:bookmarkEnd w:id="537"/>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成立规划实施领导小组，做到政策措施到位、组织保障到位。科学分解落实五年规划目标任务，认真做好每年工作计划。各部门要根据规划精神，结合本部门职能，将目标具体化、措施化、可操作化。综合运用经济、行政、财政、价格等手段，确保规划目标的顺利实现。以本规划为指导，制定经济社会发展年度计划和财政预算，完善规划实施工作考核制度和行政监察制度，确保规划目标实现。</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38" w:name="_Toc19049"/>
      <w:bookmarkStart w:id="539" w:name="_Toc59989620"/>
      <w:bookmarkStart w:id="540" w:name="_Toc12033"/>
      <w:bookmarkStart w:id="541" w:name="_Toc29310"/>
      <w:r>
        <w:rPr>
          <w:rFonts w:ascii="Times New Roman" w:hAnsi="Times New Roman" w:eastAsia="楷体_GB2312" w:cs="Times New Roman"/>
          <w:b/>
          <w:bCs/>
          <w:color w:val="000000" w:themeColor="text1"/>
          <w:sz w:val="32"/>
          <w:szCs w:val="32"/>
          <w14:textFill>
            <w14:solidFill>
              <w14:schemeClr w14:val="tx1"/>
            </w14:solidFill>
          </w14:textFill>
        </w:rPr>
        <w:t>第三节 完善规划</w:t>
      </w:r>
      <w:r>
        <w:rPr>
          <w:rFonts w:hint="eastAsia" w:ascii="Times New Roman" w:hAnsi="Times New Roman" w:eastAsia="楷体_GB2312" w:cs="Times New Roman"/>
          <w:b/>
          <w:bCs/>
          <w:color w:val="000000" w:themeColor="text1"/>
          <w:sz w:val="32"/>
          <w:szCs w:val="32"/>
          <w14:textFill>
            <w14:solidFill>
              <w14:schemeClr w14:val="tx1"/>
            </w14:solidFill>
          </w14:textFill>
        </w:rPr>
        <w:t>协同保障</w:t>
      </w:r>
      <w:bookmarkEnd w:id="538"/>
      <w:bookmarkEnd w:id="539"/>
      <w:bookmarkEnd w:id="540"/>
      <w:bookmarkEnd w:id="541"/>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国民经济和社会发展规划纲要为统领，以国土空间规划为蓝图，以专项规划为支撑，形成各类规划定位清晰、功能互补、统一衔接的规划体系。各专项规划以及乡镇（园区）“十四五”规划，要以本规划为依据，接受本规划指导。围绕规划提出的目标和任务，加强经济社会发展政策的统筹协调。建立规划决策、动态监测、考核评估统一平台。</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42" w:name="_Toc59989621"/>
      <w:bookmarkStart w:id="543" w:name="_Toc4463"/>
      <w:bookmarkStart w:id="544" w:name="_Toc17176"/>
      <w:bookmarkStart w:id="545" w:name="_Toc12636"/>
      <w:r>
        <w:rPr>
          <w:rFonts w:ascii="Times New Roman" w:hAnsi="Times New Roman" w:eastAsia="楷体_GB2312" w:cs="Times New Roman"/>
          <w:b/>
          <w:bCs/>
          <w:color w:val="000000" w:themeColor="text1"/>
          <w:sz w:val="32"/>
          <w:szCs w:val="32"/>
          <w14:textFill>
            <w14:solidFill>
              <w14:schemeClr w14:val="tx1"/>
            </w14:solidFill>
          </w14:textFill>
        </w:rPr>
        <w:t>第四节 做实项目</w:t>
      </w:r>
      <w:r>
        <w:rPr>
          <w:rFonts w:hint="eastAsia" w:ascii="Times New Roman" w:hAnsi="Times New Roman" w:eastAsia="楷体_GB2312" w:cs="Times New Roman"/>
          <w:b/>
          <w:bCs/>
          <w:color w:val="000000" w:themeColor="text1"/>
          <w:sz w:val="32"/>
          <w:szCs w:val="32"/>
          <w14:textFill>
            <w14:solidFill>
              <w14:schemeClr w14:val="tx1"/>
            </w14:solidFill>
          </w14:textFill>
        </w:rPr>
        <w:t>建设</w:t>
      </w:r>
      <w:r>
        <w:rPr>
          <w:rFonts w:ascii="Times New Roman" w:hAnsi="Times New Roman" w:eastAsia="楷体_GB2312" w:cs="Times New Roman"/>
          <w:b/>
          <w:bCs/>
          <w:color w:val="000000" w:themeColor="text1"/>
          <w:sz w:val="32"/>
          <w:szCs w:val="32"/>
          <w14:textFill>
            <w14:solidFill>
              <w14:schemeClr w14:val="tx1"/>
            </w14:solidFill>
          </w14:textFill>
        </w:rPr>
        <w:t>支撑</w:t>
      </w:r>
      <w:bookmarkEnd w:id="542"/>
      <w:bookmarkEnd w:id="543"/>
      <w:bookmarkEnd w:id="544"/>
      <w:bookmarkEnd w:id="545"/>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以规划带动项目建设，以项目促进规划落实原则，有序推进“十四五”时期重大建设项目的组织实施。“十四五”前期要确保统筹推进在建重大项目发挥效益。要进一步完善推进机制，多渠道筹措资金，强化全程跟踪协调服务，做好要素保障服务工作，认真实施项目分类推进工作机制，强化项目调度考核，确保项目建设落到实处，进一步增强经济发展的支撑能力。实施重大项目带动战略，加强项目前期服务工作，将规划的重点项目具体落实到年度重点项目计划，以增量投资促进结构调整。</w:t>
      </w:r>
    </w:p>
    <w:p>
      <w:pPr>
        <w:adjustRightInd w:val="0"/>
        <w:snapToGrid w:val="0"/>
        <w:spacing w:before="240" w:beforeLines="100" w:after="240" w:afterLines="100" w:line="600"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546" w:name="_Toc59989622"/>
      <w:bookmarkStart w:id="547" w:name="_Toc24520"/>
      <w:bookmarkStart w:id="548" w:name="_Toc249"/>
      <w:bookmarkStart w:id="549" w:name="_Toc19197"/>
      <w:r>
        <w:rPr>
          <w:rFonts w:ascii="Times New Roman" w:hAnsi="Times New Roman" w:eastAsia="楷体_GB2312" w:cs="Times New Roman"/>
          <w:b/>
          <w:bCs/>
          <w:color w:val="000000" w:themeColor="text1"/>
          <w:sz w:val="32"/>
          <w:szCs w:val="32"/>
          <w14:textFill>
            <w14:solidFill>
              <w14:schemeClr w14:val="tx1"/>
            </w14:solidFill>
          </w14:textFill>
        </w:rPr>
        <w:t>第五节 强化</w:t>
      </w:r>
      <w:bookmarkEnd w:id="546"/>
      <w:bookmarkEnd w:id="547"/>
      <w:bookmarkEnd w:id="548"/>
      <w:bookmarkEnd w:id="549"/>
      <w:r>
        <w:rPr>
          <w:rFonts w:hint="eastAsia" w:ascii="Times New Roman" w:hAnsi="Times New Roman" w:eastAsia="楷体_GB2312" w:cs="Times New Roman"/>
          <w:b/>
          <w:bCs/>
          <w:color w:val="000000" w:themeColor="text1"/>
          <w:sz w:val="32"/>
          <w:szCs w:val="32"/>
          <w14:textFill>
            <w14:solidFill>
              <w14:schemeClr w14:val="tx1"/>
            </w14:solidFill>
          </w14:textFill>
        </w:rPr>
        <w:t>规划实施监督</w:t>
      </w:r>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进一步完善公众参与和民主监督机制，做好规划及相关信息公开，保障公民通过法定程序和渠道参与规划实施和监督。坚持人大、政协监督与指导，认真做好各项评议工作。加强规划宣传力度，增加规划透明度，增强民主参与度，积极营造关心规划、支持规划、监督规划的良好氛围。加强对规划实施情况的跟踪分析和督促检查，健全规划实施中期评估制度。适时开展规划实施中期评估，检查规划落实情况及实施效果，针对出现偏差的指标和无法完成的任务，及时提出调整意见，确保规划实施达到预期。</w:t>
      </w:r>
    </w:p>
    <w:p>
      <w:pPr>
        <w:adjustRightInd w:val="0"/>
        <w:snapToGrid w:val="0"/>
        <w:spacing w:line="600" w:lineRule="exact"/>
        <w:ind w:firstLine="643" w:firstLineChars="201"/>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“十四五”规划是我国在进入第二个百年奋斗目标发展阶段的第一个五年规划，也是</w:t>
      </w:r>
      <w:r>
        <w:rPr>
          <w:rFonts w:hint="eastAsia" w:ascii="Times New Roman" w:hAnsi="Times New Roman" w:eastAsia="仿宋_GB2312" w:cs="Times New Roman"/>
          <w:color w:val="000000" w:themeColor="text1"/>
          <w:sz w:val="32"/>
          <w:szCs w:val="32"/>
          <w14:textFill>
            <w14:solidFill>
              <w14:schemeClr w14:val="tx1"/>
            </w14:solidFill>
          </w14:textFill>
        </w:rPr>
        <w:t>今后五年</w:t>
      </w:r>
      <w:r>
        <w:rPr>
          <w:rFonts w:ascii="Times New Roman" w:hAnsi="Times New Roman" w:eastAsia="仿宋_GB2312" w:cs="Times New Roman"/>
          <w:color w:val="000000" w:themeColor="text1"/>
          <w:sz w:val="32"/>
          <w:szCs w:val="32"/>
          <w14:textFill>
            <w14:solidFill>
              <w14:schemeClr w14:val="tx1"/>
            </w14:solidFill>
          </w14:textFill>
        </w:rPr>
        <w:t>盐池县经济社会发展的行动纲领。全县各族人民应坚持以习近平新时代中国特色社会主义思想为指导，在县委县政府的坚强领导下，牢固树立和践行新发展理念，以推动高质量发展为主题，奋力抢抓机遇、迎接挑战，发扬斗争精神，艰苦奋斗，干事创业，为</w:t>
      </w:r>
      <w:r>
        <w:rPr>
          <w:rFonts w:hint="eastAsia" w:ascii="Times New Roman" w:hAnsi="Times New Roman" w:eastAsia="仿宋_GB2312" w:cs="Times New Roman"/>
          <w:color w:val="000000" w:themeColor="text1"/>
          <w:sz w:val="32"/>
          <w:szCs w:val="32"/>
          <w14:textFill>
            <w14:solidFill>
              <w14:schemeClr w14:val="tx1"/>
            </w14:solidFill>
          </w14:textFill>
        </w:rPr>
        <w:t>努力建设黄河流域生态保护和高质量发展先行区、继续建设经济繁荣民族团结环境优美人民富裕的美丽新盐池、开启全面建设社会主义现代化新征程而</w:t>
      </w:r>
      <w:r>
        <w:rPr>
          <w:rFonts w:ascii="Times New Roman" w:hAnsi="Times New Roman" w:eastAsia="仿宋_GB2312" w:cs="Times New Roman"/>
          <w:color w:val="000000" w:themeColor="text1"/>
          <w:sz w:val="32"/>
          <w:szCs w:val="32"/>
          <w14:textFill>
            <w14:solidFill>
              <w14:schemeClr w14:val="tx1"/>
            </w14:solidFill>
          </w14:textFill>
        </w:rPr>
        <w:t>努力奋斗。</w:t>
      </w:r>
    </w:p>
    <w:p>
      <w:pPr>
        <w:widowControl/>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br w:type="page"/>
      </w:r>
    </w:p>
    <w:p>
      <w:pPr>
        <w:adjustRightInd w:val="0"/>
        <w:snapToGrid w:val="0"/>
        <w:spacing w:before="240" w:beforeLines="100" w:after="240" w:afterLines="100" w:line="600" w:lineRule="exact"/>
        <w:ind w:right="630" w:rightChars="300"/>
        <w:jc w:val="left"/>
        <w:outlineLvl w:val="0"/>
        <w:rPr>
          <w:rFonts w:ascii="Times New Roman" w:hAnsi="Times New Roman" w:eastAsia="黑体" w:cs="Times New Roman"/>
          <w:color w:val="000000" w:themeColor="text1"/>
          <w:sz w:val="32"/>
          <w:szCs w:val="32"/>
          <w14:textFill>
            <w14:solidFill>
              <w14:schemeClr w14:val="tx1"/>
            </w14:solidFill>
          </w14:textFill>
        </w:rPr>
      </w:pPr>
      <w:bookmarkStart w:id="550" w:name="_Toc13255"/>
      <w:bookmarkStart w:id="551" w:name="_Toc59989623"/>
      <w:bookmarkStart w:id="552" w:name="_Toc6254"/>
      <w:bookmarkStart w:id="553" w:name="_Toc23716"/>
      <w:bookmarkStart w:id="554" w:name="_Toc53653343"/>
      <w:r>
        <w:rPr>
          <w:rFonts w:ascii="Times New Roman" w:hAnsi="Times New Roman" w:eastAsia="黑体" w:cs="Times New Roman"/>
          <w:color w:val="000000" w:themeColor="text1"/>
          <w:sz w:val="32"/>
          <w:szCs w:val="32"/>
          <w14:textFill>
            <w14:solidFill>
              <w14:schemeClr w14:val="tx1"/>
            </w14:solidFill>
          </w14:textFill>
        </w:rPr>
        <w:t>附：名词解释</w:t>
      </w:r>
      <w:bookmarkEnd w:id="550"/>
      <w:bookmarkEnd w:id="551"/>
      <w:bookmarkEnd w:id="552"/>
      <w:bookmarkEnd w:id="553"/>
      <w:bookmarkEnd w:id="554"/>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六个精准：</w:t>
      </w:r>
      <w:r>
        <w:rPr>
          <w:rFonts w:ascii="Times New Roman" w:hAnsi="Times New Roman" w:eastAsia="仿宋_GB2312" w:cs="Times New Roman"/>
          <w:color w:val="000000" w:themeColor="text1"/>
          <w:sz w:val="32"/>
          <w:szCs w:val="32"/>
          <w14:textFill>
            <w14:solidFill>
              <w14:schemeClr w14:val="tx1"/>
            </w14:solidFill>
          </w14:textFill>
        </w:rPr>
        <w:t>扶贫对象精准、措施到户要精准、项目安排精准、资金使用精准、因村派人精准、脱贫成效精准。</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五个一批：</w:t>
      </w:r>
      <w:r>
        <w:rPr>
          <w:rFonts w:ascii="Times New Roman" w:hAnsi="Times New Roman" w:eastAsia="仿宋_GB2312" w:cs="Times New Roman"/>
          <w:color w:val="000000" w:themeColor="text1"/>
          <w:sz w:val="32"/>
          <w:szCs w:val="32"/>
          <w14:textFill>
            <w14:solidFill>
              <w14:schemeClr w14:val="tx1"/>
            </w14:solidFill>
          </w14:textFill>
        </w:rPr>
        <w:t>发展生产脱贫一批、易地搬迁脱贫一批、生态补偿脱贫一批、发展教育脱贫一批、社会保障兜底一批。</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十大扶贫工程：</w:t>
      </w:r>
      <w:r>
        <w:rPr>
          <w:rFonts w:ascii="Times New Roman" w:hAnsi="Times New Roman" w:eastAsia="仿宋_GB2312" w:cs="Times New Roman"/>
          <w:color w:val="000000" w:themeColor="text1"/>
          <w:spacing w:val="-6"/>
          <w:sz w:val="32"/>
          <w:szCs w:val="32"/>
          <w14:textFill>
            <w14:solidFill>
              <w14:schemeClr w14:val="tx1"/>
            </w14:solidFill>
          </w14:textFill>
        </w:rPr>
        <w:t>基础设施完善工程、产业扶贫工程、金融扶贫工程、健康扶贫工程、社会帮扶工程、新兴产业扶贫工程、兜底保障工程、精神扶贫工程、生态文明建设工程、易地搬迁工程。</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两不愁、三保障：</w:t>
      </w:r>
      <w:r>
        <w:rPr>
          <w:rFonts w:ascii="Times New Roman" w:hAnsi="Times New Roman" w:eastAsia="仿宋_GB2312" w:cs="Times New Roman"/>
          <w:color w:val="000000" w:themeColor="text1"/>
          <w:sz w:val="32"/>
          <w:szCs w:val="32"/>
          <w14:textFill>
            <w14:solidFill>
              <w14:schemeClr w14:val="tx1"/>
            </w14:solidFill>
          </w14:textFill>
        </w:rPr>
        <w:t>农村贫困人口不愁吃、不愁穿，农村贫困人口义务教育、基本医疗、住房安全有保障。</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1+4+X特色农业产业体系：</w:t>
      </w:r>
      <w:r>
        <w:rPr>
          <w:rFonts w:ascii="Times New Roman" w:hAnsi="Times New Roman" w:eastAsia="仿宋_GB2312" w:cs="Times New Roman"/>
          <w:color w:val="000000" w:themeColor="text1"/>
          <w:sz w:val="32"/>
          <w:szCs w:val="32"/>
          <w14:textFill>
            <w14:solidFill>
              <w14:schemeClr w14:val="tx1"/>
            </w14:solidFill>
          </w14:textFill>
        </w:rPr>
        <w:t>1是指滩羊，4是指黄花、小杂粮、牧草和中药材，X是</w:t>
      </w:r>
      <w:r>
        <w:rPr>
          <w:rFonts w:hint="eastAsia" w:ascii="Times New Roman" w:hAnsi="Times New Roman" w:eastAsia="仿宋_GB2312" w:cs="Times New Roman"/>
          <w:color w:val="000000" w:themeColor="text1"/>
          <w:sz w:val="32"/>
          <w:szCs w:val="32"/>
          <w14:textFill>
            <w14:solidFill>
              <w14:schemeClr w14:val="tx1"/>
            </w14:solidFill>
          </w14:textFill>
        </w:rPr>
        <w:t>发展生猪、肉牛（驴）、油料、西甜瓜、蔬菜等适合家庭经营的产业</w:t>
      </w:r>
      <w:r>
        <w:rPr>
          <w:rFonts w:ascii="Times New Roman" w:hAnsi="Times New Roman" w:eastAsia="仿宋_GB2312" w:cs="Times New Roman"/>
          <w:color w:val="000000" w:themeColor="text1"/>
          <w:sz w:val="32"/>
          <w:szCs w:val="32"/>
          <w14:textFill>
            <w14:solidFill>
              <w14:schemeClr w14:val="tx1"/>
            </w14:solidFill>
          </w14:textFill>
        </w:rPr>
        <w:t>。</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一主三副、多点协作：</w:t>
      </w:r>
      <w:r>
        <w:rPr>
          <w:rFonts w:ascii="Times New Roman" w:hAnsi="Times New Roman" w:eastAsia="仿宋_GB2312" w:cs="Times New Roman"/>
          <w:color w:val="000000" w:themeColor="text1"/>
          <w:sz w:val="32"/>
          <w:szCs w:val="32"/>
          <w14:textFill>
            <w14:solidFill>
              <w14:schemeClr w14:val="tx1"/>
            </w14:solidFill>
          </w14:textFill>
        </w:rPr>
        <w:t>1个城市商业主中心，3个城市商业副中心，若干社区商业中心、商业(特色)街及乡镇商业相结合的县域商业体系。</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四个意识：</w:t>
      </w:r>
      <w:r>
        <w:rPr>
          <w:rFonts w:ascii="Times New Roman" w:hAnsi="Times New Roman" w:eastAsia="仿宋_GB2312" w:cs="Times New Roman"/>
          <w:color w:val="000000" w:themeColor="text1"/>
          <w:sz w:val="32"/>
          <w:szCs w:val="32"/>
          <w14:textFill>
            <w14:solidFill>
              <w14:schemeClr w14:val="tx1"/>
            </w14:solidFill>
          </w14:textFill>
        </w:rPr>
        <w:t>政治意识、大局意识、核心意识、看齐意识。</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四个自信：</w:t>
      </w:r>
      <w:r>
        <w:rPr>
          <w:rFonts w:ascii="Times New Roman" w:hAnsi="Times New Roman" w:eastAsia="仿宋_GB2312" w:cs="Times New Roman"/>
          <w:color w:val="000000" w:themeColor="text1"/>
          <w:sz w:val="32"/>
          <w:szCs w:val="32"/>
          <w14:textFill>
            <w14:solidFill>
              <w14:schemeClr w14:val="tx1"/>
            </w14:solidFill>
          </w14:textFill>
        </w:rPr>
        <w:t>中国特色社会主义道路自信、理论自信、制度自信、文化自信。</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两个维护：</w:t>
      </w:r>
      <w:r>
        <w:rPr>
          <w:rFonts w:ascii="Times New Roman" w:hAnsi="Times New Roman" w:eastAsia="仿宋_GB2312" w:cs="Times New Roman"/>
          <w:color w:val="000000" w:themeColor="text1"/>
          <w:sz w:val="32"/>
          <w:szCs w:val="32"/>
          <w14:textFill>
            <w14:solidFill>
              <w14:schemeClr w14:val="tx1"/>
            </w14:solidFill>
          </w14:textFill>
        </w:rPr>
        <w:t>坚决维护习近平总书记在党中央和全党的核心地位，坚决维护党中央权威和集中统一领导。</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四联机制：</w:t>
      </w:r>
      <w:r>
        <w:rPr>
          <w:rFonts w:ascii="Times New Roman" w:hAnsi="Times New Roman" w:eastAsia="仿宋_GB2312" w:cs="Times New Roman"/>
          <w:color w:val="000000" w:themeColor="text1"/>
          <w:sz w:val="32"/>
          <w:szCs w:val="32"/>
          <w14:textFill>
            <w14:solidFill>
              <w14:schemeClr w14:val="tx1"/>
            </w14:solidFill>
          </w14:textFill>
        </w:rPr>
        <w:t>组织联建、业务联帮、工作联动、服务联合。</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五调对接：</w:t>
      </w:r>
      <w:r>
        <w:rPr>
          <w:rFonts w:ascii="Times New Roman" w:hAnsi="Times New Roman" w:eastAsia="仿宋_GB2312" w:cs="Times New Roman"/>
          <w:color w:val="000000" w:themeColor="text1"/>
          <w:sz w:val="32"/>
          <w:szCs w:val="32"/>
          <w14:textFill>
            <w14:solidFill>
              <w14:schemeClr w14:val="tx1"/>
            </w14:solidFill>
          </w14:textFill>
        </w:rPr>
        <w:t>公调、检调、诉调、访调和援调。</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一带一路：</w:t>
      </w:r>
      <w:r>
        <w:rPr>
          <w:rFonts w:ascii="Times New Roman" w:hAnsi="Times New Roman" w:eastAsia="仿宋_GB2312" w:cs="Times New Roman"/>
          <w:color w:val="000000" w:themeColor="text1"/>
          <w:sz w:val="32"/>
          <w:szCs w:val="32"/>
          <w14:textFill>
            <w14:solidFill>
              <w14:schemeClr w14:val="tx1"/>
            </w14:solidFill>
          </w14:textFill>
        </w:rPr>
        <w:t>丝绸之路经济带、21世纪海上丝绸之路。</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五位一体：</w:t>
      </w:r>
      <w:r>
        <w:rPr>
          <w:rFonts w:ascii="Times New Roman" w:hAnsi="Times New Roman" w:eastAsia="仿宋_GB2312" w:cs="Times New Roman"/>
          <w:color w:val="000000" w:themeColor="text1"/>
          <w:sz w:val="32"/>
          <w:szCs w:val="32"/>
          <w14:textFill>
            <w14:solidFill>
              <w14:schemeClr w14:val="tx1"/>
            </w14:solidFill>
          </w14:textFill>
        </w:rPr>
        <w:t>经济建设、政治建设、文化建设、社会建设、生态文明建设。</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四个全面：</w:t>
      </w:r>
      <w:r>
        <w:rPr>
          <w:rFonts w:ascii="Times New Roman" w:hAnsi="Times New Roman" w:eastAsia="仿宋_GB2312" w:cs="Times New Roman"/>
          <w:color w:val="000000" w:themeColor="text1"/>
          <w:sz w:val="32"/>
          <w:szCs w:val="32"/>
          <w14:textFill>
            <w14:solidFill>
              <w14:schemeClr w14:val="tx1"/>
            </w14:solidFill>
          </w14:textFill>
        </w:rPr>
        <w:t>全面建成小康社会、全面深化改革、全面依法治国、全面从严治党。</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一河三山：</w:t>
      </w:r>
      <w:r>
        <w:rPr>
          <w:rFonts w:ascii="Times New Roman" w:hAnsi="Times New Roman" w:eastAsia="仿宋_GB2312" w:cs="Times New Roman"/>
          <w:color w:val="000000" w:themeColor="text1"/>
          <w:sz w:val="32"/>
          <w:szCs w:val="32"/>
          <w14:textFill>
            <w14:solidFill>
              <w14:schemeClr w14:val="tx1"/>
            </w14:solidFill>
          </w14:textFill>
        </w:rPr>
        <w:t>黄河、六盘山、贺兰山和罗山。</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一带三区：</w:t>
      </w:r>
      <w:r>
        <w:rPr>
          <w:rFonts w:ascii="Times New Roman" w:hAnsi="Times New Roman" w:eastAsia="仿宋_GB2312" w:cs="Times New Roman"/>
          <w:color w:val="000000" w:themeColor="text1"/>
          <w:sz w:val="32"/>
          <w:szCs w:val="32"/>
          <w14:textFill>
            <w14:solidFill>
              <w14:schemeClr w14:val="tx1"/>
            </w14:solidFill>
          </w14:textFill>
        </w:rPr>
        <w:t>一带是指黄河生态经济带，三区是指北部绿色发展区、中部防沙治沙区、南部水源涵养区。</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农业接二连三：</w:t>
      </w:r>
      <w:r>
        <w:rPr>
          <w:rFonts w:ascii="Times New Roman" w:hAnsi="Times New Roman" w:eastAsia="仿宋_GB2312" w:cs="Times New Roman"/>
          <w:color w:val="000000" w:themeColor="text1"/>
          <w:sz w:val="32"/>
          <w:szCs w:val="32"/>
          <w14:textFill>
            <w14:solidFill>
              <w14:schemeClr w14:val="tx1"/>
            </w14:solidFill>
          </w14:textFill>
        </w:rPr>
        <w:t>农业与第二产业、第三产业有机融合、有效衔接。</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九通一平：</w:t>
      </w:r>
      <w:r>
        <w:rPr>
          <w:rFonts w:ascii="Times New Roman" w:hAnsi="Times New Roman" w:eastAsia="仿宋_GB2312" w:cs="Times New Roman"/>
          <w:color w:val="000000" w:themeColor="text1"/>
          <w:sz w:val="32"/>
          <w:szCs w:val="32"/>
          <w14:textFill>
            <w14:solidFill>
              <w14:schemeClr w14:val="tx1"/>
            </w14:solidFill>
          </w14:textFill>
        </w:rPr>
        <w:t>九通是指通市政道路、雨水、污水、自来水、天然气、电力、电信、热力及有线电视管线，一平是指土地地貌自然平整。</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一心三横一纵四板块：</w:t>
      </w:r>
      <w:r>
        <w:rPr>
          <w:rFonts w:ascii="Times New Roman" w:hAnsi="Times New Roman" w:eastAsia="仿宋_GB2312" w:cs="Times New Roman"/>
          <w:color w:val="000000" w:themeColor="text1"/>
          <w:sz w:val="32"/>
          <w:szCs w:val="32"/>
          <w14:textFill>
            <w14:solidFill>
              <w14:schemeClr w14:val="tx1"/>
            </w14:solidFill>
          </w14:textFill>
        </w:rPr>
        <w:t>一心即东部旅游环线游客集散中心。三横即以长城旅游风景、通用机场、革命历史纪念园、花马池古城等为主题，集“红色教育、休闲观光、运动体验”为一体的长城观光旅游带；以哈巴湖、沙泉湾、花马湖、灵应山等生态资源为主题，集“休闲康养、自驾观光、草原美景”为一体的生态自驾旅游带；以麻黄山窑洞、惠安堡盐湖等为主题，集“民俗体验、黄土风情、人文景观”为一体的民俗风情旅游带。一纵即以兴武营、曹泥洼、何新庄等特色乡村为主题，集“边塞文化、乡村休闲、品味农家”为一体的乡村体验旅游带。四版块即以长城关为核心的长城边塞文化版块、以哈巴湖为核心的生态休闲版块、以何新庄为核心的民俗体验版块和以革命历史纪念园为核心的红色文化教育版块。</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互联网+：</w:t>
      </w:r>
      <w:r>
        <w:rPr>
          <w:rFonts w:ascii="Times New Roman" w:hAnsi="Times New Roman" w:eastAsia="仿宋_GB2312" w:cs="Times New Roman"/>
          <w:color w:val="000000" w:themeColor="text1"/>
          <w:sz w:val="32"/>
          <w:szCs w:val="32"/>
          <w14:textFill>
            <w14:solidFill>
              <w14:schemeClr w14:val="tx1"/>
            </w14:solidFill>
          </w14:textFill>
        </w:rPr>
        <w:t>利用信息通信技术以及互联网平台，让互联网与传统行业进行深度融合，创造新的发展生态。</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多规合一：</w:t>
      </w:r>
      <w:r>
        <w:rPr>
          <w:rFonts w:ascii="Times New Roman" w:hAnsi="Times New Roman" w:eastAsia="仿宋_GB2312" w:cs="Times New Roman"/>
          <w:color w:val="000000" w:themeColor="text1"/>
          <w:sz w:val="32"/>
          <w:szCs w:val="32"/>
          <w14:textFill>
            <w14:solidFill>
              <w14:schemeClr w14:val="tx1"/>
            </w14:solidFill>
          </w14:textFill>
        </w:rPr>
        <w:t>国民经济和社会发展规划、城乡规划、土地利用规划、环境保护、文物保护、林地与耕地保护、综合交通、水资源、文化与生态旅游资源、社会事业规划等各类规划的衔接。</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一城三镇多点：</w:t>
      </w:r>
      <w:r>
        <w:rPr>
          <w:rFonts w:ascii="Times New Roman" w:hAnsi="Times New Roman" w:eastAsia="仿宋_GB2312" w:cs="Times New Roman"/>
          <w:color w:val="000000" w:themeColor="text1"/>
          <w:sz w:val="32"/>
          <w:szCs w:val="32"/>
          <w14:textFill>
            <w14:solidFill>
              <w14:schemeClr w14:val="tx1"/>
            </w14:solidFill>
          </w14:textFill>
        </w:rPr>
        <w:t>一城指盐池县城城区，三镇指高沙窝镇、惠安堡镇、大水坑镇三个中心镇，多点指其他乡镇驻地、中心村和特色产业发展集聚区等乡村振兴增长极。</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一轴三区：</w:t>
      </w:r>
      <w:r>
        <w:rPr>
          <w:rFonts w:ascii="Times New Roman" w:hAnsi="Times New Roman" w:eastAsia="仿宋_GB2312" w:cs="Times New Roman"/>
          <w:color w:val="000000" w:themeColor="text1"/>
          <w:sz w:val="32"/>
          <w:szCs w:val="32"/>
          <w14:textFill>
            <w14:solidFill>
              <w14:schemeClr w14:val="tx1"/>
            </w14:solidFill>
          </w14:textFill>
        </w:rPr>
        <w:t>一轴是指城北生态水系，三区是指长城关、盐州园、北环综合农贸市场。</w:t>
      </w:r>
    </w:p>
    <w:p>
      <w:pPr>
        <w:pStyle w:val="40"/>
        <w:numPr>
          <w:ilvl w:val="0"/>
          <w:numId w:val="14"/>
        </w:numPr>
        <w:adjustRightInd w:val="0"/>
        <w:snapToGrid w:val="0"/>
        <w:spacing w:line="580" w:lineRule="exact"/>
        <w:ind w:left="0" w:firstLine="643"/>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四好农村路：</w:t>
      </w:r>
      <w:r>
        <w:rPr>
          <w:rFonts w:ascii="Times New Roman" w:hAnsi="Times New Roman" w:eastAsia="仿宋_GB2312" w:cs="Times New Roman"/>
          <w:color w:val="000000" w:themeColor="text1"/>
          <w:sz w:val="32"/>
          <w:szCs w:val="32"/>
          <w14:textFill>
            <w14:solidFill>
              <w14:schemeClr w14:val="tx1"/>
            </w14:solidFill>
          </w14:textFill>
        </w:rPr>
        <w:t>把农村公路建好、管好、护好、运营好。</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三全两高一大：</w:t>
      </w:r>
      <w:r>
        <w:rPr>
          <w:rFonts w:ascii="Times New Roman" w:hAnsi="Times New Roman" w:eastAsia="仿宋_GB2312" w:cs="Times New Roman"/>
          <w:color w:val="000000" w:themeColor="text1"/>
          <w:sz w:val="32"/>
          <w:szCs w:val="32"/>
          <w14:textFill>
            <w14:solidFill>
              <w14:schemeClr w14:val="tx1"/>
            </w14:solidFill>
          </w14:textFill>
        </w:rPr>
        <w:t>三全是指教学应用覆盖全体教师、学习应用覆盖全体适龄学生、数字校园建设覆盖全部学校。两高是指着力提高信息技术应用水平、着力提高广大师生信息素养。一大是指建设“互联网+教育”大平台。</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两个带头人工程：</w:t>
      </w:r>
      <w:r>
        <w:rPr>
          <w:rFonts w:ascii="Times New Roman" w:hAnsi="Times New Roman" w:eastAsia="仿宋_GB2312" w:cs="Times New Roman"/>
          <w:color w:val="000000" w:themeColor="text1"/>
          <w:sz w:val="32"/>
          <w:szCs w:val="32"/>
          <w14:textFill>
            <w14:solidFill>
              <w14:schemeClr w14:val="tx1"/>
            </w14:solidFill>
          </w14:textFill>
        </w:rPr>
        <w:t>建强村党组织带头人工程、壮大农村致富带头人工程。</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枫桥经验：</w:t>
      </w:r>
      <w:r>
        <w:rPr>
          <w:rFonts w:ascii="Times New Roman" w:hAnsi="Times New Roman" w:eastAsia="仿宋_GB2312" w:cs="Times New Roman"/>
          <w:color w:val="000000" w:themeColor="text1"/>
          <w:sz w:val="32"/>
          <w:szCs w:val="32"/>
          <w14:textFill>
            <w14:solidFill>
              <w14:schemeClr w14:val="tx1"/>
            </w14:solidFill>
          </w14:textFill>
        </w:rPr>
        <w:t>发动和依靠群众，坚持矛盾不上交，就地解决。实现捕人少，治安好。</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自治区重点特色“九大产业”：</w:t>
      </w:r>
      <w:r>
        <w:rPr>
          <w:rFonts w:ascii="Times New Roman" w:hAnsi="Times New Roman" w:eastAsia="仿宋_GB2312" w:cs="Times New Roman"/>
          <w:color w:val="000000" w:themeColor="text1"/>
          <w:sz w:val="32"/>
          <w:szCs w:val="32"/>
          <w14:textFill>
            <w14:solidFill>
              <w14:schemeClr w14:val="tx1"/>
            </w14:solidFill>
          </w14:textFill>
        </w:rPr>
        <w:t>枸杞产业、葡萄酒产业、奶产业、肉牛和滩羊产业、电子信息产业、新型材料产业、绿色食品产业、清洁能源产业、文化旅游产业。</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吴忠市重点特色“十大产业”：</w:t>
      </w:r>
      <w:r>
        <w:rPr>
          <w:rFonts w:ascii="Times New Roman" w:hAnsi="Times New Roman" w:eastAsia="仿宋_GB2312" w:cs="Times New Roman"/>
          <w:color w:val="000000" w:themeColor="text1"/>
          <w:sz w:val="32"/>
          <w:szCs w:val="32"/>
          <w14:textFill>
            <w14:solidFill>
              <w14:schemeClr w14:val="tx1"/>
            </w14:solidFill>
          </w14:textFill>
        </w:rPr>
        <w:t>枸杞产业、葡萄酒产业、奶产业和黄花菜产业、肉牛和滩羊产业、电子信息产业、新型材料产业、绿色食品产业、清洁能源产业、装备制造和现代纺织产业、文化旅游和餐饮产业。</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盐池县重点特色“六大产业”：</w:t>
      </w:r>
      <w:r>
        <w:rPr>
          <w:rFonts w:ascii="Times New Roman" w:hAnsi="Times New Roman" w:eastAsia="仿宋_GB2312" w:cs="Times New Roman"/>
          <w:color w:val="000000" w:themeColor="text1"/>
          <w:sz w:val="32"/>
          <w:szCs w:val="32"/>
          <w14:textFill>
            <w14:solidFill>
              <w14:schemeClr w14:val="tx1"/>
            </w14:solidFill>
          </w14:textFill>
        </w:rPr>
        <w:t>滩羊及牧草产业、肉（奶）牛及畜禽产业、新型材料产业、绿色食品产业、清洁能源产业、文化旅游及物流产业。</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四大行动：</w:t>
      </w:r>
      <w:r>
        <w:rPr>
          <w:rFonts w:ascii="Times New Roman" w:hAnsi="Times New Roman" w:eastAsia="仿宋_GB2312" w:cs="Times New Roman"/>
          <w:color w:val="000000" w:themeColor="text1"/>
          <w:sz w:val="32"/>
          <w:szCs w:val="32"/>
          <w14:textFill>
            <w14:solidFill>
              <w14:schemeClr w14:val="tx1"/>
            </w14:solidFill>
          </w14:textFill>
        </w:rPr>
        <w:t>学校党建和德育品牌创建、名师名校长培育、课堂教学质量增优、校园治理能力提升行动。</w:t>
      </w:r>
    </w:p>
    <w:p>
      <w:pPr>
        <w:pStyle w:val="40"/>
        <w:numPr>
          <w:ilvl w:val="0"/>
          <w:numId w:val="14"/>
        </w:numPr>
        <w:adjustRightInd w:val="0"/>
        <w:snapToGrid w:val="0"/>
        <w:spacing w:line="580" w:lineRule="exact"/>
        <w:ind w:left="0"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六牌联创：</w:t>
      </w:r>
      <w:r>
        <w:rPr>
          <w:rFonts w:ascii="Times New Roman" w:hAnsi="Times New Roman" w:eastAsia="仿宋_GB2312" w:cs="Times New Roman"/>
          <w:color w:val="000000" w:themeColor="text1"/>
          <w:sz w:val="32"/>
          <w:szCs w:val="32"/>
          <w14:textFill>
            <w14:solidFill>
              <w14:schemeClr w14:val="tx1"/>
            </w14:solidFill>
          </w14:textFill>
        </w:rPr>
        <w:t>创建全区学前教育普及普惠县、义务教育优质均衡发展县、“五育”并举示范县、体教融合示范县、校园治理示范县、全国未成年人思想道德建设先进县。</w:t>
      </w:r>
    </w:p>
    <w:p>
      <w:pPr>
        <w:adjustRightInd w:val="0"/>
        <w:snapToGrid w:val="0"/>
        <w:spacing w:line="580" w:lineRule="exact"/>
        <w:rPr>
          <w:rFonts w:ascii="Times New Roman" w:hAnsi="Times New Roman" w:eastAsia="仿宋_GB2312" w:cs="Times New Roman"/>
          <w:color w:val="000000" w:themeColor="text1"/>
          <w:sz w:val="32"/>
          <w:szCs w:val="32"/>
          <w14:textFill>
            <w14:solidFill>
              <w14:schemeClr w14:val="tx1"/>
            </w14:solidFill>
          </w14:textFill>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r>
        <w:rPr>
          <w:rFonts w:ascii="Times New Roman" w:hAnsi="Times New Roman" w:eastAsia="仿宋_GB2312" w:cs="Times New Roman"/>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167640</wp:posOffset>
                </wp:positionV>
                <wp:extent cx="5715000" cy="0"/>
                <wp:effectExtent l="0" t="0" r="19050" b="1905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3.2pt;height:0pt;width:450pt;z-index:251662336;mso-width-relative:page;mso-height-relative:page;" filled="f" stroked="t" coordsize="21600,21600" o:gfxdata="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tk0fTAAAA&#10;BgEAAA8AAAAAAAAAAQAgAAAAIgAAAGRycy9kb3ducmV2LnhtbFBLAQIUABQAAAAIAIdO4kAvjLJh&#10;6QEAALkDAAAOAAAAAAAAAAEAIAAAACIBAABkcnMvZTJvRG9jLnhtbFBLBQYAAAAABgAGAFkBAAB9&#10;BQAAAAA=&#10;">
                <v:fill on="f" focussize="0,0"/>
                <v:stroke weight="1.5pt" color="#000000" joinstyle="round"/>
                <v:imagedata o:title=""/>
                <o:lock v:ext="edit" aspectratio="f"/>
              </v:line>
            </w:pict>
          </mc:Fallback>
        </mc:AlternateContent>
      </w:r>
    </w:p>
    <w:p>
      <w:pPr>
        <w:spacing w:line="400" w:lineRule="exact"/>
        <w:ind w:firstLine="210" w:firstLineChars="100"/>
      </w:pPr>
      <w:r>
        <w:rPr>
          <w:rFonts w:ascii="Times New Roman" w:hAnsi="Times New Roman" w:eastAsia="仿宋_GB2312" w:cs="Times New Roma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321945</wp:posOffset>
                </wp:positionV>
                <wp:extent cx="5715000" cy="0"/>
                <wp:effectExtent l="0" t="0" r="19050" b="1905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25.35pt;height:0pt;width:450pt;z-index:251661312;mso-width-relative:page;mso-height-relative:page;" filled="f" stroked="t" coordsize="21600,21600" o:gfxdata="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Qh7z9IAAAAG&#10;AQAADwAAAAAAAAABACAAAAAiAAAAZHJzL2Rvd25yZXYueG1sUEsBAhQAFAAAAAgAh07iQOuxQ17p&#10;AQAAuQMAAA4AAAAAAAAAAQAgAAAAIQEAAGRycy9lMm9Eb2MueG1sUEsFBgAAAAAGAAYAWQEAAHwF&#10;AAAAAA==&#10;">
                <v:fill on="f" focussize="0,0"/>
                <v:stroke weight="1.5pt" color="#000000" joinstyle="round"/>
                <v:imagedata o:title=""/>
                <o:lock v:ext="edit" aspectratio="f"/>
              </v:line>
            </w:pict>
          </mc:Fallback>
        </mc:AlternateContent>
      </w:r>
      <w:r>
        <w:rPr>
          <w:rFonts w:ascii="Times New Roman" w:hAnsi="Times New Roman" w:eastAsia="仿宋_GB2312" w:cs="Times New Roman"/>
          <w:sz w:val="28"/>
          <w:szCs w:val="28"/>
        </w:rPr>
        <w:t>盐池县人民政府办公室                     2021年4月2</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日印发</w:t>
      </w:r>
    </w:p>
    <w:sectPr>
      <w:pgSz w:w="11906" w:h="16838"/>
      <w:pgMar w:top="1417" w:right="1474" w:bottom="1417" w:left="1588" w:header="851" w:footer="1134"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48AE2F-BD27-434E-8237-F496E4B0ACD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D7EDDA8-145F-4004-A4C4-C4DF86A6D83F}"/>
  </w:font>
  <w:font w:name="等线">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等线 Light">
    <w:altName w:val="宋体"/>
    <w:panose1 w:val="00000000000000000000"/>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2A5D30B6-27F4-41F3-8C36-1E192D531B8A}"/>
  </w:font>
  <w:font w:name="方正黑体_GBK">
    <w:altName w:val="微软雅黑"/>
    <w:panose1 w:val="03000509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D1AA017C-996C-48AC-9D23-78306E842E23}"/>
  </w:font>
  <w:font w:name="方正小标宋简体">
    <w:panose1 w:val="02010601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embedRegular r:id="rId5" w:fontKey="{F699614D-EE6E-4B35-B985-CB3204FA2DC2}"/>
  </w:font>
  <w:font w:name="楷体_GB2312">
    <w:panose1 w:val="02010609030101010101"/>
    <w:charset w:val="86"/>
    <w:family w:val="modern"/>
    <w:pitch w:val="default"/>
    <w:sig w:usb0="00000001" w:usb1="080E0000" w:usb2="00000000" w:usb3="00000000" w:csb0="00040000" w:csb1="00000000"/>
    <w:embedRegular r:id="rId6" w:fontKey="{68BF87E7-6E64-4D71-8B22-51E168575192}"/>
  </w:font>
  <w:font w:name="微软雅黑">
    <w:panose1 w:val="020B0503020204020204"/>
    <w:charset w:val="86"/>
    <w:family w:val="swiss"/>
    <w:pitch w:val="default"/>
    <w:sig w:usb0="80000287" w:usb1="280F3C52" w:usb2="00000016" w:usb3="00000000" w:csb0="0004001F" w:csb1="00000000"/>
    <w:embedRegular r:id="rId7" w:fontKey="{30783C39-9174-42CE-A58D-73D602821B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-3810</wp:posOffset>
              </wp:positionV>
              <wp:extent cx="1828800" cy="1828800"/>
              <wp:effectExtent l="0" t="0" r="0" b="0"/>
              <wp:wrapNone/>
              <wp:docPr id="4"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jc w:val="center"/>
                          </w:pPr>
                        </w:p>
                      </w:txbxContent>
                    </wps:txbx>
                    <wps:bodyPr wrap="none" lIns="0" tIns="0" rIns="0" bIns="0">
                      <a:spAutoFit/>
                    </wps:bodyPr>
                  </wps:wsp>
                </a:graphicData>
              </a:graphic>
            </wp:anchor>
          </w:drawing>
        </mc:Choice>
        <mc:Fallback>
          <w:pict>
            <v:shape id="文本框 18" o:spid="_x0000_s1026" o:spt="202" type="#_x0000_t202" style="position:absolute;left:0pt;margin-top:-0.3pt;height:144pt;width:144pt;mso-position-horizontal:outside;mso-position-horizontal-relative:margin;mso-wrap-style:none;z-index:251661312;mso-width-relative:page;mso-height-relative:page;" filled="f" stroked="f" coordsize="21600,21600" o:gfxdata="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n0Xc/SAAAABgEAAA8AAAAAAAAAAQAgAAAAIgAAAGRycy9kb3ducmV2LnhtbFBL&#10;AQIUABQAAAAIAIdO4kCvgeNKwwEAAI4DAAAOAAAAAAAAAAEAIAAAACEBAABkcnMvZTJvRG9jLnht&#10;bFBLBQYAAAAABgAGAFkBAABWBQAAAAA=&#10;">
              <v:fill on="f" focussize="0,0"/>
              <v:stroke on="f"/>
              <v:imagedata o:title=""/>
              <o:lock v:ext="edit" aspectratio="f"/>
              <v:textbox inset="0mm,0mm,0mm,0mm" style="mso-fit-shape-to-text:t;">
                <w:txbxContent>
                  <w:p>
                    <w:pPr>
                      <w:pStyle w:val="14"/>
                      <w:jc w:val="cente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Times New Roman" w:hAnsi="Times New Roman" w:cs="Times New Roman"/>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31268783"/>
                          </w:sdtPr>
                          <w:sdtEndPr>
                            <w:rPr>
                              <w:rFonts w:ascii="Times New Roman" w:hAnsi="Times New Roman" w:cs="Times New Roman"/>
                              <w:sz w:val="28"/>
                              <w:szCs w:val="28"/>
                            </w:rPr>
                          </w:sdtEndPr>
                          <w:sdt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31268783"/>
                    </w:sdtPr>
                    <w:sdtEndPr>
                      <w:rPr>
                        <w:rFonts w:ascii="Times New Roman" w:hAnsi="Times New Roman" w:cs="Times New Roman"/>
                        <w:sz w:val="28"/>
                        <w:szCs w:val="28"/>
                      </w:rPr>
                    </w:sdtEndPr>
                    <w:sdt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vSIcIBAACO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M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3r0iHCAQAAjgMAAA4AAAAAAAAAAQAgAAAAHgEAAGRycy9lMm9Eb2MueG1sUEsF&#10;BgAAAAAGAAYAWQEAAFIFAAAAAA==&#10;">
              <v:fill on="f" focussize="0,0"/>
              <v:stroke on="f"/>
              <v:imagedata o:title=""/>
              <o:lock v:ext="edit" aspectratio="f"/>
              <v:textbox inset="0mm,0mm,0mm,0mm" style="mso-fit-shape-to-text:t;">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t xml:space="preserve"> — </w:t>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t xml:space="preserve"> —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9011A"/>
    <w:multiLevelType w:val="multilevel"/>
    <w:tmpl w:val="07A9011A"/>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0FA97A63"/>
    <w:multiLevelType w:val="multilevel"/>
    <w:tmpl w:val="0FA97A63"/>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
    <w:nsid w:val="104B40DA"/>
    <w:multiLevelType w:val="multilevel"/>
    <w:tmpl w:val="104B40DA"/>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
    <w:nsid w:val="1A86405B"/>
    <w:multiLevelType w:val="multilevel"/>
    <w:tmpl w:val="1A86405B"/>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205224F8"/>
    <w:multiLevelType w:val="multilevel"/>
    <w:tmpl w:val="205224F8"/>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3436809"/>
    <w:multiLevelType w:val="multilevel"/>
    <w:tmpl w:val="23436809"/>
    <w:lvl w:ilvl="0" w:tentative="0">
      <w:start w:val="1"/>
      <w:numFmt w:val="decimal"/>
      <w:pStyle w:val="50"/>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6">
    <w:nsid w:val="2EF36464"/>
    <w:multiLevelType w:val="multilevel"/>
    <w:tmpl w:val="2EF36464"/>
    <w:lvl w:ilvl="0" w:tentative="0">
      <w:start w:val="1"/>
      <w:numFmt w:val="decimal"/>
      <w:lvlText w:val="%1."/>
      <w:lvlJc w:val="left"/>
      <w:pPr>
        <w:ind w:left="1022" w:hanging="420"/>
      </w:pPr>
      <w:rPr>
        <w:b w:val="0"/>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4ADB0785"/>
    <w:multiLevelType w:val="multilevel"/>
    <w:tmpl w:val="4ADB0785"/>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8">
    <w:nsid w:val="57A94537"/>
    <w:multiLevelType w:val="multilevel"/>
    <w:tmpl w:val="57A94537"/>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9">
    <w:nsid w:val="58113FA9"/>
    <w:multiLevelType w:val="multilevel"/>
    <w:tmpl w:val="58113FA9"/>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0">
    <w:nsid w:val="59723866"/>
    <w:multiLevelType w:val="multilevel"/>
    <w:tmpl w:val="59723866"/>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5DAE296C"/>
    <w:multiLevelType w:val="multilevel"/>
    <w:tmpl w:val="5DAE296C"/>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2">
    <w:nsid w:val="78372BAE"/>
    <w:multiLevelType w:val="multilevel"/>
    <w:tmpl w:val="78372BAE"/>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3">
    <w:nsid w:val="7FF23D21"/>
    <w:multiLevelType w:val="multilevel"/>
    <w:tmpl w:val="7FF23D21"/>
    <w:lvl w:ilvl="0" w:tentative="0">
      <w:start w:val="1"/>
      <w:numFmt w:val="decimal"/>
      <w:lvlText w:val="%1."/>
      <w:lvlJc w:val="left"/>
      <w:pPr>
        <w:ind w:left="227" w:firstLine="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5"/>
  </w:num>
  <w:num w:numId="2">
    <w:abstractNumId w:val="7"/>
  </w:num>
  <w:num w:numId="3">
    <w:abstractNumId w:val="8"/>
  </w:num>
  <w:num w:numId="4">
    <w:abstractNumId w:val="10"/>
  </w:num>
  <w:num w:numId="5">
    <w:abstractNumId w:val="3"/>
  </w:num>
  <w:num w:numId="6">
    <w:abstractNumId w:val="12"/>
  </w:num>
  <w:num w:numId="7">
    <w:abstractNumId w:val="1"/>
  </w:num>
  <w:num w:numId="8">
    <w:abstractNumId w:val="11"/>
  </w:num>
  <w:num w:numId="9">
    <w:abstractNumId w:val="0"/>
  </w:num>
  <w:num w:numId="10">
    <w:abstractNumId w:val="2"/>
  </w:num>
  <w:num w:numId="11">
    <w:abstractNumId w:val="13"/>
  </w:num>
  <w:num w:numId="12">
    <w:abstractNumId w:val="4"/>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displayBackgroundShape w:val="1"/>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zNzM3YTk3ZDg2YTU4ZGEwNjZlNDQwOTlmZTJjZmEifQ=="/>
  </w:docVars>
  <w:rsids>
    <w:rsidRoot w:val="009B16D3"/>
    <w:rsid w:val="00001836"/>
    <w:rsid w:val="00001CB0"/>
    <w:rsid w:val="00002CC4"/>
    <w:rsid w:val="00002E16"/>
    <w:rsid w:val="00002F1E"/>
    <w:rsid w:val="000031CB"/>
    <w:rsid w:val="000055AF"/>
    <w:rsid w:val="000057F3"/>
    <w:rsid w:val="0000658C"/>
    <w:rsid w:val="00007BA1"/>
    <w:rsid w:val="00011473"/>
    <w:rsid w:val="000119A5"/>
    <w:rsid w:val="00011C7B"/>
    <w:rsid w:val="0001285A"/>
    <w:rsid w:val="00013AA0"/>
    <w:rsid w:val="00015BDD"/>
    <w:rsid w:val="00016143"/>
    <w:rsid w:val="000174A4"/>
    <w:rsid w:val="00022709"/>
    <w:rsid w:val="00022D03"/>
    <w:rsid w:val="00022F72"/>
    <w:rsid w:val="000248C8"/>
    <w:rsid w:val="000256FA"/>
    <w:rsid w:val="00026BD2"/>
    <w:rsid w:val="00027EDF"/>
    <w:rsid w:val="00030D32"/>
    <w:rsid w:val="000316D5"/>
    <w:rsid w:val="0003279B"/>
    <w:rsid w:val="00032EE5"/>
    <w:rsid w:val="00033071"/>
    <w:rsid w:val="00036EDA"/>
    <w:rsid w:val="0003705E"/>
    <w:rsid w:val="000377D5"/>
    <w:rsid w:val="00037BB0"/>
    <w:rsid w:val="00040FF9"/>
    <w:rsid w:val="000435F0"/>
    <w:rsid w:val="0004489D"/>
    <w:rsid w:val="00044B03"/>
    <w:rsid w:val="00045335"/>
    <w:rsid w:val="000455CD"/>
    <w:rsid w:val="0004586B"/>
    <w:rsid w:val="000503F6"/>
    <w:rsid w:val="00050F86"/>
    <w:rsid w:val="00052D3E"/>
    <w:rsid w:val="00053DC7"/>
    <w:rsid w:val="00054FAE"/>
    <w:rsid w:val="000565AD"/>
    <w:rsid w:val="000567B1"/>
    <w:rsid w:val="0005681C"/>
    <w:rsid w:val="00056B81"/>
    <w:rsid w:val="00060038"/>
    <w:rsid w:val="000601A7"/>
    <w:rsid w:val="00060B50"/>
    <w:rsid w:val="0006212C"/>
    <w:rsid w:val="00062E9E"/>
    <w:rsid w:val="000632DB"/>
    <w:rsid w:val="00063742"/>
    <w:rsid w:val="000718F5"/>
    <w:rsid w:val="000721DD"/>
    <w:rsid w:val="00072E48"/>
    <w:rsid w:val="00074329"/>
    <w:rsid w:val="000746FB"/>
    <w:rsid w:val="00074E23"/>
    <w:rsid w:val="000755BF"/>
    <w:rsid w:val="00075925"/>
    <w:rsid w:val="000761A7"/>
    <w:rsid w:val="00076EA2"/>
    <w:rsid w:val="00077162"/>
    <w:rsid w:val="000774A6"/>
    <w:rsid w:val="00080CE3"/>
    <w:rsid w:val="0008134D"/>
    <w:rsid w:val="00082DE8"/>
    <w:rsid w:val="00084F6E"/>
    <w:rsid w:val="00084FE8"/>
    <w:rsid w:val="00085592"/>
    <w:rsid w:val="00085EF8"/>
    <w:rsid w:val="0008666D"/>
    <w:rsid w:val="00086C8F"/>
    <w:rsid w:val="00087F06"/>
    <w:rsid w:val="0009022D"/>
    <w:rsid w:val="00090F07"/>
    <w:rsid w:val="000913CE"/>
    <w:rsid w:val="00094978"/>
    <w:rsid w:val="00095090"/>
    <w:rsid w:val="00095EB7"/>
    <w:rsid w:val="000960D2"/>
    <w:rsid w:val="00097159"/>
    <w:rsid w:val="000972DA"/>
    <w:rsid w:val="000A01FC"/>
    <w:rsid w:val="000A11DF"/>
    <w:rsid w:val="000A27B7"/>
    <w:rsid w:val="000A2A6D"/>
    <w:rsid w:val="000A2B74"/>
    <w:rsid w:val="000A3905"/>
    <w:rsid w:val="000A3EC6"/>
    <w:rsid w:val="000A5A4A"/>
    <w:rsid w:val="000A5D54"/>
    <w:rsid w:val="000A6220"/>
    <w:rsid w:val="000B092D"/>
    <w:rsid w:val="000B187B"/>
    <w:rsid w:val="000B1F16"/>
    <w:rsid w:val="000B4772"/>
    <w:rsid w:val="000B5850"/>
    <w:rsid w:val="000B58DB"/>
    <w:rsid w:val="000B5EFD"/>
    <w:rsid w:val="000B78E2"/>
    <w:rsid w:val="000C17FC"/>
    <w:rsid w:val="000C35F2"/>
    <w:rsid w:val="000C368C"/>
    <w:rsid w:val="000C4DB6"/>
    <w:rsid w:val="000C4E99"/>
    <w:rsid w:val="000C66FA"/>
    <w:rsid w:val="000C6ABC"/>
    <w:rsid w:val="000C6DCC"/>
    <w:rsid w:val="000C76F1"/>
    <w:rsid w:val="000D0466"/>
    <w:rsid w:val="000D0839"/>
    <w:rsid w:val="000D0922"/>
    <w:rsid w:val="000D1397"/>
    <w:rsid w:val="000D1A82"/>
    <w:rsid w:val="000D1C4B"/>
    <w:rsid w:val="000D1FCC"/>
    <w:rsid w:val="000D2CC5"/>
    <w:rsid w:val="000D3312"/>
    <w:rsid w:val="000D3836"/>
    <w:rsid w:val="000D4E9D"/>
    <w:rsid w:val="000D50F4"/>
    <w:rsid w:val="000D61B7"/>
    <w:rsid w:val="000D634E"/>
    <w:rsid w:val="000E0B2D"/>
    <w:rsid w:val="000E14C3"/>
    <w:rsid w:val="000E1F45"/>
    <w:rsid w:val="000E22D5"/>
    <w:rsid w:val="000E25FF"/>
    <w:rsid w:val="000E2E5B"/>
    <w:rsid w:val="000E3802"/>
    <w:rsid w:val="000E3BCD"/>
    <w:rsid w:val="000E3E79"/>
    <w:rsid w:val="000E77D2"/>
    <w:rsid w:val="000F01FA"/>
    <w:rsid w:val="000F1239"/>
    <w:rsid w:val="000F12F7"/>
    <w:rsid w:val="000F2A3A"/>
    <w:rsid w:val="000F35B0"/>
    <w:rsid w:val="000F447D"/>
    <w:rsid w:val="000F461B"/>
    <w:rsid w:val="000F4F7D"/>
    <w:rsid w:val="000F5915"/>
    <w:rsid w:val="000F5A7E"/>
    <w:rsid w:val="000F72F6"/>
    <w:rsid w:val="001003D0"/>
    <w:rsid w:val="00100A08"/>
    <w:rsid w:val="00103784"/>
    <w:rsid w:val="00104B60"/>
    <w:rsid w:val="00104F7E"/>
    <w:rsid w:val="001055C0"/>
    <w:rsid w:val="00105659"/>
    <w:rsid w:val="0010578F"/>
    <w:rsid w:val="00106251"/>
    <w:rsid w:val="00107EEC"/>
    <w:rsid w:val="00110115"/>
    <w:rsid w:val="00110266"/>
    <w:rsid w:val="00110301"/>
    <w:rsid w:val="00112870"/>
    <w:rsid w:val="0011288C"/>
    <w:rsid w:val="001130F0"/>
    <w:rsid w:val="00115D37"/>
    <w:rsid w:val="00115E5F"/>
    <w:rsid w:val="001173AE"/>
    <w:rsid w:val="001203DB"/>
    <w:rsid w:val="00120C94"/>
    <w:rsid w:val="00121416"/>
    <w:rsid w:val="001215CE"/>
    <w:rsid w:val="00122AEE"/>
    <w:rsid w:val="0012327F"/>
    <w:rsid w:val="00123727"/>
    <w:rsid w:val="00123D84"/>
    <w:rsid w:val="001241B0"/>
    <w:rsid w:val="00124E36"/>
    <w:rsid w:val="00124E68"/>
    <w:rsid w:val="00126926"/>
    <w:rsid w:val="001276EA"/>
    <w:rsid w:val="001278A2"/>
    <w:rsid w:val="00127A20"/>
    <w:rsid w:val="00127FDC"/>
    <w:rsid w:val="001307D7"/>
    <w:rsid w:val="0013097D"/>
    <w:rsid w:val="00132D7A"/>
    <w:rsid w:val="00133C68"/>
    <w:rsid w:val="00134216"/>
    <w:rsid w:val="0013485D"/>
    <w:rsid w:val="00135AFA"/>
    <w:rsid w:val="00135D20"/>
    <w:rsid w:val="00136E3E"/>
    <w:rsid w:val="00142112"/>
    <w:rsid w:val="001428CA"/>
    <w:rsid w:val="00142D62"/>
    <w:rsid w:val="0014448E"/>
    <w:rsid w:val="001468D9"/>
    <w:rsid w:val="00150343"/>
    <w:rsid w:val="00150FF2"/>
    <w:rsid w:val="0015166F"/>
    <w:rsid w:val="0015177F"/>
    <w:rsid w:val="0015321A"/>
    <w:rsid w:val="001534D2"/>
    <w:rsid w:val="001569C3"/>
    <w:rsid w:val="001633DC"/>
    <w:rsid w:val="001644B6"/>
    <w:rsid w:val="00164AE8"/>
    <w:rsid w:val="00164D12"/>
    <w:rsid w:val="00165E93"/>
    <w:rsid w:val="0016638D"/>
    <w:rsid w:val="00167634"/>
    <w:rsid w:val="001677BC"/>
    <w:rsid w:val="00171274"/>
    <w:rsid w:val="001720EF"/>
    <w:rsid w:val="001726CD"/>
    <w:rsid w:val="001745DB"/>
    <w:rsid w:val="00174A84"/>
    <w:rsid w:val="0017587D"/>
    <w:rsid w:val="0017643E"/>
    <w:rsid w:val="00180A43"/>
    <w:rsid w:val="001825F9"/>
    <w:rsid w:val="001836DE"/>
    <w:rsid w:val="0018401F"/>
    <w:rsid w:val="00184F00"/>
    <w:rsid w:val="00185C35"/>
    <w:rsid w:val="00185DBA"/>
    <w:rsid w:val="00186AF4"/>
    <w:rsid w:val="00186FA9"/>
    <w:rsid w:val="001901D9"/>
    <w:rsid w:val="00191459"/>
    <w:rsid w:val="00192964"/>
    <w:rsid w:val="00192A2C"/>
    <w:rsid w:val="00192B75"/>
    <w:rsid w:val="00193465"/>
    <w:rsid w:val="00193E7F"/>
    <w:rsid w:val="001943DE"/>
    <w:rsid w:val="00194E7D"/>
    <w:rsid w:val="001957D0"/>
    <w:rsid w:val="001958B2"/>
    <w:rsid w:val="00195B88"/>
    <w:rsid w:val="00195EE9"/>
    <w:rsid w:val="0019765C"/>
    <w:rsid w:val="00197C09"/>
    <w:rsid w:val="001A06B7"/>
    <w:rsid w:val="001A1E32"/>
    <w:rsid w:val="001A334C"/>
    <w:rsid w:val="001A40BE"/>
    <w:rsid w:val="001A4280"/>
    <w:rsid w:val="001A5688"/>
    <w:rsid w:val="001A5FFD"/>
    <w:rsid w:val="001A68A1"/>
    <w:rsid w:val="001A7C18"/>
    <w:rsid w:val="001A7D18"/>
    <w:rsid w:val="001B0088"/>
    <w:rsid w:val="001B1510"/>
    <w:rsid w:val="001B5871"/>
    <w:rsid w:val="001B5D73"/>
    <w:rsid w:val="001C016A"/>
    <w:rsid w:val="001C1681"/>
    <w:rsid w:val="001C360A"/>
    <w:rsid w:val="001C39CF"/>
    <w:rsid w:val="001C3CA9"/>
    <w:rsid w:val="001C44F3"/>
    <w:rsid w:val="001C44FA"/>
    <w:rsid w:val="001C4B8D"/>
    <w:rsid w:val="001C4BB8"/>
    <w:rsid w:val="001C6AD3"/>
    <w:rsid w:val="001C7B22"/>
    <w:rsid w:val="001D0A79"/>
    <w:rsid w:val="001D1C6B"/>
    <w:rsid w:val="001D2033"/>
    <w:rsid w:val="001D211A"/>
    <w:rsid w:val="001D3C5A"/>
    <w:rsid w:val="001D477F"/>
    <w:rsid w:val="001D48E3"/>
    <w:rsid w:val="001D4E71"/>
    <w:rsid w:val="001D5698"/>
    <w:rsid w:val="001D6A2C"/>
    <w:rsid w:val="001D6AE9"/>
    <w:rsid w:val="001D6C12"/>
    <w:rsid w:val="001D6D12"/>
    <w:rsid w:val="001D732D"/>
    <w:rsid w:val="001D76A8"/>
    <w:rsid w:val="001E1BF5"/>
    <w:rsid w:val="001E252E"/>
    <w:rsid w:val="001E2FF8"/>
    <w:rsid w:val="001E37F4"/>
    <w:rsid w:val="001E492F"/>
    <w:rsid w:val="001E4CBE"/>
    <w:rsid w:val="001E6040"/>
    <w:rsid w:val="001E643C"/>
    <w:rsid w:val="001E69A0"/>
    <w:rsid w:val="001F254A"/>
    <w:rsid w:val="001F26FA"/>
    <w:rsid w:val="001F27D9"/>
    <w:rsid w:val="001F31FE"/>
    <w:rsid w:val="001F3749"/>
    <w:rsid w:val="001F456B"/>
    <w:rsid w:val="001F58D1"/>
    <w:rsid w:val="001F59D9"/>
    <w:rsid w:val="001F742C"/>
    <w:rsid w:val="001F750E"/>
    <w:rsid w:val="001F778C"/>
    <w:rsid w:val="00200386"/>
    <w:rsid w:val="002028CD"/>
    <w:rsid w:val="00202E45"/>
    <w:rsid w:val="0020467A"/>
    <w:rsid w:val="002054C3"/>
    <w:rsid w:val="00205697"/>
    <w:rsid w:val="00207904"/>
    <w:rsid w:val="0021131D"/>
    <w:rsid w:val="002129EB"/>
    <w:rsid w:val="00212E0C"/>
    <w:rsid w:val="00215387"/>
    <w:rsid w:val="0021540E"/>
    <w:rsid w:val="0021603A"/>
    <w:rsid w:val="00216187"/>
    <w:rsid w:val="00216881"/>
    <w:rsid w:val="00216A1C"/>
    <w:rsid w:val="00216CBD"/>
    <w:rsid w:val="00220D44"/>
    <w:rsid w:val="00221349"/>
    <w:rsid w:val="002216F9"/>
    <w:rsid w:val="002225A6"/>
    <w:rsid w:val="0022323B"/>
    <w:rsid w:val="00224511"/>
    <w:rsid w:val="00224813"/>
    <w:rsid w:val="00225135"/>
    <w:rsid w:val="00225B4B"/>
    <w:rsid w:val="00225D84"/>
    <w:rsid w:val="002266D3"/>
    <w:rsid w:val="002270C4"/>
    <w:rsid w:val="002273EC"/>
    <w:rsid w:val="00227A92"/>
    <w:rsid w:val="002307E6"/>
    <w:rsid w:val="002365D1"/>
    <w:rsid w:val="00236FEF"/>
    <w:rsid w:val="00237957"/>
    <w:rsid w:val="00237B85"/>
    <w:rsid w:val="00237FA3"/>
    <w:rsid w:val="0024074E"/>
    <w:rsid w:val="00241DCA"/>
    <w:rsid w:val="0024274C"/>
    <w:rsid w:val="002442E2"/>
    <w:rsid w:val="002468C2"/>
    <w:rsid w:val="00247145"/>
    <w:rsid w:val="0024793E"/>
    <w:rsid w:val="00250BC2"/>
    <w:rsid w:val="00251BAA"/>
    <w:rsid w:val="00252872"/>
    <w:rsid w:val="002530F4"/>
    <w:rsid w:val="00253222"/>
    <w:rsid w:val="00253579"/>
    <w:rsid w:val="002552BA"/>
    <w:rsid w:val="00255A6D"/>
    <w:rsid w:val="00260959"/>
    <w:rsid w:val="00260C43"/>
    <w:rsid w:val="00262C9D"/>
    <w:rsid w:val="00264041"/>
    <w:rsid w:val="00264F33"/>
    <w:rsid w:val="002656CA"/>
    <w:rsid w:val="002667C4"/>
    <w:rsid w:val="00266882"/>
    <w:rsid w:val="0026759F"/>
    <w:rsid w:val="00267E50"/>
    <w:rsid w:val="00270EB9"/>
    <w:rsid w:val="002723A3"/>
    <w:rsid w:val="00272C86"/>
    <w:rsid w:val="00272F2E"/>
    <w:rsid w:val="0027339C"/>
    <w:rsid w:val="0027422F"/>
    <w:rsid w:val="00274536"/>
    <w:rsid w:val="00275328"/>
    <w:rsid w:val="00275346"/>
    <w:rsid w:val="0028018D"/>
    <w:rsid w:val="00280DB5"/>
    <w:rsid w:val="0028106B"/>
    <w:rsid w:val="00281623"/>
    <w:rsid w:val="00281BD1"/>
    <w:rsid w:val="00281EBA"/>
    <w:rsid w:val="00282BC1"/>
    <w:rsid w:val="002836D6"/>
    <w:rsid w:val="0028435A"/>
    <w:rsid w:val="002844A2"/>
    <w:rsid w:val="00285D82"/>
    <w:rsid w:val="00285E97"/>
    <w:rsid w:val="00286322"/>
    <w:rsid w:val="0028650E"/>
    <w:rsid w:val="00287DF6"/>
    <w:rsid w:val="002903A4"/>
    <w:rsid w:val="002918CB"/>
    <w:rsid w:val="00291C56"/>
    <w:rsid w:val="00291E97"/>
    <w:rsid w:val="00293964"/>
    <w:rsid w:val="00295165"/>
    <w:rsid w:val="00295E54"/>
    <w:rsid w:val="0029665C"/>
    <w:rsid w:val="0029665D"/>
    <w:rsid w:val="002967CA"/>
    <w:rsid w:val="00296E95"/>
    <w:rsid w:val="0029720A"/>
    <w:rsid w:val="00297609"/>
    <w:rsid w:val="002A001F"/>
    <w:rsid w:val="002A1601"/>
    <w:rsid w:val="002A2557"/>
    <w:rsid w:val="002A34FB"/>
    <w:rsid w:val="002A3CF4"/>
    <w:rsid w:val="002A4674"/>
    <w:rsid w:val="002A4C72"/>
    <w:rsid w:val="002A4E14"/>
    <w:rsid w:val="002A50CE"/>
    <w:rsid w:val="002A5AC7"/>
    <w:rsid w:val="002A68E7"/>
    <w:rsid w:val="002B1048"/>
    <w:rsid w:val="002B20D2"/>
    <w:rsid w:val="002B23D4"/>
    <w:rsid w:val="002B4724"/>
    <w:rsid w:val="002B4A8D"/>
    <w:rsid w:val="002B5BDE"/>
    <w:rsid w:val="002B6837"/>
    <w:rsid w:val="002B6B78"/>
    <w:rsid w:val="002C1851"/>
    <w:rsid w:val="002C212F"/>
    <w:rsid w:val="002C283C"/>
    <w:rsid w:val="002C3228"/>
    <w:rsid w:val="002C4116"/>
    <w:rsid w:val="002C438A"/>
    <w:rsid w:val="002C53D6"/>
    <w:rsid w:val="002C5657"/>
    <w:rsid w:val="002C60A5"/>
    <w:rsid w:val="002C6531"/>
    <w:rsid w:val="002D0335"/>
    <w:rsid w:val="002D12FC"/>
    <w:rsid w:val="002D5E46"/>
    <w:rsid w:val="002D75E5"/>
    <w:rsid w:val="002D766D"/>
    <w:rsid w:val="002E0A76"/>
    <w:rsid w:val="002E1352"/>
    <w:rsid w:val="002E24F0"/>
    <w:rsid w:val="002E4BE5"/>
    <w:rsid w:val="002E6B10"/>
    <w:rsid w:val="002E772C"/>
    <w:rsid w:val="002E7C57"/>
    <w:rsid w:val="002F0082"/>
    <w:rsid w:val="002F09CD"/>
    <w:rsid w:val="002F118E"/>
    <w:rsid w:val="002F29F0"/>
    <w:rsid w:val="002F2E32"/>
    <w:rsid w:val="002F4B04"/>
    <w:rsid w:val="002F4E0D"/>
    <w:rsid w:val="00300557"/>
    <w:rsid w:val="00300925"/>
    <w:rsid w:val="00304FF0"/>
    <w:rsid w:val="003069B8"/>
    <w:rsid w:val="003079C6"/>
    <w:rsid w:val="00310D0F"/>
    <w:rsid w:val="003111EE"/>
    <w:rsid w:val="003124D2"/>
    <w:rsid w:val="0031323D"/>
    <w:rsid w:val="003135A8"/>
    <w:rsid w:val="00313E9B"/>
    <w:rsid w:val="00314A8D"/>
    <w:rsid w:val="00315DF0"/>
    <w:rsid w:val="003201A2"/>
    <w:rsid w:val="003220DF"/>
    <w:rsid w:val="00322352"/>
    <w:rsid w:val="00322662"/>
    <w:rsid w:val="00322AC4"/>
    <w:rsid w:val="00323A1D"/>
    <w:rsid w:val="0032490F"/>
    <w:rsid w:val="00324CD0"/>
    <w:rsid w:val="00326BB2"/>
    <w:rsid w:val="00331108"/>
    <w:rsid w:val="0033124C"/>
    <w:rsid w:val="00334E4F"/>
    <w:rsid w:val="00335693"/>
    <w:rsid w:val="003378E1"/>
    <w:rsid w:val="00337D43"/>
    <w:rsid w:val="003403A4"/>
    <w:rsid w:val="0034071E"/>
    <w:rsid w:val="00340A64"/>
    <w:rsid w:val="00340DDF"/>
    <w:rsid w:val="00343739"/>
    <w:rsid w:val="003447F6"/>
    <w:rsid w:val="003460D2"/>
    <w:rsid w:val="00346502"/>
    <w:rsid w:val="00346521"/>
    <w:rsid w:val="00346F8B"/>
    <w:rsid w:val="00347793"/>
    <w:rsid w:val="00350589"/>
    <w:rsid w:val="0035063D"/>
    <w:rsid w:val="003523EB"/>
    <w:rsid w:val="0035370A"/>
    <w:rsid w:val="0035378A"/>
    <w:rsid w:val="00354123"/>
    <w:rsid w:val="0035456C"/>
    <w:rsid w:val="0035736F"/>
    <w:rsid w:val="0036006C"/>
    <w:rsid w:val="003608DB"/>
    <w:rsid w:val="00360BB3"/>
    <w:rsid w:val="003611E7"/>
    <w:rsid w:val="00361A67"/>
    <w:rsid w:val="00363D94"/>
    <w:rsid w:val="003641AD"/>
    <w:rsid w:val="00366133"/>
    <w:rsid w:val="00371207"/>
    <w:rsid w:val="003712CD"/>
    <w:rsid w:val="003731C2"/>
    <w:rsid w:val="00375434"/>
    <w:rsid w:val="00376337"/>
    <w:rsid w:val="003764EF"/>
    <w:rsid w:val="00382084"/>
    <w:rsid w:val="0038438F"/>
    <w:rsid w:val="003846C4"/>
    <w:rsid w:val="00385CE3"/>
    <w:rsid w:val="0038638C"/>
    <w:rsid w:val="00386D2D"/>
    <w:rsid w:val="0039094A"/>
    <w:rsid w:val="00390AD0"/>
    <w:rsid w:val="00390B36"/>
    <w:rsid w:val="00390ED2"/>
    <w:rsid w:val="00391724"/>
    <w:rsid w:val="003918BC"/>
    <w:rsid w:val="00392A21"/>
    <w:rsid w:val="003935E5"/>
    <w:rsid w:val="0039539A"/>
    <w:rsid w:val="003964E8"/>
    <w:rsid w:val="00397843"/>
    <w:rsid w:val="003A02E3"/>
    <w:rsid w:val="003A06C9"/>
    <w:rsid w:val="003A15D1"/>
    <w:rsid w:val="003A2988"/>
    <w:rsid w:val="003A35AA"/>
    <w:rsid w:val="003A367C"/>
    <w:rsid w:val="003A434B"/>
    <w:rsid w:val="003A6491"/>
    <w:rsid w:val="003A7E7B"/>
    <w:rsid w:val="003B0B69"/>
    <w:rsid w:val="003B1102"/>
    <w:rsid w:val="003B45ED"/>
    <w:rsid w:val="003B4A2A"/>
    <w:rsid w:val="003B5732"/>
    <w:rsid w:val="003B59FC"/>
    <w:rsid w:val="003B7533"/>
    <w:rsid w:val="003B7BE7"/>
    <w:rsid w:val="003B7D29"/>
    <w:rsid w:val="003C032C"/>
    <w:rsid w:val="003C0999"/>
    <w:rsid w:val="003C255C"/>
    <w:rsid w:val="003C2E31"/>
    <w:rsid w:val="003C35F8"/>
    <w:rsid w:val="003C3EC8"/>
    <w:rsid w:val="003C4B21"/>
    <w:rsid w:val="003C58AB"/>
    <w:rsid w:val="003C594F"/>
    <w:rsid w:val="003C6071"/>
    <w:rsid w:val="003C7008"/>
    <w:rsid w:val="003D0A3B"/>
    <w:rsid w:val="003D108C"/>
    <w:rsid w:val="003D2D23"/>
    <w:rsid w:val="003D3649"/>
    <w:rsid w:val="003D3BA4"/>
    <w:rsid w:val="003D4374"/>
    <w:rsid w:val="003D584E"/>
    <w:rsid w:val="003D5F6B"/>
    <w:rsid w:val="003D7148"/>
    <w:rsid w:val="003E0F88"/>
    <w:rsid w:val="003E0FEA"/>
    <w:rsid w:val="003E1FBD"/>
    <w:rsid w:val="003E2DAB"/>
    <w:rsid w:val="003E438C"/>
    <w:rsid w:val="003E4ECE"/>
    <w:rsid w:val="003E519A"/>
    <w:rsid w:val="003E5FD4"/>
    <w:rsid w:val="003E7827"/>
    <w:rsid w:val="003F0A45"/>
    <w:rsid w:val="003F5A37"/>
    <w:rsid w:val="003F6017"/>
    <w:rsid w:val="003F6BD4"/>
    <w:rsid w:val="003F6CFE"/>
    <w:rsid w:val="004000A5"/>
    <w:rsid w:val="00400541"/>
    <w:rsid w:val="00401D05"/>
    <w:rsid w:val="00401F58"/>
    <w:rsid w:val="00402BF7"/>
    <w:rsid w:val="00403CA8"/>
    <w:rsid w:val="00403DE0"/>
    <w:rsid w:val="00403EB0"/>
    <w:rsid w:val="0040480B"/>
    <w:rsid w:val="00405F1B"/>
    <w:rsid w:val="00405F69"/>
    <w:rsid w:val="00407544"/>
    <w:rsid w:val="00410BDD"/>
    <w:rsid w:val="00411EDD"/>
    <w:rsid w:val="0041242A"/>
    <w:rsid w:val="00412D5E"/>
    <w:rsid w:val="00414970"/>
    <w:rsid w:val="00415578"/>
    <w:rsid w:val="00417101"/>
    <w:rsid w:val="00420568"/>
    <w:rsid w:val="004206F2"/>
    <w:rsid w:val="004223EB"/>
    <w:rsid w:val="004225D3"/>
    <w:rsid w:val="004227C8"/>
    <w:rsid w:val="0042327F"/>
    <w:rsid w:val="00425BFE"/>
    <w:rsid w:val="00425F14"/>
    <w:rsid w:val="004301D7"/>
    <w:rsid w:val="00430DDD"/>
    <w:rsid w:val="00430E95"/>
    <w:rsid w:val="00431EF7"/>
    <w:rsid w:val="004320D8"/>
    <w:rsid w:val="00433652"/>
    <w:rsid w:val="00433802"/>
    <w:rsid w:val="0043518F"/>
    <w:rsid w:val="00435D6E"/>
    <w:rsid w:val="004372EB"/>
    <w:rsid w:val="00440D20"/>
    <w:rsid w:val="0044179A"/>
    <w:rsid w:val="00443D4C"/>
    <w:rsid w:val="00443D82"/>
    <w:rsid w:val="00445523"/>
    <w:rsid w:val="0044575D"/>
    <w:rsid w:val="00445849"/>
    <w:rsid w:val="0044616E"/>
    <w:rsid w:val="00446BA4"/>
    <w:rsid w:val="0045017E"/>
    <w:rsid w:val="0045217A"/>
    <w:rsid w:val="0045368E"/>
    <w:rsid w:val="0045397B"/>
    <w:rsid w:val="00453A7D"/>
    <w:rsid w:val="00453C68"/>
    <w:rsid w:val="00453D41"/>
    <w:rsid w:val="004548D9"/>
    <w:rsid w:val="00455400"/>
    <w:rsid w:val="0045655B"/>
    <w:rsid w:val="004572F3"/>
    <w:rsid w:val="004577E0"/>
    <w:rsid w:val="00460A1F"/>
    <w:rsid w:val="00461CDA"/>
    <w:rsid w:val="00463C25"/>
    <w:rsid w:val="00463DED"/>
    <w:rsid w:val="00464E8B"/>
    <w:rsid w:val="0046566E"/>
    <w:rsid w:val="004657F1"/>
    <w:rsid w:val="00466733"/>
    <w:rsid w:val="00467D4F"/>
    <w:rsid w:val="00471000"/>
    <w:rsid w:val="0047272B"/>
    <w:rsid w:val="00473428"/>
    <w:rsid w:val="004743EE"/>
    <w:rsid w:val="00475E27"/>
    <w:rsid w:val="0047642F"/>
    <w:rsid w:val="00477BEE"/>
    <w:rsid w:val="00477D03"/>
    <w:rsid w:val="004810F8"/>
    <w:rsid w:val="00482E6F"/>
    <w:rsid w:val="00482F22"/>
    <w:rsid w:val="00482F24"/>
    <w:rsid w:val="004832AF"/>
    <w:rsid w:val="004834E9"/>
    <w:rsid w:val="0048418D"/>
    <w:rsid w:val="004842BC"/>
    <w:rsid w:val="00485077"/>
    <w:rsid w:val="0048557D"/>
    <w:rsid w:val="004861AB"/>
    <w:rsid w:val="004868FF"/>
    <w:rsid w:val="00487189"/>
    <w:rsid w:val="00490819"/>
    <w:rsid w:val="00491CA9"/>
    <w:rsid w:val="0049222A"/>
    <w:rsid w:val="00493DCE"/>
    <w:rsid w:val="00495D04"/>
    <w:rsid w:val="00496D29"/>
    <w:rsid w:val="004A28C2"/>
    <w:rsid w:val="004A3333"/>
    <w:rsid w:val="004A56C6"/>
    <w:rsid w:val="004A6955"/>
    <w:rsid w:val="004A7598"/>
    <w:rsid w:val="004A7C7C"/>
    <w:rsid w:val="004B0ED9"/>
    <w:rsid w:val="004B192D"/>
    <w:rsid w:val="004B1F3D"/>
    <w:rsid w:val="004B336F"/>
    <w:rsid w:val="004B3E43"/>
    <w:rsid w:val="004B45FF"/>
    <w:rsid w:val="004B5451"/>
    <w:rsid w:val="004B55A1"/>
    <w:rsid w:val="004B747D"/>
    <w:rsid w:val="004C1780"/>
    <w:rsid w:val="004C1B5E"/>
    <w:rsid w:val="004C27D0"/>
    <w:rsid w:val="004C408C"/>
    <w:rsid w:val="004C463D"/>
    <w:rsid w:val="004C5CB4"/>
    <w:rsid w:val="004C6943"/>
    <w:rsid w:val="004D110A"/>
    <w:rsid w:val="004D12A1"/>
    <w:rsid w:val="004D2E61"/>
    <w:rsid w:val="004D422B"/>
    <w:rsid w:val="004D577A"/>
    <w:rsid w:val="004E0208"/>
    <w:rsid w:val="004E4AA2"/>
    <w:rsid w:val="004E4CDD"/>
    <w:rsid w:val="004E54BF"/>
    <w:rsid w:val="004E6377"/>
    <w:rsid w:val="004E6BA1"/>
    <w:rsid w:val="004E72BA"/>
    <w:rsid w:val="004E76CD"/>
    <w:rsid w:val="004F05EE"/>
    <w:rsid w:val="004F1769"/>
    <w:rsid w:val="004F2329"/>
    <w:rsid w:val="004F2691"/>
    <w:rsid w:val="004F28FC"/>
    <w:rsid w:val="004F2A0B"/>
    <w:rsid w:val="004F3DA0"/>
    <w:rsid w:val="004F417D"/>
    <w:rsid w:val="004F4F74"/>
    <w:rsid w:val="004F5806"/>
    <w:rsid w:val="004F70A5"/>
    <w:rsid w:val="004F72AB"/>
    <w:rsid w:val="004F73B8"/>
    <w:rsid w:val="005001CB"/>
    <w:rsid w:val="00500A90"/>
    <w:rsid w:val="00500F60"/>
    <w:rsid w:val="00500FC6"/>
    <w:rsid w:val="005019F3"/>
    <w:rsid w:val="00501B71"/>
    <w:rsid w:val="005037EF"/>
    <w:rsid w:val="005037FA"/>
    <w:rsid w:val="00503A0E"/>
    <w:rsid w:val="0050405B"/>
    <w:rsid w:val="00504523"/>
    <w:rsid w:val="00505C7C"/>
    <w:rsid w:val="005075A1"/>
    <w:rsid w:val="005077CE"/>
    <w:rsid w:val="00510457"/>
    <w:rsid w:val="005120F9"/>
    <w:rsid w:val="0051236A"/>
    <w:rsid w:val="005124FC"/>
    <w:rsid w:val="00512B1B"/>
    <w:rsid w:val="00512CDB"/>
    <w:rsid w:val="005138C1"/>
    <w:rsid w:val="005149D8"/>
    <w:rsid w:val="00515958"/>
    <w:rsid w:val="00516AE0"/>
    <w:rsid w:val="00516C47"/>
    <w:rsid w:val="00516C7F"/>
    <w:rsid w:val="00517DED"/>
    <w:rsid w:val="00520138"/>
    <w:rsid w:val="0052049D"/>
    <w:rsid w:val="0052074F"/>
    <w:rsid w:val="00520AA9"/>
    <w:rsid w:val="00520ED3"/>
    <w:rsid w:val="00522DF6"/>
    <w:rsid w:val="00522FB7"/>
    <w:rsid w:val="00523AE9"/>
    <w:rsid w:val="005244AF"/>
    <w:rsid w:val="00524A47"/>
    <w:rsid w:val="005253B2"/>
    <w:rsid w:val="00530087"/>
    <w:rsid w:val="005309A5"/>
    <w:rsid w:val="0053290A"/>
    <w:rsid w:val="00532F78"/>
    <w:rsid w:val="005330DC"/>
    <w:rsid w:val="00533A0A"/>
    <w:rsid w:val="005342A2"/>
    <w:rsid w:val="00534313"/>
    <w:rsid w:val="00535251"/>
    <w:rsid w:val="005364D8"/>
    <w:rsid w:val="00536D07"/>
    <w:rsid w:val="005375A8"/>
    <w:rsid w:val="0054100E"/>
    <w:rsid w:val="00541BB0"/>
    <w:rsid w:val="00542583"/>
    <w:rsid w:val="00542DE6"/>
    <w:rsid w:val="00542F60"/>
    <w:rsid w:val="00543C91"/>
    <w:rsid w:val="005477FB"/>
    <w:rsid w:val="005505B6"/>
    <w:rsid w:val="00550620"/>
    <w:rsid w:val="005507EC"/>
    <w:rsid w:val="0055083A"/>
    <w:rsid w:val="005515AB"/>
    <w:rsid w:val="005526A6"/>
    <w:rsid w:val="00552910"/>
    <w:rsid w:val="00553D4D"/>
    <w:rsid w:val="00554614"/>
    <w:rsid w:val="0055507E"/>
    <w:rsid w:val="005563AA"/>
    <w:rsid w:val="00556428"/>
    <w:rsid w:val="00556BA3"/>
    <w:rsid w:val="00560A1C"/>
    <w:rsid w:val="0056165A"/>
    <w:rsid w:val="005631CD"/>
    <w:rsid w:val="0056487E"/>
    <w:rsid w:val="0056519C"/>
    <w:rsid w:val="00566678"/>
    <w:rsid w:val="00566714"/>
    <w:rsid w:val="00566839"/>
    <w:rsid w:val="00572F6D"/>
    <w:rsid w:val="00574EA1"/>
    <w:rsid w:val="00574F30"/>
    <w:rsid w:val="005803FB"/>
    <w:rsid w:val="00582F45"/>
    <w:rsid w:val="00582FE5"/>
    <w:rsid w:val="00585559"/>
    <w:rsid w:val="00586E0B"/>
    <w:rsid w:val="00587D23"/>
    <w:rsid w:val="00590ED9"/>
    <w:rsid w:val="005917D4"/>
    <w:rsid w:val="0059257C"/>
    <w:rsid w:val="00594710"/>
    <w:rsid w:val="0059503A"/>
    <w:rsid w:val="00595092"/>
    <w:rsid w:val="00595D47"/>
    <w:rsid w:val="00596008"/>
    <w:rsid w:val="00597E4B"/>
    <w:rsid w:val="005A0553"/>
    <w:rsid w:val="005A0D77"/>
    <w:rsid w:val="005A11F8"/>
    <w:rsid w:val="005A1EBA"/>
    <w:rsid w:val="005A2B53"/>
    <w:rsid w:val="005A3A39"/>
    <w:rsid w:val="005A5827"/>
    <w:rsid w:val="005A59E3"/>
    <w:rsid w:val="005A72B2"/>
    <w:rsid w:val="005A7C68"/>
    <w:rsid w:val="005A7FBF"/>
    <w:rsid w:val="005B0ADD"/>
    <w:rsid w:val="005B3412"/>
    <w:rsid w:val="005B3CA2"/>
    <w:rsid w:val="005B4203"/>
    <w:rsid w:val="005B4259"/>
    <w:rsid w:val="005B4BB1"/>
    <w:rsid w:val="005B4C4F"/>
    <w:rsid w:val="005B59B3"/>
    <w:rsid w:val="005B6ECE"/>
    <w:rsid w:val="005B7533"/>
    <w:rsid w:val="005C0AC8"/>
    <w:rsid w:val="005C167B"/>
    <w:rsid w:val="005C225A"/>
    <w:rsid w:val="005C25F9"/>
    <w:rsid w:val="005C4DCD"/>
    <w:rsid w:val="005C51A7"/>
    <w:rsid w:val="005C5D21"/>
    <w:rsid w:val="005C6760"/>
    <w:rsid w:val="005C6989"/>
    <w:rsid w:val="005C711C"/>
    <w:rsid w:val="005D08CA"/>
    <w:rsid w:val="005D0B90"/>
    <w:rsid w:val="005D1FF1"/>
    <w:rsid w:val="005D3587"/>
    <w:rsid w:val="005D35DE"/>
    <w:rsid w:val="005D408C"/>
    <w:rsid w:val="005D5013"/>
    <w:rsid w:val="005D58C3"/>
    <w:rsid w:val="005D6321"/>
    <w:rsid w:val="005D63EF"/>
    <w:rsid w:val="005D6F0D"/>
    <w:rsid w:val="005D74F0"/>
    <w:rsid w:val="005D7A64"/>
    <w:rsid w:val="005E0B82"/>
    <w:rsid w:val="005E10E1"/>
    <w:rsid w:val="005E1575"/>
    <w:rsid w:val="005E1E77"/>
    <w:rsid w:val="005E2079"/>
    <w:rsid w:val="005E23A9"/>
    <w:rsid w:val="005E3AA6"/>
    <w:rsid w:val="005E6092"/>
    <w:rsid w:val="005F1FE5"/>
    <w:rsid w:val="005F279F"/>
    <w:rsid w:val="005F2EA6"/>
    <w:rsid w:val="005F3031"/>
    <w:rsid w:val="005F3ABD"/>
    <w:rsid w:val="005F3E8E"/>
    <w:rsid w:val="005F494A"/>
    <w:rsid w:val="005F4AEB"/>
    <w:rsid w:val="00600968"/>
    <w:rsid w:val="00600FC2"/>
    <w:rsid w:val="0060460F"/>
    <w:rsid w:val="006101F5"/>
    <w:rsid w:val="00611BB6"/>
    <w:rsid w:val="00611E42"/>
    <w:rsid w:val="006156D7"/>
    <w:rsid w:val="0061600B"/>
    <w:rsid w:val="00617769"/>
    <w:rsid w:val="006213F1"/>
    <w:rsid w:val="00622C8F"/>
    <w:rsid w:val="00624291"/>
    <w:rsid w:val="00624336"/>
    <w:rsid w:val="0062627B"/>
    <w:rsid w:val="00626EB5"/>
    <w:rsid w:val="006279C8"/>
    <w:rsid w:val="00627E4C"/>
    <w:rsid w:val="00631A11"/>
    <w:rsid w:val="00632378"/>
    <w:rsid w:val="00632C48"/>
    <w:rsid w:val="0063311D"/>
    <w:rsid w:val="006336A5"/>
    <w:rsid w:val="00634FC3"/>
    <w:rsid w:val="00635253"/>
    <w:rsid w:val="00636943"/>
    <w:rsid w:val="006407DD"/>
    <w:rsid w:val="00644E00"/>
    <w:rsid w:val="006461A4"/>
    <w:rsid w:val="006463F2"/>
    <w:rsid w:val="00646896"/>
    <w:rsid w:val="00647B2D"/>
    <w:rsid w:val="00651326"/>
    <w:rsid w:val="00651813"/>
    <w:rsid w:val="00651943"/>
    <w:rsid w:val="0065280B"/>
    <w:rsid w:val="00655C10"/>
    <w:rsid w:val="006571D0"/>
    <w:rsid w:val="0065776A"/>
    <w:rsid w:val="00657924"/>
    <w:rsid w:val="00660B5C"/>
    <w:rsid w:val="00662C38"/>
    <w:rsid w:val="0066415E"/>
    <w:rsid w:val="00665D08"/>
    <w:rsid w:val="00666318"/>
    <w:rsid w:val="00666755"/>
    <w:rsid w:val="00666D60"/>
    <w:rsid w:val="006678CC"/>
    <w:rsid w:val="00671F4B"/>
    <w:rsid w:val="006738DF"/>
    <w:rsid w:val="006752E5"/>
    <w:rsid w:val="00676059"/>
    <w:rsid w:val="00676431"/>
    <w:rsid w:val="0067679C"/>
    <w:rsid w:val="00681451"/>
    <w:rsid w:val="006821F3"/>
    <w:rsid w:val="00682F6E"/>
    <w:rsid w:val="0068427B"/>
    <w:rsid w:val="00685E5E"/>
    <w:rsid w:val="00686F12"/>
    <w:rsid w:val="0069145F"/>
    <w:rsid w:val="00691C8F"/>
    <w:rsid w:val="00693904"/>
    <w:rsid w:val="00693AC0"/>
    <w:rsid w:val="00693B49"/>
    <w:rsid w:val="006959CD"/>
    <w:rsid w:val="006963D3"/>
    <w:rsid w:val="00696548"/>
    <w:rsid w:val="006A16B2"/>
    <w:rsid w:val="006A1744"/>
    <w:rsid w:val="006A18CF"/>
    <w:rsid w:val="006A1C44"/>
    <w:rsid w:val="006A1EA3"/>
    <w:rsid w:val="006A2142"/>
    <w:rsid w:val="006A26CD"/>
    <w:rsid w:val="006A2C09"/>
    <w:rsid w:val="006A659B"/>
    <w:rsid w:val="006A6EB7"/>
    <w:rsid w:val="006A7B91"/>
    <w:rsid w:val="006A7F3B"/>
    <w:rsid w:val="006B1732"/>
    <w:rsid w:val="006B1849"/>
    <w:rsid w:val="006B205D"/>
    <w:rsid w:val="006B4255"/>
    <w:rsid w:val="006B4ABF"/>
    <w:rsid w:val="006B4E5A"/>
    <w:rsid w:val="006B50F6"/>
    <w:rsid w:val="006B6C90"/>
    <w:rsid w:val="006B7BC3"/>
    <w:rsid w:val="006B7CA0"/>
    <w:rsid w:val="006B7F69"/>
    <w:rsid w:val="006C0313"/>
    <w:rsid w:val="006C04CD"/>
    <w:rsid w:val="006C0D36"/>
    <w:rsid w:val="006C15B4"/>
    <w:rsid w:val="006C1C91"/>
    <w:rsid w:val="006C2F34"/>
    <w:rsid w:val="006C31E2"/>
    <w:rsid w:val="006C4D51"/>
    <w:rsid w:val="006C52D0"/>
    <w:rsid w:val="006C5E3F"/>
    <w:rsid w:val="006C6CC9"/>
    <w:rsid w:val="006C6E6F"/>
    <w:rsid w:val="006C710B"/>
    <w:rsid w:val="006D1D3F"/>
    <w:rsid w:val="006D313A"/>
    <w:rsid w:val="006D389A"/>
    <w:rsid w:val="006D4B61"/>
    <w:rsid w:val="006D4FEA"/>
    <w:rsid w:val="006D5AA5"/>
    <w:rsid w:val="006D6AB6"/>
    <w:rsid w:val="006D6B25"/>
    <w:rsid w:val="006D6DE5"/>
    <w:rsid w:val="006D7469"/>
    <w:rsid w:val="006D74FD"/>
    <w:rsid w:val="006D7A8A"/>
    <w:rsid w:val="006E08AB"/>
    <w:rsid w:val="006E0B0A"/>
    <w:rsid w:val="006E13DA"/>
    <w:rsid w:val="006E1AA1"/>
    <w:rsid w:val="006E37BF"/>
    <w:rsid w:val="006E415F"/>
    <w:rsid w:val="006E49F6"/>
    <w:rsid w:val="006E5093"/>
    <w:rsid w:val="006F0259"/>
    <w:rsid w:val="006F09BF"/>
    <w:rsid w:val="006F223E"/>
    <w:rsid w:val="006F250E"/>
    <w:rsid w:val="006F3354"/>
    <w:rsid w:val="006F33D5"/>
    <w:rsid w:val="006F3601"/>
    <w:rsid w:val="006F5C11"/>
    <w:rsid w:val="006F5C7F"/>
    <w:rsid w:val="006F63D5"/>
    <w:rsid w:val="006F6F6C"/>
    <w:rsid w:val="00700B94"/>
    <w:rsid w:val="00703781"/>
    <w:rsid w:val="00703CBC"/>
    <w:rsid w:val="00704706"/>
    <w:rsid w:val="0070488A"/>
    <w:rsid w:val="00705093"/>
    <w:rsid w:val="0070568D"/>
    <w:rsid w:val="00706345"/>
    <w:rsid w:val="00706E0D"/>
    <w:rsid w:val="0071247D"/>
    <w:rsid w:val="007137D0"/>
    <w:rsid w:val="007143BE"/>
    <w:rsid w:val="00714FE8"/>
    <w:rsid w:val="00715904"/>
    <w:rsid w:val="0072145D"/>
    <w:rsid w:val="00721BAA"/>
    <w:rsid w:val="00722F52"/>
    <w:rsid w:val="00723E9D"/>
    <w:rsid w:val="00725B0B"/>
    <w:rsid w:val="00725C52"/>
    <w:rsid w:val="00727083"/>
    <w:rsid w:val="0073021D"/>
    <w:rsid w:val="00730D82"/>
    <w:rsid w:val="00731D89"/>
    <w:rsid w:val="007321BF"/>
    <w:rsid w:val="007323EF"/>
    <w:rsid w:val="00733A38"/>
    <w:rsid w:val="00734121"/>
    <w:rsid w:val="00734385"/>
    <w:rsid w:val="00734F3A"/>
    <w:rsid w:val="007363C3"/>
    <w:rsid w:val="00737377"/>
    <w:rsid w:val="00737D32"/>
    <w:rsid w:val="00740565"/>
    <w:rsid w:val="007408E9"/>
    <w:rsid w:val="00742CD0"/>
    <w:rsid w:val="00743EE7"/>
    <w:rsid w:val="00744935"/>
    <w:rsid w:val="0074509C"/>
    <w:rsid w:val="0074703F"/>
    <w:rsid w:val="00747224"/>
    <w:rsid w:val="007505D6"/>
    <w:rsid w:val="00753F13"/>
    <w:rsid w:val="0075595B"/>
    <w:rsid w:val="0075636E"/>
    <w:rsid w:val="00756B1E"/>
    <w:rsid w:val="00757B45"/>
    <w:rsid w:val="00761FA9"/>
    <w:rsid w:val="0076319E"/>
    <w:rsid w:val="007639BB"/>
    <w:rsid w:val="00763D35"/>
    <w:rsid w:val="00764683"/>
    <w:rsid w:val="007647C3"/>
    <w:rsid w:val="0076559F"/>
    <w:rsid w:val="00766DCB"/>
    <w:rsid w:val="00772B65"/>
    <w:rsid w:val="00773E33"/>
    <w:rsid w:val="00774155"/>
    <w:rsid w:val="007744A2"/>
    <w:rsid w:val="0077759C"/>
    <w:rsid w:val="00777B64"/>
    <w:rsid w:val="0078061D"/>
    <w:rsid w:val="007833B4"/>
    <w:rsid w:val="0078362A"/>
    <w:rsid w:val="00783D7F"/>
    <w:rsid w:val="00783F74"/>
    <w:rsid w:val="007843B6"/>
    <w:rsid w:val="007858C7"/>
    <w:rsid w:val="0078744E"/>
    <w:rsid w:val="0078763D"/>
    <w:rsid w:val="0078763F"/>
    <w:rsid w:val="0079082F"/>
    <w:rsid w:val="00790996"/>
    <w:rsid w:val="00790D9F"/>
    <w:rsid w:val="007915C2"/>
    <w:rsid w:val="007921E4"/>
    <w:rsid w:val="007924E2"/>
    <w:rsid w:val="00792777"/>
    <w:rsid w:val="00793413"/>
    <w:rsid w:val="00794E94"/>
    <w:rsid w:val="00797B9A"/>
    <w:rsid w:val="007A11C8"/>
    <w:rsid w:val="007A20B3"/>
    <w:rsid w:val="007A27E4"/>
    <w:rsid w:val="007A5A00"/>
    <w:rsid w:val="007A5F8F"/>
    <w:rsid w:val="007A6FD2"/>
    <w:rsid w:val="007A75FC"/>
    <w:rsid w:val="007A7AF7"/>
    <w:rsid w:val="007A7CD3"/>
    <w:rsid w:val="007A7D6E"/>
    <w:rsid w:val="007B4491"/>
    <w:rsid w:val="007B47C2"/>
    <w:rsid w:val="007B589D"/>
    <w:rsid w:val="007B679B"/>
    <w:rsid w:val="007B7812"/>
    <w:rsid w:val="007B7893"/>
    <w:rsid w:val="007C3636"/>
    <w:rsid w:val="007C3A08"/>
    <w:rsid w:val="007C3B62"/>
    <w:rsid w:val="007C3FF5"/>
    <w:rsid w:val="007C4014"/>
    <w:rsid w:val="007C68A1"/>
    <w:rsid w:val="007C7247"/>
    <w:rsid w:val="007C7648"/>
    <w:rsid w:val="007C7863"/>
    <w:rsid w:val="007D34D8"/>
    <w:rsid w:val="007D444A"/>
    <w:rsid w:val="007D7EBA"/>
    <w:rsid w:val="007E0A19"/>
    <w:rsid w:val="007E15EB"/>
    <w:rsid w:val="007E1BF2"/>
    <w:rsid w:val="007E1D0B"/>
    <w:rsid w:val="007E37F7"/>
    <w:rsid w:val="007E4B04"/>
    <w:rsid w:val="007E52A3"/>
    <w:rsid w:val="007E664F"/>
    <w:rsid w:val="007F160C"/>
    <w:rsid w:val="007F177D"/>
    <w:rsid w:val="007F1B3B"/>
    <w:rsid w:val="007F20BC"/>
    <w:rsid w:val="007F2A51"/>
    <w:rsid w:val="007F2AEB"/>
    <w:rsid w:val="007F34D4"/>
    <w:rsid w:val="007F358C"/>
    <w:rsid w:val="007F39D8"/>
    <w:rsid w:val="007F3EC6"/>
    <w:rsid w:val="007F3FA8"/>
    <w:rsid w:val="007F5B84"/>
    <w:rsid w:val="007F6D38"/>
    <w:rsid w:val="007F7045"/>
    <w:rsid w:val="007F7F3F"/>
    <w:rsid w:val="0080157F"/>
    <w:rsid w:val="00803350"/>
    <w:rsid w:val="00804B55"/>
    <w:rsid w:val="00805A9F"/>
    <w:rsid w:val="00805B7C"/>
    <w:rsid w:val="00806B39"/>
    <w:rsid w:val="0080738A"/>
    <w:rsid w:val="00810922"/>
    <w:rsid w:val="00810A5A"/>
    <w:rsid w:val="00811D43"/>
    <w:rsid w:val="00813214"/>
    <w:rsid w:val="008136B1"/>
    <w:rsid w:val="00813880"/>
    <w:rsid w:val="00815383"/>
    <w:rsid w:val="00815558"/>
    <w:rsid w:val="0081577C"/>
    <w:rsid w:val="00820B34"/>
    <w:rsid w:val="00820D42"/>
    <w:rsid w:val="00821E6E"/>
    <w:rsid w:val="00823179"/>
    <w:rsid w:val="00823528"/>
    <w:rsid w:val="00823997"/>
    <w:rsid w:val="00823AAD"/>
    <w:rsid w:val="00825205"/>
    <w:rsid w:val="00826CF6"/>
    <w:rsid w:val="00827D5F"/>
    <w:rsid w:val="00830443"/>
    <w:rsid w:val="00831B8B"/>
    <w:rsid w:val="00832B94"/>
    <w:rsid w:val="00833EAC"/>
    <w:rsid w:val="00834C4A"/>
    <w:rsid w:val="00834F38"/>
    <w:rsid w:val="00836F4D"/>
    <w:rsid w:val="00840818"/>
    <w:rsid w:val="00840E32"/>
    <w:rsid w:val="00841633"/>
    <w:rsid w:val="00842CCB"/>
    <w:rsid w:val="00842CF0"/>
    <w:rsid w:val="0084337D"/>
    <w:rsid w:val="0084451E"/>
    <w:rsid w:val="008453A4"/>
    <w:rsid w:val="00845555"/>
    <w:rsid w:val="008456F9"/>
    <w:rsid w:val="00846397"/>
    <w:rsid w:val="008473B6"/>
    <w:rsid w:val="00847929"/>
    <w:rsid w:val="00850FB6"/>
    <w:rsid w:val="008516EB"/>
    <w:rsid w:val="00851811"/>
    <w:rsid w:val="0085267E"/>
    <w:rsid w:val="00852ABD"/>
    <w:rsid w:val="008542FD"/>
    <w:rsid w:val="008552DB"/>
    <w:rsid w:val="0085672C"/>
    <w:rsid w:val="00857CF9"/>
    <w:rsid w:val="0086127E"/>
    <w:rsid w:val="00861283"/>
    <w:rsid w:val="008612DA"/>
    <w:rsid w:val="00861A48"/>
    <w:rsid w:val="00861FEC"/>
    <w:rsid w:val="008646AD"/>
    <w:rsid w:val="008650C1"/>
    <w:rsid w:val="00865703"/>
    <w:rsid w:val="00866D4F"/>
    <w:rsid w:val="008678FE"/>
    <w:rsid w:val="00870CAF"/>
    <w:rsid w:val="008710AA"/>
    <w:rsid w:val="00871617"/>
    <w:rsid w:val="00871A20"/>
    <w:rsid w:val="0087331B"/>
    <w:rsid w:val="00874144"/>
    <w:rsid w:val="00877186"/>
    <w:rsid w:val="00877C26"/>
    <w:rsid w:val="008817CB"/>
    <w:rsid w:val="0088466D"/>
    <w:rsid w:val="0088573F"/>
    <w:rsid w:val="00886499"/>
    <w:rsid w:val="00886589"/>
    <w:rsid w:val="00890343"/>
    <w:rsid w:val="008918CC"/>
    <w:rsid w:val="0089237F"/>
    <w:rsid w:val="00892B27"/>
    <w:rsid w:val="00892F9E"/>
    <w:rsid w:val="00893445"/>
    <w:rsid w:val="00893B93"/>
    <w:rsid w:val="00894309"/>
    <w:rsid w:val="008959EE"/>
    <w:rsid w:val="008970EC"/>
    <w:rsid w:val="008976BC"/>
    <w:rsid w:val="008A0F2B"/>
    <w:rsid w:val="008A12BB"/>
    <w:rsid w:val="008A29E6"/>
    <w:rsid w:val="008A316E"/>
    <w:rsid w:val="008A3DCF"/>
    <w:rsid w:val="008A4D0D"/>
    <w:rsid w:val="008A6956"/>
    <w:rsid w:val="008A7236"/>
    <w:rsid w:val="008B4ABF"/>
    <w:rsid w:val="008B4B57"/>
    <w:rsid w:val="008B4D1C"/>
    <w:rsid w:val="008B4EC8"/>
    <w:rsid w:val="008B7446"/>
    <w:rsid w:val="008B7EF7"/>
    <w:rsid w:val="008C0C60"/>
    <w:rsid w:val="008C1828"/>
    <w:rsid w:val="008C2978"/>
    <w:rsid w:val="008C2A6A"/>
    <w:rsid w:val="008C34BB"/>
    <w:rsid w:val="008C3682"/>
    <w:rsid w:val="008C4A08"/>
    <w:rsid w:val="008C531D"/>
    <w:rsid w:val="008C7164"/>
    <w:rsid w:val="008D05C2"/>
    <w:rsid w:val="008D13EB"/>
    <w:rsid w:val="008D2412"/>
    <w:rsid w:val="008D2FCE"/>
    <w:rsid w:val="008D3461"/>
    <w:rsid w:val="008D3BE3"/>
    <w:rsid w:val="008D58A8"/>
    <w:rsid w:val="008D637A"/>
    <w:rsid w:val="008D76F0"/>
    <w:rsid w:val="008D7D13"/>
    <w:rsid w:val="008E1826"/>
    <w:rsid w:val="008E1929"/>
    <w:rsid w:val="008E1BCF"/>
    <w:rsid w:val="008E1FA3"/>
    <w:rsid w:val="008E2357"/>
    <w:rsid w:val="008E25F2"/>
    <w:rsid w:val="008E25F9"/>
    <w:rsid w:val="008E2CD9"/>
    <w:rsid w:val="008E3022"/>
    <w:rsid w:val="008E4A08"/>
    <w:rsid w:val="008E4A51"/>
    <w:rsid w:val="008E6D9B"/>
    <w:rsid w:val="008E798F"/>
    <w:rsid w:val="008F0916"/>
    <w:rsid w:val="008F1916"/>
    <w:rsid w:val="008F1CCD"/>
    <w:rsid w:val="008F2946"/>
    <w:rsid w:val="008F3778"/>
    <w:rsid w:val="008F442C"/>
    <w:rsid w:val="008F47EA"/>
    <w:rsid w:val="008F58F7"/>
    <w:rsid w:val="008F5C79"/>
    <w:rsid w:val="008F6505"/>
    <w:rsid w:val="008F6ED6"/>
    <w:rsid w:val="008F6FF1"/>
    <w:rsid w:val="008F75E3"/>
    <w:rsid w:val="008F77E4"/>
    <w:rsid w:val="008F7910"/>
    <w:rsid w:val="00900D96"/>
    <w:rsid w:val="00901E44"/>
    <w:rsid w:val="00902259"/>
    <w:rsid w:val="00902C1B"/>
    <w:rsid w:val="0090349B"/>
    <w:rsid w:val="00903D81"/>
    <w:rsid w:val="00903EC5"/>
    <w:rsid w:val="00905B15"/>
    <w:rsid w:val="009066A2"/>
    <w:rsid w:val="009066F2"/>
    <w:rsid w:val="00906CEE"/>
    <w:rsid w:val="009073E9"/>
    <w:rsid w:val="00907454"/>
    <w:rsid w:val="00907AEF"/>
    <w:rsid w:val="00907B5C"/>
    <w:rsid w:val="0091023E"/>
    <w:rsid w:val="009102AE"/>
    <w:rsid w:val="009116CA"/>
    <w:rsid w:val="00913706"/>
    <w:rsid w:val="00913B29"/>
    <w:rsid w:val="00916233"/>
    <w:rsid w:val="0091745E"/>
    <w:rsid w:val="00922557"/>
    <w:rsid w:val="00922D4C"/>
    <w:rsid w:val="00922E5A"/>
    <w:rsid w:val="00923954"/>
    <w:rsid w:val="00923C28"/>
    <w:rsid w:val="00924352"/>
    <w:rsid w:val="009253EF"/>
    <w:rsid w:val="0092599D"/>
    <w:rsid w:val="00925E87"/>
    <w:rsid w:val="00925FDC"/>
    <w:rsid w:val="00933807"/>
    <w:rsid w:val="009339BF"/>
    <w:rsid w:val="00934179"/>
    <w:rsid w:val="009349B8"/>
    <w:rsid w:val="00934CC9"/>
    <w:rsid w:val="00934CF3"/>
    <w:rsid w:val="009356E0"/>
    <w:rsid w:val="009363AB"/>
    <w:rsid w:val="0093666B"/>
    <w:rsid w:val="00941B8F"/>
    <w:rsid w:val="00941E9A"/>
    <w:rsid w:val="0094361B"/>
    <w:rsid w:val="009450A9"/>
    <w:rsid w:val="0094586C"/>
    <w:rsid w:val="00946F1A"/>
    <w:rsid w:val="00947CA2"/>
    <w:rsid w:val="00950045"/>
    <w:rsid w:val="00950719"/>
    <w:rsid w:val="00950725"/>
    <w:rsid w:val="00950A3D"/>
    <w:rsid w:val="00950E13"/>
    <w:rsid w:val="0095112A"/>
    <w:rsid w:val="00952ECF"/>
    <w:rsid w:val="0095462A"/>
    <w:rsid w:val="009561CD"/>
    <w:rsid w:val="009563A3"/>
    <w:rsid w:val="009565D6"/>
    <w:rsid w:val="00957874"/>
    <w:rsid w:val="00957EDC"/>
    <w:rsid w:val="00957F56"/>
    <w:rsid w:val="009607AE"/>
    <w:rsid w:val="00960F8F"/>
    <w:rsid w:val="00961586"/>
    <w:rsid w:val="00961A0F"/>
    <w:rsid w:val="009620D8"/>
    <w:rsid w:val="0096480F"/>
    <w:rsid w:val="00964DB5"/>
    <w:rsid w:val="0096522D"/>
    <w:rsid w:val="00965A5B"/>
    <w:rsid w:val="00965FF9"/>
    <w:rsid w:val="009668DC"/>
    <w:rsid w:val="0096693D"/>
    <w:rsid w:val="00967368"/>
    <w:rsid w:val="00967E7C"/>
    <w:rsid w:val="00970DC4"/>
    <w:rsid w:val="009717F2"/>
    <w:rsid w:val="00971C8E"/>
    <w:rsid w:val="0097345B"/>
    <w:rsid w:val="009749D4"/>
    <w:rsid w:val="00975F3C"/>
    <w:rsid w:val="00980078"/>
    <w:rsid w:val="00980B31"/>
    <w:rsid w:val="00982139"/>
    <w:rsid w:val="0098273F"/>
    <w:rsid w:val="009846A5"/>
    <w:rsid w:val="00984EB3"/>
    <w:rsid w:val="009855DC"/>
    <w:rsid w:val="00986279"/>
    <w:rsid w:val="0098743C"/>
    <w:rsid w:val="009874DE"/>
    <w:rsid w:val="00987CFB"/>
    <w:rsid w:val="00987F18"/>
    <w:rsid w:val="00990995"/>
    <w:rsid w:val="00992085"/>
    <w:rsid w:val="00992708"/>
    <w:rsid w:val="009930A3"/>
    <w:rsid w:val="00994603"/>
    <w:rsid w:val="00995D84"/>
    <w:rsid w:val="009A003B"/>
    <w:rsid w:val="009A0361"/>
    <w:rsid w:val="009A0E13"/>
    <w:rsid w:val="009A13D5"/>
    <w:rsid w:val="009A1798"/>
    <w:rsid w:val="009A255B"/>
    <w:rsid w:val="009A342C"/>
    <w:rsid w:val="009A4018"/>
    <w:rsid w:val="009A4A1C"/>
    <w:rsid w:val="009A4A59"/>
    <w:rsid w:val="009A5D0F"/>
    <w:rsid w:val="009A7FDF"/>
    <w:rsid w:val="009B08A5"/>
    <w:rsid w:val="009B16D3"/>
    <w:rsid w:val="009B1826"/>
    <w:rsid w:val="009B67C6"/>
    <w:rsid w:val="009B7373"/>
    <w:rsid w:val="009B7475"/>
    <w:rsid w:val="009C0539"/>
    <w:rsid w:val="009C1476"/>
    <w:rsid w:val="009C2649"/>
    <w:rsid w:val="009C44B3"/>
    <w:rsid w:val="009C4FE8"/>
    <w:rsid w:val="009C5147"/>
    <w:rsid w:val="009C7210"/>
    <w:rsid w:val="009D08A5"/>
    <w:rsid w:val="009D20DA"/>
    <w:rsid w:val="009D3A1F"/>
    <w:rsid w:val="009D4388"/>
    <w:rsid w:val="009D4564"/>
    <w:rsid w:val="009D577B"/>
    <w:rsid w:val="009D5B85"/>
    <w:rsid w:val="009D62E2"/>
    <w:rsid w:val="009D71B2"/>
    <w:rsid w:val="009D7773"/>
    <w:rsid w:val="009D78A2"/>
    <w:rsid w:val="009D7EA6"/>
    <w:rsid w:val="009E0E92"/>
    <w:rsid w:val="009E22A3"/>
    <w:rsid w:val="009E355E"/>
    <w:rsid w:val="009E4CF7"/>
    <w:rsid w:val="009E5E28"/>
    <w:rsid w:val="009E6D8D"/>
    <w:rsid w:val="009F0297"/>
    <w:rsid w:val="009F1E19"/>
    <w:rsid w:val="009F246D"/>
    <w:rsid w:val="009F2D31"/>
    <w:rsid w:val="009F2E5F"/>
    <w:rsid w:val="009F33C8"/>
    <w:rsid w:val="009F3A59"/>
    <w:rsid w:val="009F5711"/>
    <w:rsid w:val="009F5726"/>
    <w:rsid w:val="009F5ED5"/>
    <w:rsid w:val="009F6420"/>
    <w:rsid w:val="009F6E96"/>
    <w:rsid w:val="00A01031"/>
    <w:rsid w:val="00A02ADD"/>
    <w:rsid w:val="00A064C0"/>
    <w:rsid w:val="00A06CED"/>
    <w:rsid w:val="00A07AF6"/>
    <w:rsid w:val="00A1012B"/>
    <w:rsid w:val="00A10423"/>
    <w:rsid w:val="00A111DF"/>
    <w:rsid w:val="00A1149E"/>
    <w:rsid w:val="00A1176F"/>
    <w:rsid w:val="00A11B94"/>
    <w:rsid w:val="00A1259A"/>
    <w:rsid w:val="00A125F8"/>
    <w:rsid w:val="00A12C1B"/>
    <w:rsid w:val="00A13071"/>
    <w:rsid w:val="00A13D9A"/>
    <w:rsid w:val="00A16B3F"/>
    <w:rsid w:val="00A16B50"/>
    <w:rsid w:val="00A1786E"/>
    <w:rsid w:val="00A211A3"/>
    <w:rsid w:val="00A211EF"/>
    <w:rsid w:val="00A21528"/>
    <w:rsid w:val="00A21B82"/>
    <w:rsid w:val="00A220DA"/>
    <w:rsid w:val="00A22955"/>
    <w:rsid w:val="00A22BD0"/>
    <w:rsid w:val="00A23949"/>
    <w:rsid w:val="00A2417A"/>
    <w:rsid w:val="00A251BA"/>
    <w:rsid w:val="00A254AD"/>
    <w:rsid w:val="00A27411"/>
    <w:rsid w:val="00A2779A"/>
    <w:rsid w:val="00A30CE7"/>
    <w:rsid w:val="00A312AF"/>
    <w:rsid w:val="00A362B9"/>
    <w:rsid w:val="00A36FD1"/>
    <w:rsid w:val="00A410B0"/>
    <w:rsid w:val="00A4124A"/>
    <w:rsid w:val="00A45B62"/>
    <w:rsid w:val="00A466D0"/>
    <w:rsid w:val="00A47FD0"/>
    <w:rsid w:val="00A50FE3"/>
    <w:rsid w:val="00A51148"/>
    <w:rsid w:val="00A519C0"/>
    <w:rsid w:val="00A534AC"/>
    <w:rsid w:val="00A53FF9"/>
    <w:rsid w:val="00A5495F"/>
    <w:rsid w:val="00A574F4"/>
    <w:rsid w:val="00A5764E"/>
    <w:rsid w:val="00A576DF"/>
    <w:rsid w:val="00A6066A"/>
    <w:rsid w:val="00A62903"/>
    <w:rsid w:val="00A630A6"/>
    <w:rsid w:val="00A63303"/>
    <w:rsid w:val="00A634B9"/>
    <w:rsid w:val="00A63766"/>
    <w:rsid w:val="00A63855"/>
    <w:rsid w:val="00A64B47"/>
    <w:rsid w:val="00A665BF"/>
    <w:rsid w:val="00A71167"/>
    <w:rsid w:val="00A72BBA"/>
    <w:rsid w:val="00A733D9"/>
    <w:rsid w:val="00A73BD2"/>
    <w:rsid w:val="00A73E87"/>
    <w:rsid w:val="00A7400A"/>
    <w:rsid w:val="00A75291"/>
    <w:rsid w:val="00A7536B"/>
    <w:rsid w:val="00A77CF6"/>
    <w:rsid w:val="00A805B6"/>
    <w:rsid w:val="00A81DF7"/>
    <w:rsid w:val="00A83DE5"/>
    <w:rsid w:val="00A84A43"/>
    <w:rsid w:val="00A84CB7"/>
    <w:rsid w:val="00A84DBE"/>
    <w:rsid w:val="00A85CBA"/>
    <w:rsid w:val="00A865E9"/>
    <w:rsid w:val="00A90627"/>
    <w:rsid w:val="00A90929"/>
    <w:rsid w:val="00A93587"/>
    <w:rsid w:val="00A9532F"/>
    <w:rsid w:val="00A96110"/>
    <w:rsid w:val="00A9679D"/>
    <w:rsid w:val="00AA11F1"/>
    <w:rsid w:val="00AA1925"/>
    <w:rsid w:val="00AA3222"/>
    <w:rsid w:val="00AA3BD4"/>
    <w:rsid w:val="00AA49D9"/>
    <w:rsid w:val="00AA4FDB"/>
    <w:rsid w:val="00AA5AC1"/>
    <w:rsid w:val="00AA73CF"/>
    <w:rsid w:val="00AA7440"/>
    <w:rsid w:val="00AB061D"/>
    <w:rsid w:val="00AB0DB3"/>
    <w:rsid w:val="00AB2DC6"/>
    <w:rsid w:val="00AB30D5"/>
    <w:rsid w:val="00AB554B"/>
    <w:rsid w:val="00AB7B62"/>
    <w:rsid w:val="00AC2D82"/>
    <w:rsid w:val="00AC4322"/>
    <w:rsid w:val="00AC4B62"/>
    <w:rsid w:val="00AC7564"/>
    <w:rsid w:val="00AC7700"/>
    <w:rsid w:val="00AD2E5A"/>
    <w:rsid w:val="00AD321E"/>
    <w:rsid w:val="00AD5586"/>
    <w:rsid w:val="00AE2F72"/>
    <w:rsid w:val="00AE312B"/>
    <w:rsid w:val="00AE3CA1"/>
    <w:rsid w:val="00AE5B90"/>
    <w:rsid w:val="00AF0CB8"/>
    <w:rsid w:val="00AF1CCA"/>
    <w:rsid w:val="00AF3E84"/>
    <w:rsid w:val="00AF5673"/>
    <w:rsid w:val="00AF74F6"/>
    <w:rsid w:val="00B00EF7"/>
    <w:rsid w:val="00B0170F"/>
    <w:rsid w:val="00B01A1C"/>
    <w:rsid w:val="00B020ED"/>
    <w:rsid w:val="00B0233F"/>
    <w:rsid w:val="00B05279"/>
    <w:rsid w:val="00B053E7"/>
    <w:rsid w:val="00B06FFE"/>
    <w:rsid w:val="00B07395"/>
    <w:rsid w:val="00B073F7"/>
    <w:rsid w:val="00B1103E"/>
    <w:rsid w:val="00B11920"/>
    <w:rsid w:val="00B12373"/>
    <w:rsid w:val="00B129C2"/>
    <w:rsid w:val="00B13262"/>
    <w:rsid w:val="00B13F79"/>
    <w:rsid w:val="00B13FA0"/>
    <w:rsid w:val="00B1491D"/>
    <w:rsid w:val="00B15C36"/>
    <w:rsid w:val="00B15FAD"/>
    <w:rsid w:val="00B16E8C"/>
    <w:rsid w:val="00B20EAB"/>
    <w:rsid w:val="00B215EE"/>
    <w:rsid w:val="00B21865"/>
    <w:rsid w:val="00B22407"/>
    <w:rsid w:val="00B246FD"/>
    <w:rsid w:val="00B2567F"/>
    <w:rsid w:val="00B2649A"/>
    <w:rsid w:val="00B312D2"/>
    <w:rsid w:val="00B31428"/>
    <w:rsid w:val="00B3436E"/>
    <w:rsid w:val="00B34B6C"/>
    <w:rsid w:val="00B357F1"/>
    <w:rsid w:val="00B37551"/>
    <w:rsid w:val="00B403AD"/>
    <w:rsid w:val="00B40B32"/>
    <w:rsid w:val="00B42721"/>
    <w:rsid w:val="00B438BA"/>
    <w:rsid w:val="00B449D4"/>
    <w:rsid w:val="00B45E0C"/>
    <w:rsid w:val="00B50ADB"/>
    <w:rsid w:val="00B5199F"/>
    <w:rsid w:val="00B52325"/>
    <w:rsid w:val="00B5233B"/>
    <w:rsid w:val="00B546D2"/>
    <w:rsid w:val="00B550A1"/>
    <w:rsid w:val="00B555E5"/>
    <w:rsid w:val="00B5573C"/>
    <w:rsid w:val="00B60CC0"/>
    <w:rsid w:val="00B6171F"/>
    <w:rsid w:val="00B61DF1"/>
    <w:rsid w:val="00B62A5A"/>
    <w:rsid w:val="00B63126"/>
    <w:rsid w:val="00B634D7"/>
    <w:rsid w:val="00B638CC"/>
    <w:rsid w:val="00B6493E"/>
    <w:rsid w:val="00B650A9"/>
    <w:rsid w:val="00B65C3E"/>
    <w:rsid w:val="00B718C8"/>
    <w:rsid w:val="00B71A6D"/>
    <w:rsid w:val="00B73EBD"/>
    <w:rsid w:val="00B754BC"/>
    <w:rsid w:val="00B76AAC"/>
    <w:rsid w:val="00B773F0"/>
    <w:rsid w:val="00B80009"/>
    <w:rsid w:val="00B80931"/>
    <w:rsid w:val="00B80FC5"/>
    <w:rsid w:val="00B814B7"/>
    <w:rsid w:val="00B81760"/>
    <w:rsid w:val="00B82F88"/>
    <w:rsid w:val="00B842E7"/>
    <w:rsid w:val="00B845B8"/>
    <w:rsid w:val="00B848BA"/>
    <w:rsid w:val="00B85494"/>
    <w:rsid w:val="00B86858"/>
    <w:rsid w:val="00B86F6A"/>
    <w:rsid w:val="00B87866"/>
    <w:rsid w:val="00B91012"/>
    <w:rsid w:val="00B91B61"/>
    <w:rsid w:val="00B92E01"/>
    <w:rsid w:val="00B939CF"/>
    <w:rsid w:val="00B93DD8"/>
    <w:rsid w:val="00B94180"/>
    <w:rsid w:val="00B94F8C"/>
    <w:rsid w:val="00B953F5"/>
    <w:rsid w:val="00B955A3"/>
    <w:rsid w:val="00B9567C"/>
    <w:rsid w:val="00B95B53"/>
    <w:rsid w:val="00B95DD3"/>
    <w:rsid w:val="00B964F6"/>
    <w:rsid w:val="00B96FF2"/>
    <w:rsid w:val="00B97551"/>
    <w:rsid w:val="00B978AD"/>
    <w:rsid w:val="00B97F8E"/>
    <w:rsid w:val="00BA03B8"/>
    <w:rsid w:val="00BA0712"/>
    <w:rsid w:val="00BA2FB3"/>
    <w:rsid w:val="00BA39A0"/>
    <w:rsid w:val="00BA4125"/>
    <w:rsid w:val="00BA44BB"/>
    <w:rsid w:val="00BA55B0"/>
    <w:rsid w:val="00BA55F1"/>
    <w:rsid w:val="00BA6830"/>
    <w:rsid w:val="00BA6DF4"/>
    <w:rsid w:val="00BA6E33"/>
    <w:rsid w:val="00BA757E"/>
    <w:rsid w:val="00BA7979"/>
    <w:rsid w:val="00BA7C42"/>
    <w:rsid w:val="00BA7F28"/>
    <w:rsid w:val="00BA7F56"/>
    <w:rsid w:val="00BB02BD"/>
    <w:rsid w:val="00BB0602"/>
    <w:rsid w:val="00BB0893"/>
    <w:rsid w:val="00BB0DCF"/>
    <w:rsid w:val="00BB18BD"/>
    <w:rsid w:val="00BB257B"/>
    <w:rsid w:val="00BB365E"/>
    <w:rsid w:val="00BB3BCA"/>
    <w:rsid w:val="00BB4CEE"/>
    <w:rsid w:val="00BB5594"/>
    <w:rsid w:val="00BB5A03"/>
    <w:rsid w:val="00BB5AB5"/>
    <w:rsid w:val="00BB6675"/>
    <w:rsid w:val="00BB6DC1"/>
    <w:rsid w:val="00BB79FE"/>
    <w:rsid w:val="00BB7CEE"/>
    <w:rsid w:val="00BC0420"/>
    <w:rsid w:val="00BC1610"/>
    <w:rsid w:val="00BC1BD1"/>
    <w:rsid w:val="00BC2D2B"/>
    <w:rsid w:val="00BC35C6"/>
    <w:rsid w:val="00BC5E09"/>
    <w:rsid w:val="00BD0220"/>
    <w:rsid w:val="00BD14D7"/>
    <w:rsid w:val="00BD279B"/>
    <w:rsid w:val="00BD35C0"/>
    <w:rsid w:val="00BD4AFC"/>
    <w:rsid w:val="00BD59D1"/>
    <w:rsid w:val="00BD5A6B"/>
    <w:rsid w:val="00BD69EE"/>
    <w:rsid w:val="00BD6FB7"/>
    <w:rsid w:val="00BE063D"/>
    <w:rsid w:val="00BE2F95"/>
    <w:rsid w:val="00BE3B21"/>
    <w:rsid w:val="00BE47C2"/>
    <w:rsid w:val="00BF054E"/>
    <w:rsid w:val="00BF09A4"/>
    <w:rsid w:val="00BF09E7"/>
    <w:rsid w:val="00BF2B59"/>
    <w:rsid w:val="00BF7084"/>
    <w:rsid w:val="00BF77EA"/>
    <w:rsid w:val="00BF7941"/>
    <w:rsid w:val="00C00302"/>
    <w:rsid w:val="00C01625"/>
    <w:rsid w:val="00C01AD4"/>
    <w:rsid w:val="00C01B18"/>
    <w:rsid w:val="00C0287D"/>
    <w:rsid w:val="00C02A5B"/>
    <w:rsid w:val="00C0334F"/>
    <w:rsid w:val="00C0443C"/>
    <w:rsid w:val="00C0453F"/>
    <w:rsid w:val="00C061E6"/>
    <w:rsid w:val="00C06316"/>
    <w:rsid w:val="00C06815"/>
    <w:rsid w:val="00C075FF"/>
    <w:rsid w:val="00C13412"/>
    <w:rsid w:val="00C1455E"/>
    <w:rsid w:val="00C14ACE"/>
    <w:rsid w:val="00C158FB"/>
    <w:rsid w:val="00C15DBE"/>
    <w:rsid w:val="00C15F86"/>
    <w:rsid w:val="00C16197"/>
    <w:rsid w:val="00C163CB"/>
    <w:rsid w:val="00C17192"/>
    <w:rsid w:val="00C20056"/>
    <w:rsid w:val="00C20078"/>
    <w:rsid w:val="00C202ED"/>
    <w:rsid w:val="00C20D48"/>
    <w:rsid w:val="00C214E9"/>
    <w:rsid w:val="00C222B1"/>
    <w:rsid w:val="00C22AB6"/>
    <w:rsid w:val="00C23E26"/>
    <w:rsid w:val="00C23E5A"/>
    <w:rsid w:val="00C242F2"/>
    <w:rsid w:val="00C2450F"/>
    <w:rsid w:val="00C24AE5"/>
    <w:rsid w:val="00C25120"/>
    <w:rsid w:val="00C27266"/>
    <w:rsid w:val="00C27E92"/>
    <w:rsid w:val="00C3028A"/>
    <w:rsid w:val="00C30954"/>
    <w:rsid w:val="00C309BA"/>
    <w:rsid w:val="00C31076"/>
    <w:rsid w:val="00C32CB4"/>
    <w:rsid w:val="00C330FA"/>
    <w:rsid w:val="00C34412"/>
    <w:rsid w:val="00C345E6"/>
    <w:rsid w:val="00C34DFF"/>
    <w:rsid w:val="00C35F3A"/>
    <w:rsid w:val="00C37144"/>
    <w:rsid w:val="00C37875"/>
    <w:rsid w:val="00C37A10"/>
    <w:rsid w:val="00C41001"/>
    <w:rsid w:val="00C41BFD"/>
    <w:rsid w:val="00C4259B"/>
    <w:rsid w:val="00C43D72"/>
    <w:rsid w:val="00C4444C"/>
    <w:rsid w:val="00C4493A"/>
    <w:rsid w:val="00C45AEC"/>
    <w:rsid w:val="00C462B9"/>
    <w:rsid w:val="00C477F7"/>
    <w:rsid w:val="00C5115C"/>
    <w:rsid w:val="00C5130E"/>
    <w:rsid w:val="00C53A5E"/>
    <w:rsid w:val="00C53C69"/>
    <w:rsid w:val="00C545A9"/>
    <w:rsid w:val="00C5460A"/>
    <w:rsid w:val="00C54939"/>
    <w:rsid w:val="00C569F2"/>
    <w:rsid w:val="00C577B6"/>
    <w:rsid w:val="00C613C9"/>
    <w:rsid w:val="00C614F4"/>
    <w:rsid w:val="00C622AC"/>
    <w:rsid w:val="00C6275F"/>
    <w:rsid w:val="00C644B0"/>
    <w:rsid w:val="00C6501E"/>
    <w:rsid w:val="00C65A5C"/>
    <w:rsid w:val="00C67E14"/>
    <w:rsid w:val="00C703F1"/>
    <w:rsid w:val="00C71459"/>
    <w:rsid w:val="00C71851"/>
    <w:rsid w:val="00C718DE"/>
    <w:rsid w:val="00C72A87"/>
    <w:rsid w:val="00C72EB4"/>
    <w:rsid w:val="00C73CD2"/>
    <w:rsid w:val="00C74B01"/>
    <w:rsid w:val="00C74C78"/>
    <w:rsid w:val="00C7544D"/>
    <w:rsid w:val="00C760D4"/>
    <w:rsid w:val="00C76511"/>
    <w:rsid w:val="00C767AD"/>
    <w:rsid w:val="00C76A75"/>
    <w:rsid w:val="00C80E3D"/>
    <w:rsid w:val="00C81944"/>
    <w:rsid w:val="00C83471"/>
    <w:rsid w:val="00C84209"/>
    <w:rsid w:val="00C84BB4"/>
    <w:rsid w:val="00C8582A"/>
    <w:rsid w:val="00C863D6"/>
    <w:rsid w:val="00C86A06"/>
    <w:rsid w:val="00C86EE2"/>
    <w:rsid w:val="00C86EF1"/>
    <w:rsid w:val="00C905AA"/>
    <w:rsid w:val="00C909DD"/>
    <w:rsid w:val="00C92687"/>
    <w:rsid w:val="00C9287F"/>
    <w:rsid w:val="00C95995"/>
    <w:rsid w:val="00C95E4F"/>
    <w:rsid w:val="00C95EE9"/>
    <w:rsid w:val="00C96864"/>
    <w:rsid w:val="00C97199"/>
    <w:rsid w:val="00C9793A"/>
    <w:rsid w:val="00CA00C0"/>
    <w:rsid w:val="00CA02AE"/>
    <w:rsid w:val="00CA0916"/>
    <w:rsid w:val="00CA1AEC"/>
    <w:rsid w:val="00CA1FB2"/>
    <w:rsid w:val="00CA214C"/>
    <w:rsid w:val="00CA3CC4"/>
    <w:rsid w:val="00CA4086"/>
    <w:rsid w:val="00CA4ECE"/>
    <w:rsid w:val="00CA521A"/>
    <w:rsid w:val="00CA54FA"/>
    <w:rsid w:val="00CA6765"/>
    <w:rsid w:val="00CA6CFF"/>
    <w:rsid w:val="00CA72BE"/>
    <w:rsid w:val="00CB02C5"/>
    <w:rsid w:val="00CB09A1"/>
    <w:rsid w:val="00CB0A8A"/>
    <w:rsid w:val="00CB0B5F"/>
    <w:rsid w:val="00CB2281"/>
    <w:rsid w:val="00CB27DB"/>
    <w:rsid w:val="00CB44B4"/>
    <w:rsid w:val="00CB511E"/>
    <w:rsid w:val="00CB69F1"/>
    <w:rsid w:val="00CB7DCC"/>
    <w:rsid w:val="00CC02EA"/>
    <w:rsid w:val="00CC327B"/>
    <w:rsid w:val="00CC585F"/>
    <w:rsid w:val="00CC5F46"/>
    <w:rsid w:val="00CC64CC"/>
    <w:rsid w:val="00CC6933"/>
    <w:rsid w:val="00CC77B2"/>
    <w:rsid w:val="00CC78CF"/>
    <w:rsid w:val="00CC7B5A"/>
    <w:rsid w:val="00CD053E"/>
    <w:rsid w:val="00CD0552"/>
    <w:rsid w:val="00CD3428"/>
    <w:rsid w:val="00CD3F80"/>
    <w:rsid w:val="00CD43AA"/>
    <w:rsid w:val="00CD518B"/>
    <w:rsid w:val="00CD6398"/>
    <w:rsid w:val="00CD6BE0"/>
    <w:rsid w:val="00CE0332"/>
    <w:rsid w:val="00CE08B2"/>
    <w:rsid w:val="00CE13F5"/>
    <w:rsid w:val="00CE2624"/>
    <w:rsid w:val="00CE4365"/>
    <w:rsid w:val="00CE6FD1"/>
    <w:rsid w:val="00CE7CF2"/>
    <w:rsid w:val="00CE7F0D"/>
    <w:rsid w:val="00CF1AB3"/>
    <w:rsid w:val="00CF1DA2"/>
    <w:rsid w:val="00CF2295"/>
    <w:rsid w:val="00CF243D"/>
    <w:rsid w:val="00CF3C58"/>
    <w:rsid w:val="00CF3D33"/>
    <w:rsid w:val="00CF6CEB"/>
    <w:rsid w:val="00CF701D"/>
    <w:rsid w:val="00CF7837"/>
    <w:rsid w:val="00CF7B9B"/>
    <w:rsid w:val="00D0093A"/>
    <w:rsid w:val="00D01A51"/>
    <w:rsid w:val="00D02550"/>
    <w:rsid w:val="00D04BE9"/>
    <w:rsid w:val="00D051E8"/>
    <w:rsid w:val="00D06F05"/>
    <w:rsid w:val="00D105F6"/>
    <w:rsid w:val="00D10B78"/>
    <w:rsid w:val="00D14FC3"/>
    <w:rsid w:val="00D1521F"/>
    <w:rsid w:val="00D15CBC"/>
    <w:rsid w:val="00D16A6F"/>
    <w:rsid w:val="00D17573"/>
    <w:rsid w:val="00D177B8"/>
    <w:rsid w:val="00D20743"/>
    <w:rsid w:val="00D20807"/>
    <w:rsid w:val="00D212B4"/>
    <w:rsid w:val="00D21724"/>
    <w:rsid w:val="00D22569"/>
    <w:rsid w:val="00D22E12"/>
    <w:rsid w:val="00D23570"/>
    <w:rsid w:val="00D23694"/>
    <w:rsid w:val="00D237D5"/>
    <w:rsid w:val="00D23D07"/>
    <w:rsid w:val="00D24B50"/>
    <w:rsid w:val="00D254F0"/>
    <w:rsid w:val="00D25F34"/>
    <w:rsid w:val="00D27E0B"/>
    <w:rsid w:val="00D308F2"/>
    <w:rsid w:val="00D31288"/>
    <w:rsid w:val="00D31AD9"/>
    <w:rsid w:val="00D32D41"/>
    <w:rsid w:val="00D33326"/>
    <w:rsid w:val="00D33B91"/>
    <w:rsid w:val="00D33DF5"/>
    <w:rsid w:val="00D34409"/>
    <w:rsid w:val="00D34994"/>
    <w:rsid w:val="00D34EB2"/>
    <w:rsid w:val="00D37028"/>
    <w:rsid w:val="00D37C12"/>
    <w:rsid w:val="00D4012E"/>
    <w:rsid w:val="00D406AC"/>
    <w:rsid w:val="00D40862"/>
    <w:rsid w:val="00D40977"/>
    <w:rsid w:val="00D419CC"/>
    <w:rsid w:val="00D41E5B"/>
    <w:rsid w:val="00D427A7"/>
    <w:rsid w:val="00D44D4A"/>
    <w:rsid w:val="00D45041"/>
    <w:rsid w:val="00D4521E"/>
    <w:rsid w:val="00D46339"/>
    <w:rsid w:val="00D4707E"/>
    <w:rsid w:val="00D476A9"/>
    <w:rsid w:val="00D47B80"/>
    <w:rsid w:val="00D50E01"/>
    <w:rsid w:val="00D51383"/>
    <w:rsid w:val="00D5270E"/>
    <w:rsid w:val="00D538DE"/>
    <w:rsid w:val="00D54E3F"/>
    <w:rsid w:val="00D5750F"/>
    <w:rsid w:val="00D57F69"/>
    <w:rsid w:val="00D60814"/>
    <w:rsid w:val="00D62265"/>
    <w:rsid w:val="00D63579"/>
    <w:rsid w:val="00D650FF"/>
    <w:rsid w:val="00D653BC"/>
    <w:rsid w:val="00D65804"/>
    <w:rsid w:val="00D67A9F"/>
    <w:rsid w:val="00D7026E"/>
    <w:rsid w:val="00D7088C"/>
    <w:rsid w:val="00D70AB0"/>
    <w:rsid w:val="00D71D20"/>
    <w:rsid w:val="00D71E38"/>
    <w:rsid w:val="00D7349C"/>
    <w:rsid w:val="00D73C19"/>
    <w:rsid w:val="00D73F61"/>
    <w:rsid w:val="00D746F1"/>
    <w:rsid w:val="00D74D0B"/>
    <w:rsid w:val="00D7656A"/>
    <w:rsid w:val="00D77143"/>
    <w:rsid w:val="00D77396"/>
    <w:rsid w:val="00D777A2"/>
    <w:rsid w:val="00D801A8"/>
    <w:rsid w:val="00D807E0"/>
    <w:rsid w:val="00D84664"/>
    <w:rsid w:val="00D85384"/>
    <w:rsid w:val="00D85CDA"/>
    <w:rsid w:val="00D869B0"/>
    <w:rsid w:val="00D9113B"/>
    <w:rsid w:val="00D91A75"/>
    <w:rsid w:val="00D929AA"/>
    <w:rsid w:val="00D93433"/>
    <w:rsid w:val="00D93575"/>
    <w:rsid w:val="00D95945"/>
    <w:rsid w:val="00D95E7E"/>
    <w:rsid w:val="00D96F26"/>
    <w:rsid w:val="00D9733E"/>
    <w:rsid w:val="00DA024E"/>
    <w:rsid w:val="00DA04E1"/>
    <w:rsid w:val="00DA08CC"/>
    <w:rsid w:val="00DA18A0"/>
    <w:rsid w:val="00DA1C78"/>
    <w:rsid w:val="00DA289D"/>
    <w:rsid w:val="00DA3496"/>
    <w:rsid w:val="00DA528F"/>
    <w:rsid w:val="00DA53B9"/>
    <w:rsid w:val="00DA54E4"/>
    <w:rsid w:val="00DA666C"/>
    <w:rsid w:val="00DA756A"/>
    <w:rsid w:val="00DB04CE"/>
    <w:rsid w:val="00DB0EA3"/>
    <w:rsid w:val="00DB19C3"/>
    <w:rsid w:val="00DB1EEA"/>
    <w:rsid w:val="00DB2561"/>
    <w:rsid w:val="00DB38E9"/>
    <w:rsid w:val="00DB3FBB"/>
    <w:rsid w:val="00DB3FC3"/>
    <w:rsid w:val="00DB4593"/>
    <w:rsid w:val="00DB5659"/>
    <w:rsid w:val="00DB58D4"/>
    <w:rsid w:val="00DB7039"/>
    <w:rsid w:val="00DB7258"/>
    <w:rsid w:val="00DC031E"/>
    <w:rsid w:val="00DC0855"/>
    <w:rsid w:val="00DC2092"/>
    <w:rsid w:val="00DC21E4"/>
    <w:rsid w:val="00DC2F3E"/>
    <w:rsid w:val="00DC3C7A"/>
    <w:rsid w:val="00DC44AA"/>
    <w:rsid w:val="00DC4A3B"/>
    <w:rsid w:val="00DC531A"/>
    <w:rsid w:val="00DC7263"/>
    <w:rsid w:val="00DC7635"/>
    <w:rsid w:val="00DC7915"/>
    <w:rsid w:val="00DD01D0"/>
    <w:rsid w:val="00DD0811"/>
    <w:rsid w:val="00DD1AB8"/>
    <w:rsid w:val="00DD2559"/>
    <w:rsid w:val="00DD4CF1"/>
    <w:rsid w:val="00DD4ED9"/>
    <w:rsid w:val="00DD541A"/>
    <w:rsid w:val="00DD5996"/>
    <w:rsid w:val="00DD6931"/>
    <w:rsid w:val="00DD6D25"/>
    <w:rsid w:val="00DE023F"/>
    <w:rsid w:val="00DE1D20"/>
    <w:rsid w:val="00DE22A8"/>
    <w:rsid w:val="00DE34F4"/>
    <w:rsid w:val="00DE3785"/>
    <w:rsid w:val="00DE47FD"/>
    <w:rsid w:val="00DE4A78"/>
    <w:rsid w:val="00DE4D64"/>
    <w:rsid w:val="00DE6C13"/>
    <w:rsid w:val="00DE7214"/>
    <w:rsid w:val="00DE7D8D"/>
    <w:rsid w:val="00DF03B6"/>
    <w:rsid w:val="00DF099C"/>
    <w:rsid w:val="00DF1DBE"/>
    <w:rsid w:val="00DF25D0"/>
    <w:rsid w:val="00DF28DF"/>
    <w:rsid w:val="00DF2D95"/>
    <w:rsid w:val="00DF388F"/>
    <w:rsid w:val="00DF514E"/>
    <w:rsid w:val="00DF57AA"/>
    <w:rsid w:val="00DF58DA"/>
    <w:rsid w:val="00DF645C"/>
    <w:rsid w:val="00DF66F4"/>
    <w:rsid w:val="00E013B3"/>
    <w:rsid w:val="00E0196E"/>
    <w:rsid w:val="00E02502"/>
    <w:rsid w:val="00E03C64"/>
    <w:rsid w:val="00E0436A"/>
    <w:rsid w:val="00E04435"/>
    <w:rsid w:val="00E05A1D"/>
    <w:rsid w:val="00E063CE"/>
    <w:rsid w:val="00E06526"/>
    <w:rsid w:val="00E06B8E"/>
    <w:rsid w:val="00E07436"/>
    <w:rsid w:val="00E07681"/>
    <w:rsid w:val="00E101F1"/>
    <w:rsid w:val="00E1020D"/>
    <w:rsid w:val="00E104AA"/>
    <w:rsid w:val="00E107A5"/>
    <w:rsid w:val="00E11455"/>
    <w:rsid w:val="00E11B05"/>
    <w:rsid w:val="00E11D25"/>
    <w:rsid w:val="00E12821"/>
    <w:rsid w:val="00E134C8"/>
    <w:rsid w:val="00E13BC8"/>
    <w:rsid w:val="00E1450B"/>
    <w:rsid w:val="00E14F3B"/>
    <w:rsid w:val="00E1752B"/>
    <w:rsid w:val="00E17582"/>
    <w:rsid w:val="00E20BCC"/>
    <w:rsid w:val="00E213DA"/>
    <w:rsid w:val="00E2148F"/>
    <w:rsid w:val="00E229DF"/>
    <w:rsid w:val="00E22C87"/>
    <w:rsid w:val="00E23BCA"/>
    <w:rsid w:val="00E2446E"/>
    <w:rsid w:val="00E253C6"/>
    <w:rsid w:val="00E26244"/>
    <w:rsid w:val="00E262D7"/>
    <w:rsid w:val="00E33E5F"/>
    <w:rsid w:val="00E34024"/>
    <w:rsid w:val="00E34258"/>
    <w:rsid w:val="00E34515"/>
    <w:rsid w:val="00E34A94"/>
    <w:rsid w:val="00E34ECB"/>
    <w:rsid w:val="00E354BA"/>
    <w:rsid w:val="00E3701B"/>
    <w:rsid w:val="00E37F2A"/>
    <w:rsid w:val="00E401D6"/>
    <w:rsid w:val="00E4069B"/>
    <w:rsid w:val="00E41362"/>
    <w:rsid w:val="00E4146E"/>
    <w:rsid w:val="00E42357"/>
    <w:rsid w:val="00E4630C"/>
    <w:rsid w:val="00E46792"/>
    <w:rsid w:val="00E47A13"/>
    <w:rsid w:val="00E47B92"/>
    <w:rsid w:val="00E50488"/>
    <w:rsid w:val="00E52EF3"/>
    <w:rsid w:val="00E5422A"/>
    <w:rsid w:val="00E543BB"/>
    <w:rsid w:val="00E55031"/>
    <w:rsid w:val="00E569CD"/>
    <w:rsid w:val="00E576BD"/>
    <w:rsid w:val="00E60334"/>
    <w:rsid w:val="00E61AB5"/>
    <w:rsid w:val="00E61DA8"/>
    <w:rsid w:val="00E63092"/>
    <w:rsid w:val="00E63E1E"/>
    <w:rsid w:val="00E64443"/>
    <w:rsid w:val="00E65428"/>
    <w:rsid w:val="00E658D6"/>
    <w:rsid w:val="00E66077"/>
    <w:rsid w:val="00E66112"/>
    <w:rsid w:val="00E66118"/>
    <w:rsid w:val="00E66EC7"/>
    <w:rsid w:val="00E67494"/>
    <w:rsid w:val="00E72A08"/>
    <w:rsid w:val="00E74C96"/>
    <w:rsid w:val="00E755C3"/>
    <w:rsid w:val="00E75AB4"/>
    <w:rsid w:val="00E770E1"/>
    <w:rsid w:val="00E80C12"/>
    <w:rsid w:val="00E80D03"/>
    <w:rsid w:val="00E81511"/>
    <w:rsid w:val="00E825AB"/>
    <w:rsid w:val="00E82C34"/>
    <w:rsid w:val="00E83051"/>
    <w:rsid w:val="00E848C1"/>
    <w:rsid w:val="00E84E31"/>
    <w:rsid w:val="00E85543"/>
    <w:rsid w:val="00E85B01"/>
    <w:rsid w:val="00E86440"/>
    <w:rsid w:val="00E870CC"/>
    <w:rsid w:val="00E9090F"/>
    <w:rsid w:val="00E9098C"/>
    <w:rsid w:val="00E91080"/>
    <w:rsid w:val="00E948ED"/>
    <w:rsid w:val="00E94EFF"/>
    <w:rsid w:val="00E94F5D"/>
    <w:rsid w:val="00E95322"/>
    <w:rsid w:val="00E955FA"/>
    <w:rsid w:val="00E957B6"/>
    <w:rsid w:val="00E95F6E"/>
    <w:rsid w:val="00E96EDF"/>
    <w:rsid w:val="00EA0B5A"/>
    <w:rsid w:val="00EA114F"/>
    <w:rsid w:val="00EA20AF"/>
    <w:rsid w:val="00EA4EF1"/>
    <w:rsid w:val="00EA58EE"/>
    <w:rsid w:val="00EA71DF"/>
    <w:rsid w:val="00EB10C9"/>
    <w:rsid w:val="00EB2288"/>
    <w:rsid w:val="00EB248D"/>
    <w:rsid w:val="00EB2CFE"/>
    <w:rsid w:val="00EB402A"/>
    <w:rsid w:val="00EB4598"/>
    <w:rsid w:val="00EB51B2"/>
    <w:rsid w:val="00EB57C6"/>
    <w:rsid w:val="00EB5EF2"/>
    <w:rsid w:val="00EB5F4D"/>
    <w:rsid w:val="00EB66C8"/>
    <w:rsid w:val="00EB697C"/>
    <w:rsid w:val="00EC0C55"/>
    <w:rsid w:val="00EC133F"/>
    <w:rsid w:val="00EC1794"/>
    <w:rsid w:val="00EC2FF1"/>
    <w:rsid w:val="00EC3A5D"/>
    <w:rsid w:val="00EC410B"/>
    <w:rsid w:val="00EC42EC"/>
    <w:rsid w:val="00EC64CF"/>
    <w:rsid w:val="00EC688F"/>
    <w:rsid w:val="00ED0659"/>
    <w:rsid w:val="00ED080C"/>
    <w:rsid w:val="00ED0AF9"/>
    <w:rsid w:val="00ED0B6B"/>
    <w:rsid w:val="00ED0DB9"/>
    <w:rsid w:val="00ED23FD"/>
    <w:rsid w:val="00ED303E"/>
    <w:rsid w:val="00ED55BA"/>
    <w:rsid w:val="00ED5E3A"/>
    <w:rsid w:val="00ED6D4E"/>
    <w:rsid w:val="00EE19C7"/>
    <w:rsid w:val="00EE1B69"/>
    <w:rsid w:val="00EE4B6C"/>
    <w:rsid w:val="00EE5E73"/>
    <w:rsid w:val="00EE6085"/>
    <w:rsid w:val="00EF0B3E"/>
    <w:rsid w:val="00EF1E3C"/>
    <w:rsid w:val="00EF39AC"/>
    <w:rsid w:val="00EF3BFC"/>
    <w:rsid w:val="00EF6892"/>
    <w:rsid w:val="00EF7032"/>
    <w:rsid w:val="00F000E8"/>
    <w:rsid w:val="00F0027A"/>
    <w:rsid w:val="00F00325"/>
    <w:rsid w:val="00F0081D"/>
    <w:rsid w:val="00F00CD6"/>
    <w:rsid w:val="00F00E2E"/>
    <w:rsid w:val="00F0152D"/>
    <w:rsid w:val="00F0255C"/>
    <w:rsid w:val="00F027C9"/>
    <w:rsid w:val="00F0579D"/>
    <w:rsid w:val="00F072E5"/>
    <w:rsid w:val="00F07ABF"/>
    <w:rsid w:val="00F1047C"/>
    <w:rsid w:val="00F1093E"/>
    <w:rsid w:val="00F11B1E"/>
    <w:rsid w:val="00F122E0"/>
    <w:rsid w:val="00F12790"/>
    <w:rsid w:val="00F14F11"/>
    <w:rsid w:val="00F151C1"/>
    <w:rsid w:val="00F160DB"/>
    <w:rsid w:val="00F1666B"/>
    <w:rsid w:val="00F166F8"/>
    <w:rsid w:val="00F16796"/>
    <w:rsid w:val="00F16F1C"/>
    <w:rsid w:val="00F20D9A"/>
    <w:rsid w:val="00F224C3"/>
    <w:rsid w:val="00F227B2"/>
    <w:rsid w:val="00F231A4"/>
    <w:rsid w:val="00F234C5"/>
    <w:rsid w:val="00F2436A"/>
    <w:rsid w:val="00F24A82"/>
    <w:rsid w:val="00F25607"/>
    <w:rsid w:val="00F2655C"/>
    <w:rsid w:val="00F2716D"/>
    <w:rsid w:val="00F27B73"/>
    <w:rsid w:val="00F27B9C"/>
    <w:rsid w:val="00F30782"/>
    <w:rsid w:val="00F30DE8"/>
    <w:rsid w:val="00F3185E"/>
    <w:rsid w:val="00F32161"/>
    <w:rsid w:val="00F32568"/>
    <w:rsid w:val="00F32D57"/>
    <w:rsid w:val="00F33A8A"/>
    <w:rsid w:val="00F33C86"/>
    <w:rsid w:val="00F34AFC"/>
    <w:rsid w:val="00F357CF"/>
    <w:rsid w:val="00F36073"/>
    <w:rsid w:val="00F367BE"/>
    <w:rsid w:val="00F36A0D"/>
    <w:rsid w:val="00F37530"/>
    <w:rsid w:val="00F401A2"/>
    <w:rsid w:val="00F41754"/>
    <w:rsid w:val="00F41AB9"/>
    <w:rsid w:val="00F4253A"/>
    <w:rsid w:val="00F434D8"/>
    <w:rsid w:val="00F44FB9"/>
    <w:rsid w:val="00F4561B"/>
    <w:rsid w:val="00F45E56"/>
    <w:rsid w:val="00F4710C"/>
    <w:rsid w:val="00F506C1"/>
    <w:rsid w:val="00F50BA3"/>
    <w:rsid w:val="00F51877"/>
    <w:rsid w:val="00F53AF8"/>
    <w:rsid w:val="00F54BDA"/>
    <w:rsid w:val="00F553E5"/>
    <w:rsid w:val="00F55E8E"/>
    <w:rsid w:val="00F565F0"/>
    <w:rsid w:val="00F56717"/>
    <w:rsid w:val="00F6108D"/>
    <w:rsid w:val="00F620A1"/>
    <w:rsid w:val="00F6249E"/>
    <w:rsid w:val="00F62D93"/>
    <w:rsid w:val="00F6314D"/>
    <w:rsid w:val="00F6391F"/>
    <w:rsid w:val="00F6464E"/>
    <w:rsid w:val="00F6568E"/>
    <w:rsid w:val="00F6720F"/>
    <w:rsid w:val="00F679E8"/>
    <w:rsid w:val="00F72F37"/>
    <w:rsid w:val="00F731FF"/>
    <w:rsid w:val="00F738DA"/>
    <w:rsid w:val="00F76A0A"/>
    <w:rsid w:val="00F80466"/>
    <w:rsid w:val="00F810C8"/>
    <w:rsid w:val="00F81182"/>
    <w:rsid w:val="00F820C6"/>
    <w:rsid w:val="00F8240F"/>
    <w:rsid w:val="00F82B39"/>
    <w:rsid w:val="00F82D12"/>
    <w:rsid w:val="00F8319D"/>
    <w:rsid w:val="00F838E6"/>
    <w:rsid w:val="00F86458"/>
    <w:rsid w:val="00F90196"/>
    <w:rsid w:val="00F906D3"/>
    <w:rsid w:val="00F9077A"/>
    <w:rsid w:val="00F90D92"/>
    <w:rsid w:val="00F91D01"/>
    <w:rsid w:val="00F927D5"/>
    <w:rsid w:val="00F930FE"/>
    <w:rsid w:val="00F93537"/>
    <w:rsid w:val="00F93EE3"/>
    <w:rsid w:val="00F95377"/>
    <w:rsid w:val="00F961D5"/>
    <w:rsid w:val="00F9659C"/>
    <w:rsid w:val="00FA05E2"/>
    <w:rsid w:val="00FA0909"/>
    <w:rsid w:val="00FA138C"/>
    <w:rsid w:val="00FA1FB3"/>
    <w:rsid w:val="00FA22BF"/>
    <w:rsid w:val="00FA23C1"/>
    <w:rsid w:val="00FA29E9"/>
    <w:rsid w:val="00FA2D24"/>
    <w:rsid w:val="00FA3220"/>
    <w:rsid w:val="00FA36A3"/>
    <w:rsid w:val="00FA3A4B"/>
    <w:rsid w:val="00FA3F92"/>
    <w:rsid w:val="00FA508E"/>
    <w:rsid w:val="00FB08D7"/>
    <w:rsid w:val="00FB13D8"/>
    <w:rsid w:val="00FB20F7"/>
    <w:rsid w:val="00FB3554"/>
    <w:rsid w:val="00FB4417"/>
    <w:rsid w:val="00FB53DD"/>
    <w:rsid w:val="00FB54D9"/>
    <w:rsid w:val="00FB6358"/>
    <w:rsid w:val="00FB6661"/>
    <w:rsid w:val="00FB67FA"/>
    <w:rsid w:val="00FB6B6E"/>
    <w:rsid w:val="00FC05D8"/>
    <w:rsid w:val="00FC1971"/>
    <w:rsid w:val="00FC35AF"/>
    <w:rsid w:val="00FC394C"/>
    <w:rsid w:val="00FC42C2"/>
    <w:rsid w:val="00FC4F7E"/>
    <w:rsid w:val="00FC6131"/>
    <w:rsid w:val="00FC78E1"/>
    <w:rsid w:val="00FD0B57"/>
    <w:rsid w:val="00FD0B6F"/>
    <w:rsid w:val="00FD28E4"/>
    <w:rsid w:val="00FD2A7A"/>
    <w:rsid w:val="00FD3691"/>
    <w:rsid w:val="00FD38A8"/>
    <w:rsid w:val="00FD442D"/>
    <w:rsid w:val="00FD62E8"/>
    <w:rsid w:val="00FD7C86"/>
    <w:rsid w:val="00FE0408"/>
    <w:rsid w:val="00FE1451"/>
    <w:rsid w:val="00FE1729"/>
    <w:rsid w:val="00FE18AF"/>
    <w:rsid w:val="00FE4370"/>
    <w:rsid w:val="00FE4AC9"/>
    <w:rsid w:val="00FE4B39"/>
    <w:rsid w:val="00FE4CEB"/>
    <w:rsid w:val="00FE5325"/>
    <w:rsid w:val="00FE6637"/>
    <w:rsid w:val="00FE6FD7"/>
    <w:rsid w:val="00FF0B81"/>
    <w:rsid w:val="00FF0EDA"/>
    <w:rsid w:val="00FF14C2"/>
    <w:rsid w:val="00FF29E5"/>
    <w:rsid w:val="00FF389F"/>
    <w:rsid w:val="00FF38E6"/>
    <w:rsid w:val="00FF466E"/>
    <w:rsid w:val="00FF5856"/>
    <w:rsid w:val="00FF5E69"/>
    <w:rsid w:val="00FF647E"/>
    <w:rsid w:val="00FF7D61"/>
    <w:rsid w:val="015A6B0D"/>
    <w:rsid w:val="018B23B0"/>
    <w:rsid w:val="020B40BC"/>
    <w:rsid w:val="02223139"/>
    <w:rsid w:val="02B97113"/>
    <w:rsid w:val="03AF6685"/>
    <w:rsid w:val="04081E41"/>
    <w:rsid w:val="042033C6"/>
    <w:rsid w:val="04252822"/>
    <w:rsid w:val="04396A4D"/>
    <w:rsid w:val="05042926"/>
    <w:rsid w:val="062A33FA"/>
    <w:rsid w:val="06B40CC7"/>
    <w:rsid w:val="07580FC2"/>
    <w:rsid w:val="086E0ACE"/>
    <w:rsid w:val="09370084"/>
    <w:rsid w:val="093757B7"/>
    <w:rsid w:val="094A64C9"/>
    <w:rsid w:val="09903565"/>
    <w:rsid w:val="09DC6050"/>
    <w:rsid w:val="0A866E65"/>
    <w:rsid w:val="0AFA6899"/>
    <w:rsid w:val="0BC010FB"/>
    <w:rsid w:val="0C4B4845"/>
    <w:rsid w:val="0C652498"/>
    <w:rsid w:val="0C732378"/>
    <w:rsid w:val="0C7D5263"/>
    <w:rsid w:val="0CF440B3"/>
    <w:rsid w:val="0D6E4E6E"/>
    <w:rsid w:val="0E7D0D41"/>
    <w:rsid w:val="0F157490"/>
    <w:rsid w:val="0FC45EDE"/>
    <w:rsid w:val="100841D1"/>
    <w:rsid w:val="102D6BC2"/>
    <w:rsid w:val="10C6793B"/>
    <w:rsid w:val="10D82BCA"/>
    <w:rsid w:val="11BD12E7"/>
    <w:rsid w:val="1273645A"/>
    <w:rsid w:val="12C90C93"/>
    <w:rsid w:val="12D605E2"/>
    <w:rsid w:val="145D64B8"/>
    <w:rsid w:val="15680C8C"/>
    <w:rsid w:val="162B0A36"/>
    <w:rsid w:val="1663620F"/>
    <w:rsid w:val="16B37B8E"/>
    <w:rsid w:val="171E2745"/>
    <w:rsid w:val="173C1C7A"/>
    <w:rsid w:val="173F1F75"/>
    <w:rsid w:val="17E044F5"/>
    <w:rsid w:val="17E94EE8"/>
    <w:rsid w:val="18FD6A9F"/>
    <w:rsid w:val="1A5B4BC9"/>
    <w:rsid w:val="1B101AD6"/>
    <w:rsid w:val="1BAD5859"/>
    <w:rsid w:val="1C9902C5"/>
    <w:rsid w:val="1D3B3B85"/>
    <w:rsid w:val="1D8D7399"/>
    <w:rsid w:val="1DAF0F4C"/>
    <w:rsid w:val="1E690BAA"/>
    <w:rsid w:val="1E992C03"/>
    <w:rsid w:val="1F4F47D2"/>
    <w:rsid w:val="1FA5790A"/>
    <w:rsid w:val="207709DF"/>
    <w:rsid w:val="2099497E"/>
    <w:rsid w:val="20B612DC"/>
    <w:rsid w:val="20F73294"/>
    <w:rsid w:val="21371809"/>
    <w:rsid w:val="22E86F09"/>
    <w:rsid w:val="230B281B"/>
    <w:rsid w:val="24CD5646"/>
    <w:rsid w:val="25817B96"/>
    <w:rsid w:val="25AF19B6"/>
    <w:rsid w:val="264C033A"/>
    <w:rsid w:val="267C2A70"/>
    <w:rsid w:val="26D163A6"/>
    <w:rsid w:val="27AD0A80"/>
    <w:rsid w:val="27D72B34"/>
    <w:rsid w:val="28171CE4"/>
    <w:rsid w:val="2851447C"/>
    <w:rsid w:val="28A17393"/>
    <w:rsid w:val="291D1687"/>
    <w:rsid w:val="292B2DF1"/>
    <w:rsid w:val="292F7BA2"/>
    <w:rsid w:val="29327E0E"/>
    <w:rsid w:val="2A6001B3"/>
    <w:rsid w:val="2A716074"/>
    <w:rsid w:val="2AA151C5"/>
    <w:rsid w:val="2B3C2105"/>
    <w:rsid w:val="2B6A5C4D"/>
    <w:rsid w:val="2BB5082E"/>
    <w:rsid w:val="2BD96540"/>
    <w:rsid w:val="2C9F23E7"/>
    <w:rsid w:val="2CC36EBF"/>
    <w:rsid w:val="2D0F5B19"/>
    <w:rsid w:val="2E0628C7"/>
    <w:rsid w:val="2E4247CC"/>
    <w:rsid w:val="2E952C58"/>
    <w:rsid w:val="2F350782"/>
    <w:rsid w:val="2FA53DEA"/>
    <w:rsid w:val="305B50C2"/>
    <w:rsid w:val="305C08AF"/>
    <w:rsid w:val="305E2B66"/>
    <w:rsid w:val="3065289D"/>
    <w:rsid w:val="316F6DE8"/>
    <w:rsid w:val="31802622"/>
    <w:rsid w:val="31F80EF6"/>
    <w:rsid w:val="325A012B"/>
    <w:rsid w:val="328207CA"/>
    <w:rsid w:val="32895945"/>
    <w:rsid w:val="333E3F78"/>
    <w:rsid w:val="33B01540"/>
    <w:rsid w:val="33F114D9"/>
    <w:rsid w:val="3400592B"/>
    <w:rsid w:val="34837AF9"/>
    <w:rsid w:val="348C7EEE"/>
    <w:rsid w:val="34A627D5"/>
    <w:rsid w:val="34AC3295"/>
    <w:rsid w:val="34F17766"/>
    <w:rsid w:val="351B5FBF"/>
    <w:rsid w:val="353B49E4"/>
    <w:rsid w:val="35B63408"/>
    <w:rsid w:val="37DC7C1B"/>
    <w:rsid w:val="38462CEF"/>
    <w:rsid w:val="38ED2A5C"/>
    <w:rsid w:val="394C732F"/>
    <w:rsid w:val="3ACC47B8"/>
    <w:rsid w:val="3BD533C3"/>
    <w:rsid w:val="3CA95504"/>
    <w:rsid w:val="3D3B360D"/>
    <w:rsid w:val="3D5674B1"/>
    <w:rsid w:val="3DF50A38"/>
    <w:rsid w:val="3E1D5901"/>
    <w:rsid w:val="3E732691"/>
    <w:rsid w:val="3E760FE5"/>
    <w:rsid w:val="3EAE02CC"/>
    <w:rsid w:val="3EFB056B"/>
    <w:rsid w:val="3F044389"/>
    <w:rsid w:val="3F4A2F7C"/>
    <w:rsid w:val="3FC05B10"/>
    <w:rsid w:val="40034E76"/>
    <w:rsid w:val="404846F1"/>
    <w:rsid w:val="40DF74B7"/>
    <w:rsid w:val="4160602B"/>
    <w:rsid w:val="41D04C76"/>
    <w:rsid w:val="41D56A45"/>
    <w:rsid w:val="4207236E"/>
    <w:rsid w:val="42817820"/>
    <w:rsid w:val="42CF5E52"/>
    <w:rsid w:val="437742BC"/>
    <w:rsid w:val="442A234F"/>
    <w:rsid w:val="442A7BCD"/>
    <w:rsid w:val="45E0358C"/>
    <w:rsid w:val="46207F88"/>
    <w:rsid w:val="46B445E3"/>
    <w:rsid w:val="46BF40A0"/>
    <w:rsid w:val="484A097D"/>
    <w:rsid w:val="48712B26"/>
    <w:rsid w:val="48A04587"/>
    <w:rsid w:val="49176C70"/>
    <w:rsid w:val="49DF5EE0"/>
    <w:rsid w:val="4A74524D"/>
    <w:rsid w:val="4A7F5BB5"/>
    <w:rsid w:val="4AC653EB"/>
    <w:rsid w:val="4C2C4CB7"/>
    <w:rsid w:val="4C4C27D6"/>
    <w:rsid w:val="4D2D4D43"/>
    <w:rsid w:val="4DE8009B"/>
    <w:rsid w:val="4DFC5B90"/>
    <w:rsid w:val="4EBD68D9"/>
    <w:rsid w:val="4EF01454"/>
    <w:rsid w:val="4EFE6D1B"/>
    <w:rsid w:val="4F28592C"/>
    <w:rsid w:val="4F8C57D5"/>
    <w:rsid w:val="4FDE59E6"/>
    <w:rsid w:val="4FE61BD9"/>
    <w:rsid w:val="50797061"/>
    <w:rsid w:val="50EC7036"/>
    <w:rsid w:val="50ED448B"/>
    <w:rsid w:val="51087FAB"/>
    <w:rsid w:val="51A142F7"/>
    <w:rsid w:val="520331BA"/>
    <w:rsid w:val="5245794C"/>
    <w:rsid w:val="52914D14"/>
    <w:rsid w:val="52D973CB"/>
    <w:rsid w:val="53094271"/>
    <w:rsid w:val="536A1764"/>
    <w:rsid w:val="5384145A"/>
    <w:rsid w:val="540B5E66"/>
    <w:rsid w:val="563C3BFA"/>
    <w:rsid w:val="564A4A58"/>
    <w:rsid w:val="56587E0D"/>
    <w:rsid w:val="5695264D"/>
    <w:rsid w:val="57D9210F"/>
    <w:rsid w:val="58344AD7"/>
    <w:rsid w:val="590A2DB7"/>
    <w:rsid w:val="5A126C77"/>
    <w:rsid w:val="5A5B0FBA"/>
    <w:rsid w:val="5D081F06"/>
    <w:rsid w:val="5D0A6CC5"/>
    <w:rsid w:val="5D1511C1"/>
    <w:rsid w:val="5D724C7B"/>
    <w:rsid w:val="5E235E92"/>
    <w:rsid w:val="5F121FEF"/>
    <w:rsid w:val="5F1D196D"/>
    <w:rsid w:val="5F4E0EB1"/>
    <w:rsid w:val="60682508"/>
    <w:rsid w:val="608711A7"/>
    <w:rsid w:val="61F328BB"/>
    <w:rsid w:val="625C39A3"/>
    <w:rsid w:val="633A0A9E"/>
    <w:rsid w:val="63B775C1"/>
    <w:rsid w:val="63C151B6"/>
    <w:rsid w:val="641C511B"/>
    <w:rsid w:val="649A141E"/>
    <w:rsid w:val="649C0205"/>
    <w:rsid w:val="65AA0AF2"/>
    <w:rsid w:val="669A0BA2"/>
    <w:rsid w:val="6745774A"/>
    <w:rsid w:val="67572A92"/>
    <w:rsid w:val="682253F2"/>
    <w:rsid w:val="699268F0"/>
    <w:rsid w:val="6A1E1781"/>
    <w:rsid w:val="6A824CB4"/>
    <w:rsid w:val="6C4F6852"/>
    <w:rsid w:val="6C6973E9"/>
    <w:rsid w:val="6CAA1281"/>
    <w:rsid w:val="6CB41E44"/>
    <w:rsid w:val="6D723F67"/>
    <w:rsid w:val="6DB8006C"/>
    <w:rsid w:val="6E054740"/>
    <w:rsid w:val="6F0E4E98"/>
    <w:rsid w:val="70066F9E"/>
    <w:rsid w:val="705D52AC"/>
    <w:rsid w:val="70E871E0"/>
    <w:rsid w:val="718E7A8E"/>
    <w:rsid w:val="71E206C8"/>
    <w:rsid w:val="73F95EAC"/>
    <w:rsid w:val="74170982"/>
    <w:rsid w:val="7454204A"/>
    <w:rsid w:val="745B369C"/>
    <w:rsid w:val="746C6032"/>
    <w:rsid w:val="75BA7747"/>
    <w:rsid w:val="76190791"/>
    <w:rsid w:val="76DE14BD"/>
    <w:rsid w:val="77A32E4B"/>
    <w:rsid w:val="77AD0D4B"/>
    <w:rsid w:val="78193FB4"/>
    <w:rsid w:val="783C39E8"/>
    <w:rsid w:val="78545D6C"/>
    <w:rsid w:val="78A702A1"/>
    <w:rsid w:val="78E75E0C"/>
    <w:rsid w:val="78F37A3D"/>
    <w:rsid w:val="794221A0"/>
    <w:rsid w:val="79CF11E2"/>
    <w:rsid w:val="79D277F0"/>
    <w:rsid w:val="79F01E4B"/>
    <w:rsid w:val="7A5F7811"/>
    <w:rsid w:val="7ABD3F8C"/>
    <w:rsid w:val="7B8C4669"/>
    <w:rsid w:val="7BC972AA"/>
    <w:rsid w:val="7BD876A2"/>
    <w:rsid w:val="7C005DCF"/>
    <w:rsid w:val="7C184781"/>
    <w:rsid w:val="7C1E58A2"/>
    <w:rsid w:val="7C472FB3"/>
    <w:rsid w:val="7C82757C"/>
    <w:rsid w:val="7CB118E8"/>
    <w:rsid w:val="7DF32CBF"/>
    <w:rsid w:val="7E1E0C29"/>
    <w:rsid w:val="7E927F12"/>
    <w:rsid w:val="7F030174"/>
    <w:rsid w:val="7FDB3C35"/>
    <w:rsid w:val="7FE92B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3"/>
    <w:basedOn w:val="1"/>
    <w:next w:val="1"/>
    <w:link w:val="30"/>
    <w:qFormat/>
    <w:uiPriority w:val="9"/>
    <w:pPr>
      <w:keepNext/>
      <w:keepLines/>
      <w:spacing w:before="260" w:after="260" w:line="416" w:lineRule="auto"/>
      <w:outlineLvl w:val="2"/>
    </w:pPr>
    <w:rPr>
      <w:b/>
      <w:bCs/>
      <w:sz w:val="32"/>
      <w:szCs w:val="32"/>
    </w:rPr>
  </w:style>
  <w:style w:type="paragraph" w:styleId="5">
    <w:name w:val="heading 4"/>
    <w:basedOn w:val="1"/>
    <w:next w:val="1"/>
    <w:link w:val="31"/>
    <w:qFormat/>
    <w:uiPriority w:val="0"/>
    <w:pPr>
      <w:keepNext/>
      <w:keepLines/>
      <w:spacing w:line="480" w:lineRule="auto"/>
      <w:ind w:firstLine="200" w:firstLineChars="200"/>
      <w:outlineLvl w:val="3"/>
    </w:pPr>
    <w:rPr>
      <w:rFonts w:ascii="仿宋" w:hAnsi="仿宋" w:eastAsia="华文楷体" w:cs="仿宋"/>
      <w:b/>
      <w:bCs/>
      <w:sz w:val="30"/>
      <w:szCs w:val="28"/>
    </w:rPr>
  </w:style>
  <w:style w:type="paragraph" w:styleId="6">
    <w:name w:val="heading 5"/>
    <w:basedOn w:val="1"/>
    <w:next w:val="1"/>
    <w:link w:val="32"/>
    <w:qFormat/>
    <w:uiPriority w:val="0"/>
    <w:pPr>
      <w:keepNext/>
      <w:keepLines/>
      <w:spacing w:line="360" w:lineRule="auto"/>
      <w:ind w:firstLine="200" w:firstLineChars="200"/>
      <w:outlineLvl w:val="4"/>
    </w:pPr>
    <w:rPr>
      <w:rFonts w:ascii="华文仿宋" w:hAnsi="华文仿宋" w:eastAsia="仿宋"/>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99"/>
    <w:pPr>
      <w:spacing w:before="240" w:after="60"/>
      <w:jc w:val="center"/>
      <w:outlineLvl w:val="0"/>
    </w:pPr>
    <w:rPr>
      <w:rFonts w:ascii="Cambria" w:hAnsi="Cambria"/>
      <w:b/>
      <w:bCs/>
    </w:rPr>
  </w:style>
  <w:style w:type="paragraph" w:styleId="7">
    <w:name w:val="toc 7"/>
    <w:basedOn w:val="1"/>
    <w:next w:val="1"/>
    <w:qFormat/>
    <w:uiPriority w:val="39"/>
    <w:pPr>
      <w:ind w:left="2520" w:leftChars="1200"/>
    </w:pPr>
  </w:style>
  <w:style w:type="paragraph" w:styleId="8">
    <w:name w:val="annotation text"/>
    <w:basedOn w:val="1"/>
    <w:link w:val="33"/>
    <w:qFormat/>
    <w:uiPriority w:val="99"/>
    <w:pPr>
      <w:jc w:val="left"/>
    </w:pPr>
  </w:style>
  <w:style w:type="paragraph" w:styleId="9">
    <w:name w:val="toc 5"/>
    <w:basedOn w:val="1"/>
    <w:next w:val="1"/>
    <w:qFormat/>
    <w:uiPriority w:val="39"/>
    <w:pPr>
      <w:ind w:left="1680" w:leftChars="800"/>
    </w:pPr>
  </w:style>
  <w:style w:type="paragraph" w:styleId="10">
    <w:name w:val="toc 3"/>
    <w:basedOn w:val="1"/>
    <w:next w:val="1"/>
    <w:qFormat/>
    <w:uiPriority w:val="39"/>
    <w:pPr>
      <w:ind w:left="840" w:leftChars="400"/>
    </w:pPr>
  </w:style>
  <w:style w:type="paragraph" w:styleId="11">
    <w:name w:val="Plain Text"/>
    <w:basedOn w:val="1"/>
    <w:link w:val="34"/>
    <w:qFormat/>
    <w:uiPriority w:val="0"/>
    <w:pPr>
      <w:spacing w:line="480" w:lineRule="auto"/>
      <w:ind w:firstLine="200" w:firstLineChars="200"/>
    </w:pPr>
    <w:rPr>
      <w:rFonts w:ascii="宋体" w:hAnsi="Courier New" w:eastAsia="仿宋"/>
      <w:sz w:val="28"/>
    </w:rPr>
  </w:style>
  <w:style w:type="paragraph" w:styleId="12">
    <w:name w:val="toc 8"/>
    <w:basedOn w:val="1"/>
    <w:next w:val="1"/>
    <w:qFormat/>
    <w:uiPriority w:val="39"/>
    <w:pPr>
      <w:ind w:left="2940" w:leftChars="1400"/>
    </w:pPr>
  </w:style>
  <w:style w:type="paragraph" w:styleId="13">
    <w:name w:val="Balloon Text"/>
    <w:basedOn w:val="1"/>
    <w:link w:val="35"/>
    <w:qFormat/>
    <w:uiPriority w:val="99"/>
    <w:rPr>
      <w:sz w:val="18"/>
      <w:szCs w:val="18"/>
    </w:rPr>
  </w:style>
  <w:style w:type="paragraph" w:styleId="14">
    <w:name w:val="footer"/>
    <w:basedOn w:val="1"/>
    <w:link w:val="36"/>
    <w:qFormat/>
    <w:uiPriority w:val="99"/>
    <w:pPr>
      <w:tabs>
        <w:tab w:val="center" w:pos="4153"/>
        <w:tab w:val="right" w:pos="8306"/>
      </w:tabs>
      <w:snapToGrid w:val="0"/>
      <w:jc w:val="left"/>
    </w:pPr>
    <w:rPr>
      <w:sz w:val="18"/>
      <w:szCs w:val="18"/>
    </w:rPr>
  </w:style>
  <w:style w:type="paragraph" w:styleId="15">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296"/>
      </w:tabs>
      <w:spacing w:line="276" w:lineRule="auto"/>
    </w:pPr>
    <w:rPr>
      <w:rFonts w:ascii="黑体" w:hAnsi="黑体" w:eastAsia="黑体" w:cs="Times New Roman"/>
      <w:sz w:val="32"/>
      <w:szCs w:val="32"/>
    </w:rPr>
  </w:style>
  <w:style w:type="paragraph" w:styleId="17">
    <w:name w:val="toc 4"/>
    <w:basedOn w:val="1"/>
    <w:next w:val="1"/>
    <w:qFormat/>
    <w:uiPriority w:val="39"/>
    <w:pPr>
      <w:ind w:left="1260" w:leftChars="600"/>
    </w:pPr>
  </w:style>
  <w:style w:type="paragraph" w:styleId="18">
    <w:name w:val="footnote text"/>
    <w:basedOn w:val="1"/>
    <w:qFormat/>
    <w:uiPriority w:val="0"/>
    <w:pPr>
      <w:snapToGrid w:val="0"/>
      <w:jc w:val="left"/>
    </w:pPr>
    <w:rPr>
      <w:sz w:val="18"/>
      <w:szCs w:val="18"/>
    </w:rPr>
  </w:style>
  <w:style w:type="paragraph" w:styleId="19">
    <w:name w:val="toc 6"/>
    <w:basedOn w:val="1"/>
    <w:next w:val="1"/>
    <w:qFormat/>
    <w:uiPriority w:val="39"/>
    <w:pPr>
      <w:ind w:left="2100" w:leftChars="1000"/>
    </w:pPr>
  </w:style>
  <w:style w:type="paragraph" w:styleId="20">
    <w:name w:val="toc 2"/>
    <w:basedOn w:val="1"/>
    <w:next w:val="1"/>
    <w:qFormat/>
    <w:uiPriority w:val="39"/>
    <w:pPr>
      <w:ind w:left="420" w:leftChars="200"/>
    </w:pPr>
  </w:style>
  <w:style w:type="paragraph" w:styleId="21">
    <w:name w:val="toc 9"/>
    <w:basedOn w:val="1"/>
    <w:next w:val="1"/>
    <w:qFormat/>
    <w:uiPriority w:val="39"/>
    <w:pPr>
      <w:ind w:left="3360" w:leftChars="1600"/>
    </w:pPr>
  </w:style>
  <w:style w:type="paragraph" w:styleId="22">
    <w:name w:val="annotation subject"/>
    <w:basedOn w:val="8"/>
    <w:next w:val="8"/>
    <w:link w:val="38"/>
    <w:qFormat/>
    <w:uiPriority w:val="99"/>
    <w:rPr>
      <w:b/>
      <w:bCs/>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rPr>
  </w:style>
  <w:style w:type="character" w:styleId="27">
    <w:name w:val="Hyperlink"/>
    <w:basedOn w:val="25"/>
    <w:qFormat/>
    <w:uiPriority w:val="99"/>
    <w:rPr>
      <w:color w:val="0563C1"/>
      <w:u w:val="single"/>
    </w:rPr>
  </w:style>
  <w:style w:type="character" w:styleId="28">
    <w:name w:val="annotation reference"/>
    <w:basedOn w:val="25"/>
    <w:qFormat/>
    <w:uiPriority w:val="99"/>
    <w:rPr>
      <w:sz w:val="21"/>
      <w:szCs w:val="21"/>
    </w:rPr>
  </w:style>
  <w:style w:type="character" w:customStyle="1" w:styleId="29">
    <w:name w:val="标题 1 Char"/>
    <w:basedOn w:val="25"/>
    <w:link w:val="3"/>
    <w:qFormat/>
    <w:uiPriority w:val="9"/>
    <w:rPr>
      <w:b/>
      <w:bCs/>
      <w:kern w:val="44"/>
      <w:sz w:val="44"/>
      <w:szCs w:val="44"/>
    </w:rPr>
  </w:style>
  <w:style w:type="character" w:customStyle="1" w:styleId="30">
    <w:name w:val="标题 3 Char"/>
    <w:basedOn w:val="25"/>
    <w:link w:val="4"/>
    <w:qFormat/>
    <w:uiPriority w:val="9"/>
    <w:rPr>
      <w:b/>
      <w:bCs/>
      <w:sz w:val="32"/>
      <w:szCs w:val="32"/>
    </w:rPr>
  </w:style>
  <w:style w:type="character" w:customStyle="1" w:styleId="31">
    <w:name w:val="标题 4 Char"/>
    <w:basedOn w:val="25"/>
    <w:link w:val="5"/>
    <w:qFormat/>
    <w:uiPriority w:val="0"/>
    <w:rPr>
      <w:rFonts w:ascii="仿宋" w:hAnsi="仿宋" w:eastAsia="华文楷体" w:cs="仿宋"/>
      <w:b/>
      <w:bCs/>
      <w:sz w:val="30"/>
      <w:szCs w:val="28"/>
    </w:rPr>
  </w:style>
  <w:style w:type="character" w:customStyle="1" w:styleId="32">
    <w:name w:val="标题 5 Char"/>
    <w:basedOn w:val="25"/>
    <w:link w:val="6"/>
    <w:qFormat/>
    <w:uiPriority w:val="0"/>
    <w:rPr>
      <w:rFonts w:ascii="华文仿宋" w:hAnsi="华文仿宋" w:eastAsia="仿宋"/>
      <w:b/>
      <w:sz w:val="28"/>
    </w:rPr>
  </w:style>
  <w:style w:type="character" w:customStyle="1" w:styleId="33">
    <w:name w:val="批注文字 Char"/>
    <w:basedOn w:val="25"/>
    <w:link w:val="8"/>
    <w:qFormat/>
    <w:uiPriority w:val="99"/>
  </w:style>
  <w:style w:type="character" w:customStyle="1" w:styleId="34">
    <w:name w:val="纯文本 Char"/>
    <w:basedOn w:val="25"/>
    <w:link w:val="11"/>
    <w:qFormat/>
    <w:uiPriority w:val="0"/>
    <w:rPr>
      <w:rFonts w:ascii="宋体" w:hAnsi="Courier New" w:eastAsia="仿宋"/>
      <w:sz w:val="28"/>
    </w:rPr>
  </w:style>
  <w:style w:type="character" w:customStyle="1" w:styleId="35">
    <w:name w:val="批注框文本 Char"/>
    <w:basedOn w:val="25"/>
    <w:link w:val="13"/>
    <w:qFormat/>
    <w:uiPriority w:val="99"/>
    <w:rPr>
      <w:sz w:val="18"/>
      <w:szCs w:val="18"/>
    </w:rPr>
  </w:style>
  <w:style w:type="character" w:customStyle="1" w:styleId="36">
    <w:name w:val="页脚 Char"/>
    <w:basedOn w:val="25"/>
    <w:link w:val="14"/>
    <w:qFormat/>
    <w:uiPriority w:val="99"/>
    <w:rPr>
      <w:sz w:val="18"/>
      <w:szCs w:val="18"/>
    </w:rPr>
  </w:style>
  <w:style w:type="character" w:customStyle="1" w:styleId="37">
    <w:name w:val="页眉 Char"/>
    <w:basedOn w:val="25"/>
    <w:link w:val="15"/>
    <w:qFormat/>
    <w:uiPriority w:val="99"/>
    <w:rPr>
      <w:sz w:val="18"/>
      <w:szCs w:val="18"/>
    </w:rPr>
  </w:style>
  <w:style w:type="character" w:customStyle="1" w:styleId="38">
    <w:name w:val="批注主题 Char"/>
    <w:basedOn w:val="33"/>
    <w:link w:val="22"/>
    <w:qFormat/>
    <w:uiPriority w:val="99"/>
    <w:rPr>
      <w:b/>
      <w:bCs/>
    </w:rPr>
  </w:style>
  <w:style w:type="paragraph" w:customStyle="1" w:styleId="39">
    <w:name w:val="TOC Heading_43b981e8-6ea4-407e-b8d0-3e1e7f461e32"/>
    <w:basedOn w:val="3"/>
    <w:next w:val="1"/>
    <w:qFormat/>
    <w:uiPriority w:val="39"/>
    <w:pPr>
      <w:widowControl/>
      <w:spacing w:before="240" w:after="0" w:line="259" w:lineRule="auto"/>
      <w:jc w:val="left"/>
      <w:outlineLvl w:val="9"/>
    </w:pPr>
    <w:rPr>
      <w:rFonts w:ascii="等线 Light" w:hAnsi="等线 Light" w:eastAsia="等线 Light"/>
      <w:b w:val="0"/>
      <w:bCs w:val="0"/>
      <w:color w:val="2F5597"/>
      <w:kern w:val="0"/>
      <w:sz w:val="32"/>
      <w:szCs w:val="32"/>
    </w:rPr>
  </w:style>
  <w:style w:type="paragraph" w:styleId="40">
    <w:name w:val="List Paragraph"/>
    <w:basedOn w:val="1"/>
    <w:qFormat/>
    <w:uiPriority w:val="34"/>
    <w:pPr>
      <w:ind w:firstLine="420" w:firstLineChars="200"/>
    </w:pPr>
  </w:style>
  <w:style w:type="paragraph" w:customStyle="1" w:styleId="41">
    <w:name w:val="Revision_b5bf3d0b-5771-499f-ac3b-3e9c71b46bd5"/>
    <w:qFormat/>
    <w:uiPriority w:val="99"/>
    <w:rPr>
      <w:rFonts w:ascii="等线" w:hAnsi="等线" w:eastAsia="等线" w:cs="宋体"/>
      <w:kern w:val="2"/>
      <w:sz w:val="21"/>
      <w:szCs w:val="22"/>
      <w:lang w:val="en-US" w:eastAsia="zh-CN" w:bidi="ar-SA"/>
    </w:rPr>
  </w:style>
  <w:style w:type="character" w:customStyle="1" w:styleId="42">
    <w:name w:val="未处理的提及1"/>
    <w:basedOn w:val="25"/>
    <w:qFormat/>
    <w:uiPriority w:val="99"/>
    <w:rPr>
      <w:color w:val="605E5C"/>
      <w:shd w:val="clear" w:color="auto" w:fill="E1DFDD"/>
    </w:rPr>
  </w:style>
  <w:style w:type="paragraph" w:customStyle="1" w:styleId="43">
    <w:name w:val="修订1"/>
    <w:hidden/>
    <w:semiHidden/>
    <w:qFormat/>
    <w:uiPriority w:val="99"/>
    <w:rPr>
      <w:rFonts w:ascii="等线" w:hAnsi="等线" w:eastAsia="等线" w:cs="宋体"/>
      <w:kern w:val="2"/>
      <w:sz w:val="21"/>
      <w:szCs w:val="22"/>
      <w:lang w:val="en-US" w:eastAsia="zh-CN" w:bidi="ar-SA"/>
    </w:rPr>
  </w:style>
  <w:style w:type="paragraph" w:customStyle="1" w:styleId="44">
    <w:name w:val="列出段落1"/>
    <w:basedOn w:val="1"/>
    <w:qFormat/>
    <w:uiPriority w:val="0"/>
    <w:pPr>
      <w:spacing w:line="360" w:lineRule="auto"/>
      <w:ind w:firstLine="200" w:firstLineChars="200"/>
    </w:pPr>
    <w:rPr>
      <w:rFonts w:ascii="Calibri" w:hAnsi="Calibri" w:eastAsia="宋体" w:cs="Calibri"/>
      <w:szCs w:val="21"/>
    </w:rPr>
  </w:style>
  <w:style w:type="character" w:customStyle="1" w:styleId="45">
    <w:name w:val="未处理的提及2"/>
    <w:basedOn w:val="25"/>
    <w:semiHidden/>
    <w:unhideWhenUsed/>
    <w:qFormat/>
    <w:uiPriority w:val="99"/>
    <w:rPr>
      <w:color w:val="605E5C"/>
      <w:shd w:val="clear" w:color="auto" w:fill="E1DFDD"/>
    </w:rPr>
  </w:style>
  <w:style w:type="paragraph" w:customStyle="1" w:styleId="46">
    <w:name w:val="修订2"/>
    <w:hidden/>
    <w:semiHidden/>
    <w:qFormat/>
    <w:uiPriority w:val="99"/>
    <w:rPr>
      <w:rFonts w:ascii="等线" w:hAnsi="等线" w:eastAsia="等线" w:cs="宋体"/>
      <w:kern w:val="2"/>
      <w:sz w:val="21"/>
      <w:szCs w:val="22"/>
      <w:lang w:val="en-US" w:eastAsia="zh-CN" w:bidi="ar-SA"/>
    </w:rPr>
  </w:style>
  <w:style w:type="character" w:customStyle="1" w:styleId="47">
    <w:name w:val="未处理的提及3"/>
    <w:basedOn w:val="25"/>
    <w:semiHidden/>
    <w:unhideWhenUsed/>
    <w:qFormat/>
    <w:uiPriority w:val="99"/>
    <w:rPr>
      <w:color w:val="605E5C"/>
      <w:shd w:val="clear" w:color="auto" w:fill="E1DFDD"/>
    </w:rPr>
  </w:style>
  <w:style w:type="character" w:customStyle="1" w:styleId="48">
    <w:name w:val="未处理的提及4"/>
    <w:basedOn w:val="25"/>
    <w:semiHidden/>
    <w:unhideWhenUsed/>
    <w:qFormat/>
    <w:uiPriority w:val="99"/>
    <w:rPr>
      <w:color w:val="605E5C"/>
      <w:shd w:val="clear" w:color="auto" w:fill="E1DFDD"/>
    </w:rPr>
  </w:style>
  <w:style w:type="paragraph" w:customStyle="1" w:styleId="49">
    <w:name w:val="aa-专栏"/>
    <w:link w:val="51"/>
    <w:qFormat/>
    <w:uiPriority w:val="0"/>
    <w:pPr>
      <w:spacing w:line="600" w:lineRule="exact"/>
      <w:jc w:val="center"/>
    </w:pPr>
    <w:rPr>
      <w:rFonts w:ascii="黑体" w:hAnsi="黑体" w:eastAsia="黑体" w:cs="Times New Roman"/>
      <w:bCs/>
      <w:color w:val="000000"/>
      <w:kern w:val="2"/>
      <w:sz w:val="28"/>
      <w:szCs w:val="28"/>
      <w:lang w:val="en-US" w:eastAsia="zh-CN" w:bidi="ar-SA"/>
    </w:rPr>
  </w:style>
  <w:style w:type="paragraph" w:customStyle="1" w:styleId="50">
    <w:name w:val="aa-专栏内部字体"/>
    <w:link w:val="52"/>
    <w:qFormat/>
    <w:uiPriority w:val="0"/>
    <w:pPr>
      <w:numPr>
        <w:ilvl w:val="0"/>
        <w:numId w:val="1"/>
      </w:numPr>
      <w:adjustRightInd w:val="0"/>
      <w:snapToGrid w:val="0"/>
      <w:spacing w:line="480" w:lineRule="exact"/>
      <w:ind w:left="0" w:firstLine="159" w:firstLineChars="159"/>
    </w:pPr>
    <w:rPr>
      <w:rFonts w:ascii="Times New Roman" w:hAnsi="Times New Roman" w:eastAsia="仿宋_GB2312" w:cs="Times New Roman"/>
      <w:bCs/>
      <w:kern w:val="2"/>
      <w:sz w:val="28"/>
      <w:szCs w:val="24"/>
      <w:lang w:val="en-US" w:eastAsia="zh-CN" w:bidi="ar-SA"/>
    </w:rPr>
  </w:style>
  <w:style w:type="character" w:customStyle="1" w:styleId="51">
    <w:name w:val="aa-专栏 字符"/>
    <w:basedOn w:val="25"/>
    <w:link w:val="49"/>
    <w:qFormat/>
    <w:uiPriority w:val="0"/>
    <w:rPr>
      <w:rFonts w:ascii="黑体" w:hAnsi="黑体" w:eastAsia="黑体" w:cs="Times New Roman"/>
      <w:bCs/>
      <w:color w:val="000000"/>
      <w:kern w:val="2"/>
      <w:sz w:val="28"/>
      <w:szCs w:val="28"/>
    </w:rPr>
  </w:style>
  <w:style w:type="character" w:customStyle="1" w:styleId="52">
    <w:name w:val="aa-专栏内部字体 字符"/>
    <w:basedOn w:val="25"/>
    <w:link w:val="50"/>
    <w:qFormat/>
    <w:uiPriority w:val="0"/>
    <w:rPr>
      <w:rFonts w:ascii="Times New Roman" w:hAnsi="Times New Roman" w:eastAsia="仿宋_GB2312" w:cs="Times New Roman"/>
      <w:bCs/>
      <w:kern w:val="2"/>
      <w:sz w:val="28"/>
      <w:szCs w:val="24"/>
    </w:rPr>
  </w:style>
  <w:style w:type="character" w:customStyle="1" w:styleId="53">
    <w:name w:val="未处理的提及5"/>
    <w:basedOn w:val="25"/>
    <w:semiHidden/>
    <w:unhideWhenUsed/>
    <w:qFormat/>
    <w:uiPriority w:val="99"/>
    <w:rPr>
      <w:color w:val="605E5C"/>
      <w:shd w:val="clear" w:color="auto" w:fill="E1DFDD"/>
    </w:rPr>
  </w:style>
  <w:style w:type="character" w:customStyle="1" w:styleId="54">
    <w:name w:val="font41"/>
    <w:basedOn w:val="25"/>
    <w:qFormat/>
    <w:uiPriority w:val="0"/>
    <w:rPr>
      <w:rFonts w:hint="default" w:ascii="Times New Roman" w:hAnsi="Times New Roman" w:cs="Times New Roman"/>
      <w:color w:val="000000"/>
      <w:sz w:val="21"/>
      <w:szCs w:val="21"/>
      <w:u w:val="none"/>
    </w:rPr>
  </w:style>
  <w:style w:type="character" w:customStyle="1" w:styleId="55">
    <w:name w:val="font51"/>
    <w:basedOn w:val="25"/>
    <w:qFormat/>
    <w:uiPriority w:val="0"/>
    <w:rPr>
      <w:rFonts w:hint="eastAsia" w:ascii="宋体" w:hAnsi="宋体" w:eastAsia="宋体" w:cs="宋体"/>
      <w:color w:val="000000"/>
      <w:sz w:val="21"/>
      <w:szCs w:val="21"/>
      <w:u w:val="none"/>
    </w:rPr>
  </w:style>
  <w:style w:type="character" w:customStyle="1" w:styleId="56">
    <w:name w:val="font21"/>
    <w:basedOn w:val="25"/>
    <w:qFormat/>
    <w:uiPriority w:val="0"/>
    <w:rPr>
      <w:rFonts w:hint="default" w:ascii="Times New Roman" w:hAnsi="Times New Roman" w:cs="Times New Roman"/>
      <w:color w:val="000000"/>
      <w:sz w:val="21"/>
      <w:szCs w:val="21"/>
      <w:u w:val="none"/>
    </w:rPr>
  </w:style>
  <w:style w:type="character" w:customStyle="1" w:styleId="57">
    <w:name w:val="font11"/>
    <w:basedOn w:val="25"/>
    <w:qFormat/>
    <w:uiPriority w:val="0"/>
    <w:rPr>
      <w:rFonts w:ascii="仿宋_GB2312" w:eastAsia="仿宋_GB2312" w:cs="仿宋_GB2312"/>
      <w:color w:val="000000"/>
      <w:sz w:val="21"/>
      <w:szCs w:val="21"/>
      <w:u w:val="none"/>
    </w:rPr>
  </w:style>
  <w:style w:type="character" w:customStyle="1" w:styleId="58">
    <w:name w:val="font31"/>
    <w:basedOn w:val="25"/>
    <w:qFormat/>
    <w:uiPriority w:val="0"/>
    <w:rPr>
      <w:rFonts w:hint="default" w:ascii="Times New Roman" w:hAnsi="Times New Roman" w:cs="Times New Roman"/>
      <w:color w:val="000000"/>
      <w:sz w:val="28"/>
      <w:szCs w:val="28"/>
      <w:u w:val="none"/>
    </w:rPr>
  </w:style>
  <w:style w:type="character" w:customStyle="1" w:styleId="59">
    <w:name w:val="font81"/>
    <w:basedOn w:val="25"/>
    <w:qFormat/>
    <w:uiPriority w:val="0"/>
    <w:rPr>
      <w:rFonts w:ascii="黑体" w:hAnsi="宋体" w:eastAsia="黑体" w:cs="黑体"/>
      <w:color w:val="000000"/>
      <w:sz w:val="28"/>
      <w:szCs w:val="28"/>
      <w:u w:val="none"/>
    </w:rPr>
  </w:style>
  <w:style w:type="character" w:customStyle="1" w:styleId="60">
    <w:name w:val="font61"/>
    <w:basedOn w:val="25"/>
    <w:qFormat/>
    <w:uiPriority w:val="0"/>
    <w:rPr>
      <w:rFonts w:hint="eastAsia" w:ascii="宋体" w:hAnsi="宋体" w:eastAsia="宋体" w:cs="宋体"/>
      <w:color w:val="000000"/>
      <w:sz w:val="21"/>
      <w:szCs w:val="21"/>
      <w:u w:val="none"/>
    </w:rPr>
  </w:style>
  <w:style w:type="character" w:customStyle="1" w:styleId="61">
    <w:name w:val="font91"/>
    <w:basedOn w:val="25"/>
    <w:qFormat/>
    <w:uiPriority w:val="0"/>
    <w:rPr>
      <w:rFonts w:ascii="仿宋_GB2312" w:eastAsia="仿宋_GB2312" w:cs="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9.xml"/><Relationship Id="rId17" Type="http://schemas.openxmlformats.org/officeDocument/2006/relationships/customXml" Target="../customXml/item8.xml"/><Relationship Id="rId16" Type="http://schemas.openxmlformats.org/officeDocument/2006/relationships/customXml" Target="../customXml/item7.xml"/><Relationship Id="rId15" Type="http://schemas.openxmlformats.org/officeDocument/2006/relationships/customXml" Target="../customXml/item6.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937E10-4347-4888-98AD-C98DDA8F1FB3}">
  <ds:schemaRefs/>
</ds:datastoreItem>
</file>

<file path=customXml/itemProps3.xml><?xml version="1.0" encoding="utf-8"?>
<ds:datastoreItem xmlns:ds="http://schemas.openxmlformats.org/officeDocument/2006/customXml" ds:itemID="{E3D98D0D-67F0-40E6-B52E-58B4D44E7C0F}">
  <ds:schemaRefs/>
</ds:datastoreItem>
</file>

<file path=customXml/itemProps4.xml><?xml version="1.0" encoding="utf-8"?>
<ds:datastoreItem xmlns:ds="http://schemas.openxmlformats.org/officeDocument/2006/customXml" ds:itemID="{9881B48A-AE8B-443C-8FF1-386AEFC84963}">
  <ds:schemaRefs/>
</ds:datastoreItem>
</file>

<file path=customXml/itemProps5.xml><?xml version="1.0" encoding="utf-8"?>
<ds:datastoreItem xmlns:ds="http://schemas.openxmlformats.org/officeDocument/2006/customXml" ds:itemID="{DBA74810-0FD1-47E6-85BF-8205AB1E6532}">
  <ds:schemaRefs/>
</ds:datastoreItem>
</file>

<file path=customXml/itemProps6.xml><?xml version="1.0" encoding="utf-8"?>
<ds:datastoreItem xmlns:ds="http://schemas.openxmlformats.org/officeDocument/2006/customXml" ds:itemID="{A0254059-6E58-47AF-AD91-2C59E93742F8}">
  <ds:schemaRefs/>
</ds:datastoreItem>
</file>

<file path=customXml/itemProps7.xml><?xml version="1.0" encoding="utf-8"?>
<ds:datastoreItem xmlns:ds="http://schemas.openxmlformats.org/officeDocument/2006/customXml" ds:itemID="{10FB1E79-3656-44C0-BF75-E21EF520A02E}">
  <ds:schemaRefs/>
</ds:datastoreItem>
</file>

<file path=customXml/itemProps8.xml><?xml version="1.0" encoding="utf-8"?>
<ds:datastoreItem xmlns:ds="http://schemas.openxmlformats.org/officeDocument/2006/customXml" ds:itemID="{6E539F50-D68A-405F-85D4-9C6AD0F20314}">
  <ds:schemaRefs/>
</ds:datastoreItem>
</file>

<file path=customXml/itemProps9.xml><?xml version="1.0" encoding="utf-8"?>
<ds:datastoreItem xmlns:ds="http://schemas.openxmlformats.org/officeDocument/2006/customXml" ds:itemID="{5ADE9BB0-4C6B-4A02-A35C-4BD78689BAD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108</Pages>
  <Words>59383</Words>
  <Characters>60496</Characters>
  <Lines>1711</Lines>
  <Paragraphs>1093</Paragraphs>
  <TotalTime>27</TotalTime>
  <ScaleCrop>false</ScaleCrop>
  <LinksUpToDate>false</LinksUpToDate>
  <CharactersWithSpaces>60848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2021-04-30T08:45:00Z</dcterms:created>
  <dc:creator>Wang JY</dc:creator>
  <cp:lastModifiedBy>lilychou</cp:lastModifiedBy>
  <cp:lastPrinted>2021-04-30T09:02:00Z</cp:lastPrinted>
  <dcterms:modified xsi:type="dcterms:W3CDTF">2023-03-01T08:32:36Z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AAB0840AF70A4AA1A87970BCC78B1445</vt:lpwstr>
  </property>
</Properties>
</file>