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83" w:rsidRDefault="00AE0683" w:rsidP="00AE0683">
      <w:pPr>
        <w:spacing w:line="1000" w:lineRule="exact"/>
        <w:jc w:val="center"/>
        <w:rPr>
          <w:rFonts w:ascii="方正小标宋简体" w:eastAsia="方正小标宋简体" w:cs="方正小标宋简体" w:hint="eastAsia"/>
          <w:color w:val="FF0000"/>
          <w:sz w:val="80"/>
          <w:szCs w:val="80"/>
        </w:rPr>
      </w:pPr>
    </w:p>
    <w:p w:rsidR="00AE0683" w:rsidRDefault="00AE0683" w:rsidP="00AE0683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AE0683" w:rsidRDefault="00AE0683" w:rsidP="00AE0683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ascii="Times New Roman" w:eastAsia="宋体" w:hint="eastAsia"/>
          <w:color w:val="auto"/>
          <w:szCs w:val="24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AE0683" w:rsidRDefault="00AE0683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BE79AB" w:rsidRDefault="00DB4D11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BE79AB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</w:t>
      </w:r>
      <w:r w:rsidR="00BE79AB" w:rsidRPr="00BE79AB"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2019年度招标</w:t>
      </w:r>
    </w:p>
    <w:p w:rsidR="00854CAC" w:rsidRDefault="00BE79AB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 w:rsidRPr="00BE79AB"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控制价审计中介服务费</w:t>
      </w:r>
      <w:r w:rsidR="00DB4D11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854CAC" w:rsidRPr="00BE79AB" w:rsidRDefault="00854CAC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854CAC" w:rsidRDefault="00DB4D11" w:rsidP="00AE0683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854CAC" w:rsidRDefault="007A36EB" w:rsidP="00AE0683">
      <w:pPr>
        <w:autoSpaceDE w:val="0"/>
        <w:spacing w:line="600" w:lineRule="exact"/>
        <w:jc w:val="left"/>
        <w:rPr>
          <w:rFonts w:ascii="仿宋_GB2312" w:eastAsia="仿宋_GB2312" w:hAnsi="Calibri" w:cs="宋体"/>
          <w:b/>
          <w:bCs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根据《盐池县财政局关于开展2019年部门项目支出绩效自评的通知》（盐财发〔2020〕83号）文件要求，对照绩效自评内容和方法，我局开展了2019年</w:t>
      </w:r>
      <w:r w:rsidR="00BE79AB" w:rsidRPr="00BE79AB">
        <w:rPr>
          <w:rFonts w:ascii="仿宋_GB2312" w:eastAsia="仿宋_GB2312" w:hAnsi="Calibri" w:cs="宋体" w:hint="eastAsia"/>
          <w:kern w:val="2"/>
          <w:sz w:val="32"/>
          <w:szCs w:val="32"/>
        </w:rPr>
        <w:t>度</w:t>
      </w:r>
      <w:r w:rsidR="00BE79AB" w:rsidRPr="00BE79AB"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招标控制价审计中介服务</w:t>
      </w:r>
      <w:r w:rsidR="00BE79AB">
        <w:rPr>
          <w:rFonts w:ascii="仿宋_GB2312" w:eastAsia="仿宋_GB2312" w:hAnsi="Calibri" w:cs="宋体" w:hint="eastAsia"/>
          <w:kern w:val="2"/>
          <w:sz w:val="32"/>
          <w:szCs w:val="32"/>
        </w:rPr>
        <w:t>费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项目资金绩效自评工作。现报告如下：</w:t>
      </w:r>
    </w:p>
    <w:p w:rsidR="00854CAC" w:rsidRDefault="00DB4D11" w:rsidP="00AE0683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854CAC" w:rsidRDefault="00DB4D11" w:rsidP="00AE0683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BE79AB">
        <w:rPr>
          <w:rFonts w:ascii="仿宋_GB2312" w:eastAsia="仿宋_GB2312" w:hAnsi="Calibri" w:cs="宋体" w:hint="eastAsia"/>
          <w:b w:val="0"/>
          <w:bCs w:val="0"/>
          <w:kern w:val="2"/>
        </w:rPr>
        <w:t>2019年</w:t>
      </w:r>
      <w:r w:rsidR="00BE79AB" w:rsidRPr="00BE79AB">
        <w:rPr>
          <w:rFonts w:ascii="仿宋_GB2312" w:eastAsia="仿宋_GB2312" w:hAnsi="Calibri" w:cs="宋体" w:hint="eastAsia"/>
          <w:b w:val="0"/>
          <w:bCs w:val="0"/>
          <w:kern w:val="2"/>
        </w:rPr>
        <w:t>度</w:t>
      </w:r>
      <w:r w:rsidR="00BE79AB" w:rsidRPr="00BE79AB"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招标控制价审计中介服务</w:t>
      </w:r>
      <w:r w:rsidR="00BE79AB" w:rsidRPr="00BE79AB">
        <w:rPr>
          <w:rFonts w:ascii="仿宋_GB2312" w:eastAsia="仿宋_GB2312" w:hAnsi="Calibri" w:cs="宋体" w:hint="eastAsia"/>
          <w:b w:val="0"/>
          <w:bCs w:val="0"/>
          <w:kern w:val="2"/>
        </w:rPr>
        <w:t>费</w:t>
      </w:r>
      <w:r w:rsidR="00640B8A">
        <w:rPr>
          <w:rFonts w:ascii="仿宋_GB2312" w:eastAsia="仿宋_GB2312" w:hAnsi="Calibri" w:cs="宋体" w:hint="eastAsia"/>
          <w:b w:val="0"/>
          <w:bCs w:val="0"/>
          <w:kern w:val="2"/>
        </w:rPr>
        <w:t>项目资金共一批，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金额为</w:t>
      </w:r>
      <w:r w:rsidR="00D33BB5"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200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854CAC" w:rsidRDefault="00DB4D11" w:rsidP="00AE0683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854CAC" w:rsidRDefault="00DB4D11" w:rsidP="00AE0683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854CAC" w:rsidRDefault="00DB4D11" w:rsidP="00AE0683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</w:t>
      </w:r>
      <w:r w:rsidR="00D33BB5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预)</w:t>
      </w:r>
      <w:r w:rsidR="00D33BB5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指标（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2019</w:t>
      </w:r>
      <w:r w:rsidR="00D33BB5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）1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D33BB5">
        <w:rPr>
          <w:rFonts w:ascii="仿宋_GB2312" w:eastAsia="仿宋_GB2312" w:hAnsi="Calibri" w:cs="宋体" w:hint="eastAsia"/>
          <w:kern w:val="2"/>
          <w:sz w:val="32"/>
          <w:szCs w:val="32"/>
        </w:rPr>
        <w:t>20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0万元。</w:t>
      </w:r>
    </w:p>
    <w:p w:rsidR="00D20372" w:rsidRDefault="00DB4D11" w:rsidP="00AE0683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D33BB5">
        <w:rPr>
          <w:rFonts w:ascii="仿宋_GB2312" w:eastAsia="仿宋_GB2312" w:hAnsi="Calibri" w:cs="宋体" w:hint="eastAsia"/>
          <w:b w:val="0"/>
          <w:bCs w:val="0"/>
          <w:kern w:val="2"/>
        </w:rPr>
        <w:t>2019年</w:t>
      </w:r>
      <w:r w:rsidR="00D33BB5" w:rsidRPr="00BE79AB">
        <w:rPr>
          <w:rFonts w:ascii="仿宋_GB2312" w:eastAsia="仿宋_GB2312" w:hAnsi="Calibri" w:cs="宋体" w:hint="eastAsia"/>
          <w:b w:val="0"/>
          <w:bCs w:val="0"/>
          <w:kern w:val="2"/>
        </w:rPr>
        <w:t>度</w:t>
      </w:r>
      <w:r w:rsidR="00D33BB5" w:rsidRPr="00BE79AB"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招标控制价审计中介服务</w:t>
      </w:r>
      <w:r w:rsidR="00D33BB5" w:rsidRPr="00BE79AB">
        <w:rPr>
          <w:rFonts w:ascii="仿宋_GB2312" w:eastAsia="仿宋_GB2312" w:hAnsi="Calibri" w:cs="宋体" w:hint="eastAsia"/>
          <w:b w:val="0"/>
          <w:bCs w:val="0"/>
          <w:kern w:val="2"/>
        </w:rPr>
        <w:t>费</w:t>
      </w:r>
      <w:r w:rsidR="00D33BB5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主要用于</w:t>
      </w:r>
      <w:r w:rsidR="00D33BB5">
        <w:rPr>
          <w:rFonts w:ascii="仿宋_GB2312" w:eastAsia="仿宋_GB2312" w:hAnsi="Calibri" w:cs="宋体" w:hint="eastAsia"/>
          <w:b w:val="0"/>
          <w:bCs w:val="0"/>
          <w:kern w:val="2"/>
        </w:rPr>
        <w:t>支付</w:t>
      </w:r>
      <w:r w:rsidR="00D20372" w:rsidRPr="00D20372">
        <w:rPr>
          <w:rFonts w:ascii="仿宋_GB2312" w:eastAsia="仿宋_GB2312" w:hAnsi="Calibri" w:cs="宋体" w:hint="eastAsia"/>
          <w:b w:val="0"/>
          <w:bCs w:val="0"/>
          <w:kern w:val="2"/>
        </w:rPr>
        <w:t>项目招标控制预算价</w:t>
      </w:r>
      <w:r w:rsidR="00D20372">
        <w:rPr>
          <w:rFonts w:ascii="仿宋_GB2312" w:eastAsia="仿宋_GB2312" w:hAnsi="Calibri" w:cs="宋体" w:hint="eastAsia"/>
          <w:b w:val="0"/>
          <w:bCs w:val="0"/>
          <w:kern w:val="2"/>
        </w:rPr>
        <w:t>的</w:t>
      </w:r>
      <w:r w:rsidR="00D20372" w:rsidRPr="00D20372">
        <w:rPr>
          <w:rFonts w:ascii="仿宋_GB2312" w:eastAsia="仿宋_GB2312" w:hAnsi="Calibri" w:cs="宋体" w:hint="eastAsia"/>
          <w:b w:val="0"/>
          <w:bCs w:val="0"/>
          <w:kern w:val="2"/>
        </w:rPr>
        <w:t>审计费用</w:t>
      </w:r>
      <w:r w:rsidR="00D20372">
        <w:rPr>
          <w:rFonts w:ascii="仿宋_GB2312" w:eastAsia="仿宋_GB2312" w:hAnsi="Calibri" w:cs="宋体" w:hint="eastAsia"/>
          <w:b w:val="0"/>
          <w:bCs w:val="0"/>
          <w:kern w:val="2"/>
        </w:rPr>
        <w:t>，我局支付144.3076万元，结余55.6924万元2020年8月财政收回。</w:t>
      </w:r>
    </w:p>
    <w:p w:rsidR="00854CAC" w:rsidRDefault="00DB4D11" w:rsidP="00AE0683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项目资金管理情况分析。财务严格执行资金相关管理办法进行账务处理，使</w:t>
      </w:r>
      <w:r w:rsidR="00EA6DD2">
        <w:rPr>
          <w:rFonts w:ascii="仿宋_GB2312" w:eastAsia="仿宋_GB2312" w:hAnsi="Calibri" w:cs="宋体" w:hint="eastAsia"/>
          <w:b w:val="0"/>
          <w:bCs w:val="0"/>
          <w:kern w:val="2"/>
        </w:rPr>
        <w:t>2019年</w:t>
      </w:r>
      <w:r w:rsidR="00EA6DD2" w:rsidRPr="00BE79AB">
        <w:rPr>
          <w:rFonts w:ascii="仿宋_GB2312" w:eastAsia="仿宋_GB2312" w:hAnsi="Calibri" w:cs="宋体" w:hint="eastAsia"/>
          <w:b w:val="0"/>
          <w:bCs w:val="0"/>
          <w:kern w:val="2"/>
        </w:rPr>
        <w:t>度</w:t>
      </w:r>
      <w:r w:rsidR="00EA6DD2" w:rsidRPr="00BE79AB"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招标控制价审计中介服务</w:t>
      </w:r>
      <w:r w:rsidR="00EA6DD2" w:rsidRPr="00BE79AB">
        <w:rPr>
          <w:rFonts w:ascii="仿宋_GB2312" w:eastAsia="仿宋_GB2312" w:hAnsi="Calibri" w:cs="宋体" w:hint="eastAsia"/>
          <w:b w:val="0"/>
          <w:bCs w:val="0"/>
          <w:kern w:val="2"/>
        </w:rPr>
        <w:t>费</w:t>
      </w:r>
      <w:r w:rsidR="00EA6DD2">
        <w:rPr>
          <w:rFonts w:ascii="仿宋_GB2312" w:eastAsia="仿宋_GB2312" w:hAnsi="Calibri" w:cs="宋体" w:hint="eastAsia"/>
          <w:b w:val="0"/>
          <w:bCs w:val="0"/>
          <w:kern w:val="2"/>
        </w:rPr>
        <w:t>项目资金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854CAC" w:rsidRDefault="00DB4D11" w:rsidP="00AE0683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绩效目标完成情况分析</w:t>
      </w:r>
    </w:p>
    <w:p w:rsidR="004145B3" w:rsidRDefault="004145B3" w:rsidP="00AE0683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4145B3">
        <w:rPr>
          <w:rFonts w:ascii="仿宋_GB2312" w:eastAsia="仿宋_GB2312" w:hAnsi="Calibri" w:cs="宋体" w:hint="eastAsia"/>
          <w:b w:val="0"/>
          <w:bCs w:val="0"/>
          <w:kern w:val="2"/>
        </w:rPr>
        <w:t>对我县行政区域内经过批复达到公开招标的政府投资建设的工程，在交易大厅公开挂网招标前，需到发改部门审核控制预算价。我局为了更好地规范招投标前管理制度，特聘请中介机构对项目招标控制预算价进行审计，审计费用按照规定比率进行支付。</w:t>
      </w:r>
    </w:p>
    <w:p w:rsidR="00854CAC" w:rsidRDefault="00DB4D11" w:rsidP="00AE0683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854CAC" w:rsidRDefault="00DB4D11" w:rsidP="00AE0683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</w:t>
      </w:r>
      <w:r w:rsidR="004145B3" w:rsidRPr="004145B3">
        <w:rPr>
          <w:rFonts w:ascii="仿宋_GB2312" w:eastAsia="仿宋_GB2312" w:hAnsi="Calibri" w:cs="宋体" w:hint="eastAsia"/>
          <w:b w:val="0"/>
          <w:bCs w:val="0"/>
          <w:kern w:val="2"/>
        </w:rPr>
        <w:t>对</w:t>
      </w:r>
      <w:r w:rsidR="00110C6D">
        <w:rPr>
          <w:rFonts w:ascii="仿宋_GB2312" w:eastAsia="仿宋_GB2312" w:hAnsi="Calibri" w:cs="宋体" w:hint="eastAsia"/>
          <w:b w:val="0"/>
          <w:bCs w:val="0"/>
          <w:kern w:val="2"/>
        </w:rPr>
        <w:t>99个</w:t>
      </w:r>
      <w:r w:rsidR="004145B3" w:rsidRPr="004145B3">
        <w:rPr>
          <w:rFonts w:ascii="仿宋_GB2312" w:eastAsia="仿宋_GB2312" w:hAnsi="Calibri" w:cs="宋体" w:hint="eastAsia"/>
          <w:b w:val="0"/>
          <w:bCs w:val="0"/>
          <w:kern w:val="2"/>
        </w:rPr>
        <w:t>政府性投资项目进行招标前控制价审计。</w:t>
      </w:r>
    </w:p>
    <w:p w:rsidR="004145B3" w:rsidRDefault="00DB4D11" w:rsidP="00AE0683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</w:t>
      </w:r>
      <w:r w:rsidR="004145B3" w:rsidRPr="004145B3">
        <w:rPr>
          <w:rFonts w:ascii="仿宋_GB2312" w:eastAsia="仿宋_GB2312" w:hAnsi="Calibri" w:cs="宋体" w:hint="eastAsia"/>
          <w:b w:val="0"/>
          <w:bCs w:val="0"/>
          <w:kern w:val="2"/>
        </w:rPr>
        <w:t>招标前控制价审计</w:t>
      </w:r>
      <w:r w:rsidR="004145B3">
        <w:rPr>
          <w:rFonts w:ascii="仿宋_GB2312" w:eastAsia="仿宋_GB2312" w:hAnsi="Calibri" w:cs="宋体" w:hint="eastAsia"/>
          <w:b w:val="0"/>
          <w:bCs w:val="0"/>
          <w:kern w:val="2"/>
        </w:rPr>
        <w:t>达到审核目的</w:t>
      </w:r>
      <w:r w:rsidR="004145B3" w:rsidRPr="004145B3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110C6D" w:rsidRDefault="004145B3" w:rsidP="00AE0683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（3）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时效指标。</w:t>
      </w:r>
      <w:r w:rsidR="00110C6D" w:rsidRPr="00110C6D">
        <w:rPr>
          <w:rFonts w:ascii="仿宋_GB2312" w:eastAsia="仿宋_GB2312" w:hAnsi="Calibri" w:cs="宋体" w:hint="eastAsia"/>
          <w:kern w:val="2"/>
          <w:sz w:val="32"/>
          <w:szCs w:val="32"/>
        </w:rPr>
        <w:t>资金的支付按工作进度执行</w:t>
      </w:r>
      <w:r w:rsidR="00110C6D">
        <w:rPr>
          <w:rFonts w:ascii="仿宋_GB2312" w:eastAsia="仿宋_GB2312" w:hAnsi="Calibri" w:cs="宋体" w:hint="eastAsia"/>
          <w:kern w:val="2"/>
          <w:sz w:val="32"/>
          <w:szCs w:val="32"/>
        </w:rPr>
        <w:t>。</w:t>
      </w:r>
    </w:p>
    <w:p w:rsidR="00854CAC" w:rsidRDefault="00110C6D" w:rsidP="00AE0683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（4）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成本指标。</w:t>
      </w:r>
      <w:r w:rsidR="004145B3">
        <w:rPr>
          <w:rFonts w:ascii="仿宋_GB2312" w:eastAsia="仿宋_GB2312" w:hAnsi="Calibri" w:cs="宋体" w:hint="eastAsia"/>
          <w:kern w:val="2"/>
          <w:sz w:val="32"/>
          <w:szCs w:val="32"/>
        </w:rPr>
        <w:t>2019年</w:t>
      </w:r>
      <w:r w:rsidR="004145B3" w:rsidRPr="00BE79AB">
        <w:rPr>
          <w:rFonts w:ascii="仿宋_GB2312" w:eastAsia="仿宋_GB2312" w:hAnsi="Calibri" w:cs="宋体" w:hint="eastAsia"/>
          <w:kern w:val="2"/>
          <w:sz w:val="32"/>
          <w:szCs w:val="32"/>
        </w:rPr>
        <w:t>度</w:t>
      </w:r>
      <w:r w:rsidR="004145B3" w:rsidRPr="00BE79AB"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招标控制价审计中介服务</w:t>
      </w:r>
      <w:r w:rsidR="004145B3">
        <w:rPr>
          <w:rFonts w:ascii="仿宋_GB2312" w:eastAsia="仿宋_GB2312" w:hAnsi="Calibri" w:cs="宋体" w:hint="eastAsia"/>
          <w:kern w:val="2"/>
          <w:sz w:val="32"/>
          <w:szCs w:val="32"/>
        </w:rPr>
        <w:t>费项目资金200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万元。共支付</w:t>
      </w:r>
      <w:r w:rsidR="00914B73">
        <w:rPr>
          <w:rFonts w:ascii="仿宋_GB2312" w:eastAsia="仿宋_GB2312" w:hAnsi="Calibri" w:cs="宋体" w:hint="eastAsia"/>
          <w:kern w:val="2"/>
          <w:sz w:val="32"/>
          <w:szCs w:val="32"/>
        </w:rPr>
        <w:t>200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854CAC" w:rsidRDefault="00DB4D11" w:rsidP="00AE0683">
      <w:pPr>
        <w:pStyle w:val="a0"/>
        <w:numPr>
          <w:ilvl w:val="0"/>
          <w:numId w:val="5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3D2C4F" w:rsidRDefault="00DB4D11" w:rsidP="00AE0683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3D2C4F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3D2C4F" w:rsidRPr="003D2C4F">
        <w:rPr>
          <w:rFonts w:ascii="仿宋_GB2312" w:eastAsia="仿宋_GB2312" w:hAnsi="Calibri" w:cs="宋体" w:hint="eastAsia"/>
          <w:b w:val="0"/>
          <w:bCs w:val="0"/>
          <w:kern w:val="2"/>
        </w:rPr>
        <w:t>规范项目招投标管理制度。</w:t>
      </w:r>
    </w:p>
    <w:p w:rsidR="003D2C4F" w:rsidRPr="003D2C4F" w:rsidRDefault="00DB4D11" w:rsidP="00AE0683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3D2C4F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="003D2C4F" w:rsidRPr="003D2C4F">
        <w:rPr>
          <w:rFonts w:ascii="仿宋_GB2312" w:eastAsia="仿宋_GB2312" w:hAnsi="Calibri" w:cs="宋体" w:hint="eastAsia"/>
          <w:b w:val="0"/>
          <w:bCs w:val="0"/>
          <w:kern w:val="2"/>
        </w:rPr>
        <w:t>为招投标企业提供良好的投资环境和发展空间，促进了我县经济、社会、环境等方面的发展。</w:t>
      </w:r>
    </w:p>
    <w:p w:rsidR="00854CAC" w:rsidRDefault="00DB4D11" w:rsidP="00AE0683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3D2C4F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854CAC" w:rsidRDefault="003D2C4F" w:rsidP="00AE0683">
      <w:pPr>
        <w:autoSpaceDE w:val="0"/>
        <w:spacing w:line="600" w:lineRule="exact"/>
        <w:jc w:val="left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</w:t>
      </w:r>
      <w:r w:rsidRPr="003D2C4F">
        <w:rPr>
          <w:rFonts w:ascii="仿宋_GB2312" w:eastAsia="仿宋_GB2312" w:hAnsi="Calibri" w:cs="宋体" w:hint="eastAsia"/>
          <w:kern w:val="2"/>
          <w:sz w:val="32"/>
          <w:szCs w:val="32"/>
        </w:rPr>
        <w:t>招投标企业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满意度达到98%。</w:t>
      </w:r>
    </w:p>
    <w:p w:rsidR="00854CAC" w:rsidRDefault="00DB4D11" w:rsidP="00AE0683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854CAC" w:rsidRDefault="00DB4D11" w:rsidP="00AE0683">
      <w:pPr>
        <w:adjustRightInd w:val="0"/>
        <w:snapToGrid w:val="0"/>
        <w:spacing w:line="600" w:lineRule="exact"/>
        <w:ind w:firstLine="642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通过此次绩效自评，我们在下一步工作中，将继续完善</w:t>
      </w:r>
      <w:r w:rsidR="00463009" w:rsidRPr="00463009">
        <w:rPr>
          <w:rFonts w:ascii="仿宋_GB2312" w:eastAsia="仿宋_GB2312" w:hAnsi="Calibri" w:cs="宋体" w:hint="eastAsia"/>
          <w:kern w:val="2"/>
          <w:sz w:val="32"/>
          <w:szCs w:val="32"/>
        </w:rPr>
        <w:t>项目</w:t>
      </w:r>
      <w:r w:rsidR="00463009" w:rsidRPr="00463009"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招标控制预算价的</w:t>
      </w:r>
      <w:r w:rsidR="00463009">
        <w:rPr>
          <w:rFonts w:ascii="仿宋_GB2312" w:eastAsia="仿宋_GB2312" w:hAnsi="Calibri" w:cs="宋体" w:hint="eastAsia"/>
          <w:kern w:val="2"/>
          <w:sz w:val="32"/>
          <w:szCs w:val="32"/>
        </w:rPr>
        <w:t>审计服务管理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。</w:t>
      </w:r>
    </w:p>
    <w:p w:rsidR="00854CAC" w:rsidRDefault="00DB4D11" w:rsidP="00AE0683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854CAC" w:rsidRDefault="00854CAC" w:rsidP="00022B9E">
      <w:pPr>
        <w:pStyle w:val="a0"/>
        <w:spacing w:line="560" w:lineRule="exact"/>
        <w:rPr>
          <w:rFonts w:ascii="仿宋_GB2312" w:eastAsia="仿宋_GB2312" w:hAnsi="Calibri" w:cs="宋体"/>
          <w:b w:val="0"/>
          <w:bCs w:val="0"/>
          <w:kern w:val="2"/>
        </w:rPr>
      </w:pPr>
    </w:p>
    <w:p w:rsidR="00034431" w:rsidRPr="00034431" w:rsidRDefault="00034431" w:rsidP="00034431"/>
    <w:p w:rsidR="00110C6D" w:rsidRPr="00110C6D" w:rsidRDefault="00110C6D" w:rsidP="00110C6D"/>
    <w:p w:rsidR="00854CAC" w:rsidRDefault="00022B9E" w:rsidP="00022B9E">
      <w:pPr>
        <w:spacing w:line="56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DB4D11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854CAC" w:rsidRDefault="00DB4D11" w:rsidP="00022B9E">
      <w:pPr>
        <w:pStyle w:val="a0"/>
        <w:spacing w:line="560" w:lineRule="exact"/>
        <w:jc w:val="left"/>
        <w:rPr>
          <w:rFonts w:ascii="仿宋_GB2312" w:eastAsia="仿宋_GB2312" w:hAnsi="Calibri" w:cs="宋体" w:hint="eastAsia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</w:t>
      </w:r>
      <w:r w:rsidR="00022B9E"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2020年9月29日</w:t>
      </w:r>
    </w:p>
    <w:p w:rsidR="00AE0683" w:rsidRDefault="00AE0683" w:rsidP="00AE0683">
      <w:pPr>
        <w:rPr>
          <w:rFonts w:hint="eastAsia"/>
        </w:rPr>
      </w:pPr>
    </w:p>
    <w:p w:rsidR="00AE0683" w:rsidRDefault="00AE0683" w:rsidP="00AE0683">
      <w:pPr>
        <w:pStyle w:val="a0"/>
        <w:rPr>
          <w:rFonts w:hint="eastAsia"/>
        </w:rPr>
      </w:pPr>
    </w:p>
    <w:p w:rsidR="00AE0683" w:rsidRDefault="00AE0683" w:rsidP="00AE0683">
      <w:pPr>
        <w:rPr>
          <w:rFonts w:hint="eastAsia"/>
        </w:rPr>
      </w:pPr>
    </w:p>
    <w:p w:rsidR="00AE0683" w:rsidRDefault="00AE0683" w:rsidP="00AE0683">
      <w:pPr>
        <w:pStyle w:val="a0"/>
        <w:rPr>
          <w:rFonts w:hint="eastAsia"/>
        </w:rPr>
      </w:pPr>
    </w:p>
    <w:p w:rsidR="00AE0683" w:rsidRDefault="00AE0683" w:rsidP="00AE0683">
      <w:pPr>
        <w:rPr>
          <w:rFonts w:hint="eastAsia"/>
        </w:rPr>
      </w:pPr>
    </w:p>
    <w:p w:rsidR="00AE0683" w:rsidRDefault="00AE0683" w:rsidP="00AE0683">
      <w:pPr>
        <w:pStyle w:val="a0"/>
        <w:rPr>
          <w:rFonts w:hint="eastAsia"/>
        </w:rPr>
      </w:pPr>
    </w:p>
    <w:p w:rsidR="00AE0683" w:rsidRDefault="00AE0683" w:rsidP="00AE0683">
      <w:pPr>
        <w:rPr>
          <w:rFonts w:hint="eastAsia"/>
        </w:rPr>
      </w:pPr>
    </w:p>
    <w:p w:rsidR="00AE0683" w:rsidRDefault="00AE0683" w:rsidP="00AE0683">
      <w:pPr>
        <w:pStyle w:val="a0"/>
        <w:rPr>
          <w:rFonts w:hint="eastAsia"/>
        </w:rPr>
      </w:pPr>
    </w:p>
    <w:p w:rsidR="00AE0683" w:rsidRDefault="00AE0683" w:rsidP="00AE0683">
      <w:pPr>
        <w:rPr>
          <w:rFonts w:hint="eastAsia"/>
        </w:rPr>
      </w:pPr>
    </w:p>
    <w:p w:rsidR="00AE0683" w:rsidRDefault="00AE0683" w:rsidP="00AE0683">
      <w:pPr>
        <w:pStyle w:val="a0"/>
        <w:rPr>
          <w:rFonts w:hint="eastAsia"/>
        </w:rPr>
      </w:pPr>
    </w:p>
    <w:p w:rsidR="00AE0683" w:rsidRDefault="00AE0683" w:rsidP="00AE0683">
      <w:pPr>
        <w:rPr>
          <w:rFonts w:hint="eastAsia"/>
        </w:rPr>
      </w:pPr>
    </w:p>
    <w:p w:rsidR="00AE0683" w:rsidRDefault="00AE0683" w:rsidP="00AE0683">
      <w:pPr>
        <w:pStyle w:val="a0"/>
        <w:rPr>
          <w:rFonts w:hint="eastAsia"/>
        </w:rPr>
      </w:pPr>
    </w:p>
    <w:p w:rsidR="00AE0683" w:rsidRDefault="00AE0683" w:rsidP="00AE0683">
      <w:pPr>
        <w:rPr>
          <w:rFonts w:hint="eastAsia"/>
        </w:rPr>
      </w:pPr>
    </w:p>
    <w:p w:rsidR="00AE0683" w:rsidRDefault="00AE0683" w:rsidP="00AE0683">
      <w:pPr>
        <w:pStyle w:val="a0"/>
        <w:rPr>
          <w:rFonts w:hint="eastAsia"/>
        </w:rPr>
      </w:pPr>
    </w:p>
    <w:p w:rsidR="00AE0683" w:rsidRDefault="00AE0683" w:rsidP="00AE0683">
      <w:pPr>
        <w:rPr>
          <w:rFonts w:hint="eastAsia"/>
        </w:rPr>
      </w:pPr>
    </w:p>
    <w:p w:rsidR="00AE0683" w:rsidRPr="00AE0683" w:rsidRDefault="00AE0683" w:rsidP="00AE0683">
      <w:pPr>
        <w:pStyle w:val="a0"/>
      </w:pPr>
    </w:p>
    <w:p w:rsidR="00110C6D" w:rsidRPr="00110C6D" w:rsidRDefault="00110C6D" w:rsidP="00110C6D"/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99"/>
        <w:gridCol w:w="609"/>
        <w:gridCol w:w="644"/>
        <w:gridCol w:w="62"/>
        <w:gridCol w:w="1225"/>
        <w:gridCol w:w="192"/>
        <w:gridCol w:w="424"/>
        <w:gridCol w:w="1138"/>
        <w:gridCol w:w="1134"/>
        <w:gridCol w:w="371"/>
        <w:gridCol w:w="1699"/>
        <w:gridCol w:w="289"/>
        <w:gridCol w:w="689"/>
      </w:tblGrid>
      <w:tr w:rsidR="00976761" w:rsidTr="00646792">
        <w:trPr>
          <w:trHeight w:val="4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976761" w:rsidTr="00646792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976761" w:rsidTr="0088479A">
        <w:trPr>
          <w:trHeight w:val="360"/>
        </w:trPr>
        <w:tc>
          <w:tcPr>
            <w:tcW w:w="9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6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D665B">
              <w:rPr>
                <w:rFonts w:ascii="宋体" w:eastAsia="宋体" w:hAnsi="宋体" w:cs="宋体" w:hint="eastAsia"/>
                <w:sz w:val="16"/>
                <w:szCs w:val="16"/>
              </w:rPr>
              <w:t>2019年度招标控制价审计中介服务费</w:t>
            </w:r>
          </w:p>
        </w:tc>
      </w:tr>
      <w:tr w:rsidR="0088479A" w:rsidTr="0088479A">
        <w:trPr>
          <w:trHeight w:val="360"/>
        </w:trPr>
        <w:tc>
          <w:tcPr>
            <w:tcW w:w="9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71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B07E98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8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CD6956" w:rsidP="00357C6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审计中介机构</w:t>
            </w:r>
          </w:p>
        </w:tc>
      </w:tr>
      <w:tr w:rsidR="0088479A" w:rsidTr="0088479A">
        <w:trPr>
          <w:trHeight w:val="360"/>
        </w:trPr>
        <w:tc>
          <w:tcPr>
            <w:tcW w:w="931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88479A" w:rsidTr="0088479A">
        <w:trPr>
          <w:trHeight w:val="360"/>
        </w:trPr>
        <w:tc>
          <w:tcPr>
            <w:tcW w:w="93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9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200</w:t>
            </w:r>
          </w:p>
        </w:tc>
      </w:tr>
      <w:tr w:rsidR="0088479A" w:rsidTr="0088479A">
        <w:trPr>
          <w:trHeight w:val="360"/>
        </w:trPr>
        <w:tc>
          <w:tcPr>
            <w:tcW w:w="93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9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200</w:t>
            </w:r>
          </w:p>
        </w:tc>
      </w:tr>
      <w:tr w:rsidR="0088479A" w:rsidTr="0088479A">
        <w:trPr>
          <w:trHeight w:val="360"/>
        </w:trPr>
        <w:tc>
          <w:tcPr>
            <w:tcW w:w="93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9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88479A" w:rsidTr="0088479A">
        <w:trPr>
          <w:trHeight w:val="520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41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</w:t>
            </w:r>
            <w:r w:rsidRPr="007376E7">
              <w:rPr>
                <w:rFonts w:ascii="宋体" w:eastAsia="宋体" w:hAnsi="宋体" w:cs="宋体" w:hint="eastAsia"/>
                <w:sz w:val="16"/>
                <w:szCs w:val="16"/>
              </w:rPr>
              <w:t>更好地规范招投标前管理制度</w:t>
            </w:r>
          </w:p>
        </w:tc>
        <w:tc>
          <w:tcPr>
            <w:tcW w:w="235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7376E7">
              <w:rPr>
                <w:rFonts w:ascii="宋体" w:eastAsia="宋体" w:hAnsi="宋体" w:cs="宋体" w:hint="eastAsia"/>
                <w:sz w:val="16"/>
                <w:szCs w:val="16"/>
              </w:rPr>
              <w:t>更好地规范招投标前管理制度</w:t>
            </w:r>
          </w:p>
        </w:tc>
      </w:tr>
      <w:tr w:rsidR="0088479A" w:rsidTr="00110C6D">
        <w:trPr>
          <w:trHeight w:val="420"/>
        </w:trPr>
        <w:tc>
          <w:tcPr>
            <w:tcW w:w="22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88479A" w:rsidTr="00110C6D">
        <w:trPr>
          <w:trHeight w:val="380"/>
        </w:trPr>
        <w:tc>
          <w:tcPr>
            <w:tcW w:w="2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</w:t>
            </w:r>
            <w:r w:rsidR="00723245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0分）</w:t>
            </w:r>
          </w:p>
          <w:p w:rsidR="00723245" w:rsidRPr="00723245" w:rsidRDefault="00723245" w:rsidP="00723245">
            <w:pPr>
              <w:pStyle w:val="a0"/>
            </w:pPr>
          </w:p>
          <w:p w:rsidR="00723245" w:rsidRDefault="00723245" w:rsidP="0072324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723245" w:rsidRPr="00723245" w:rsidRDefault="00723245" w:rsidP="00723245"/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P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976761">
              <w:rPr>
                <w:rFonts w:ascii="宋体" w:eastAsia="宋体" w:hAnsi="宋体" w:cs="宋体" w:hint="eastAsia"/>
                <w:sz w:val="16"/>
                <w:szCs w:val="16"/>
              </w:rPr>
              <w:t>对政府性投资项目进行招标前控制价审计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99个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227B86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88479A" w:rsidTr="00110C6D">
        <w:trPr>
          <w:trHeight w:val="380"/>
        </w:trPr>
        <w:tc>
          <w:tcPr>
            <w:tcW w:w="2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质量达到验收标准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227B86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审计合格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227B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227B86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88479A" w:rsidTr="00110C6D">
        <w:trPr>
          <w:trHeight w:val="380"/>
        </w:trPr>
        <w:tc>
          <w:tcPr>
            <w:tcW w:w="2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AA39E8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434FA3">
              <w:rPr>
                <w:rFonts w:ascii="宋体" w:eastAsia="宋体" w:hAnsi="宋体" w:cs="宋体" w:hint="eastAsia"/>
                <w:sz w:val="16"/>
                <w:szCs w:val="16"/>
              </w:rPr>
              <w:t>资金的支付按工作进度执行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AA39E8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2019年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227B86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88479A" w:rsidTr="00110C6D">
        <w:trPr>
          <w:trHeight w:val="520"/>
        </w:trPr>
        <w:tc>
          <w:tcPr>
            <w:tcW w:w="2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AA39E8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7376E7">
              <w:rPr>
                <w:rFonts w:ascii="宋体" w:eastAsia="宋体" w:hAnsi="宋体" w:cs="宋体" w:hint="eastAsia"/>
                <w:sz w:val="16"/>
                <w:szCs w:val="16"/>
              </w:rPr>
              <w:t>招标控制价审计中介服务费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AA39E8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200万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227B86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76761" w:rsidRDefault="00976761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10C6D" w:rsidTr="00110C6D">
        <w:trPr>
          <w:trHeight w:val="520"/>
        </w:trPr>
        <w:tc>
          <w:tcPr>
            <w:tcW w:w="2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F697A">
              <w:rPr>
                <w:rFonts w:ascii="宋体" w:eastAsia="宋体" w:hAnsi="宋体" w:cs="宋体" w:hint="eastAsia"/>
                <w:sz w:val="16"/>
                <w:szCs w:val="16"/>
              </w:rPr>
              <w:t>规范项目招投标管理制度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723245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10C6D" w:rsidTr="00110C6D">
        <w:trPr>
          <w:trHeight w:val="520"/>
        </w:trPr>
        <w:tc>
          <w:tcPr>
            <w:tcW w:w="2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Pr="00AA39E8" w:rsidRDefault="00110C6D" w:rsidP="008847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F697A">
              <w:rPr>
                <w:rFonts w:ascii="宋体" w:eastAsia="宋体" w:hAnsi="宋体" w:cs="宋体" w:hint="eastAsia"/>
                <w:sz w:val="16"/>
                <w:szCs w:val="16"/>
              </w:rPr>
              <w:t>为招投标企业提供良好的投资环境和发展空间，促进了我县经济、社会、环境等方面的发展。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优化环境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10C6D" w:rsidTr="00110C6D">
        <w:trPr>
          <w:trHeight w:val="1034"/>
        </w:trPr>
        <w:tc>
          <w:tcPr>
            <w:tcW w:w="2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AA39E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F697A">
              <w:rPr>
                <w:rFonts w:ascii="宋体" w:eastAsia="宋体" w:hAnsi="宋体" w:cs="宋体" w:hint="eastAsia"/>
                <w:sz w:val="16"/>
                <w:szCs w:val="16"/>
              </w:rPr>
              <w:t>招投标企业满意度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10C6D" w:rsidTr="0088479A">
        <w:trPr>
          <w:trHeight w:val="420"/>
        </w:trPr>
        <w:tc>
          <w:tcPr>
            <w:tcW w:w="4612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110C6D" w:rsidTr="00646792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10C6D" w:rsidRDefault="00110C6D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</w:p>
          <w:p w:rsidR="00110C6D" w:rsidRDefault="00110C6D" w:rsidP="004429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　　4.请在“未完成原因分析”一栏中简要说明偏离目标、不能完成目标的原因及今后改进的措施。</w:t>
            </w:r>
          </w:p>
        </w:tc>
      </w:tr>
    </w:tbl>
    <w:p w:rsidR="00854CAC" w:rsidRPr="00976761" w:rsidRDefault="00854CAC">
      <w:pPr>
        <w:pStyle w:val="a0"/>
      </w:pPr>
    </w:p>
    <w:sectPr w:rsidR="00854CAC" w:rsidRPr="00976761" w:rsidSect="00022B9E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576" w:rsidRDefault="000A2576" w:rsidP="00BE79AB">
      <w:r>
        <w:separator/>
      </w:r>
    </w:p>
  </w:endnote>
  <w:endnote w:type="continuationSeparator" w:id="1">
    <w:p w:rsidR="000A2576" w:rsidRDefault="000A2576" w:rsidP="00BE7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576" w:rsidRDefault="000A2576" w:rsidP="00BE79AB">
      <w:r>
        <w:separator/>
      </w:r>
    </w:p>
  </w:footnote>
  <w:footnote w:type="continuationSeparator" w:id="1">
    <w:p w:rsidR="000A2576" w:rsidRDefault="000A2576" w:rsidP="00BE79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A310B40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22B9E"/>
    <w:rsid w:val="00034431"/>
    <w:rsid w:val="00057DCD"/>
    <w:rsid w:val="000A2576"/>
    <w:rsid w:val="00110C6D"/>
    <w:rsid w:val="001421B5"/>
    <w:rsid w:val="00227B86"/>
    <w:rsid w:val="00282DBB"/>
    <w:rsid w:val="002B11C3"/>
    <w:rsid w:val="00357C6D"/>
    <w:rsid w:val="003842CC"/>
    <w:rsid w:val="003D2C4F"/>
    <w:rsid w:val="003F2C68"/>
    <w:rsid w:val="00404C12"/>
    <w:rsid w:val="00405EB0"/>
    <w:rsid w:val="004145B3"/>
    <w:rsid w:val="00434FA3"/>
    <w:rsid w:val="00463009"/>
    <w:rsid w:val="00504D72"/>
    <w:rsid w:val="00640B8A"/>
    <w:rsid w:val="00646792"/>
    <w:rsid w:val="00697CCC"/>
    <w:rsid w:val="006A3852"/>
    <w:rsid w:val="00723245"/>
    <w:rsid w:val="007376E7"/>
    <w:rsid w:val="007A36EB"/>
    <w:rsid w:val="007E40F5"/>
    <w:rsid w:val="00854CAC"/>
    <w:rsid w:val="0088479A"/>
    <w:rsid w:val="00914B73"/>
    <w:rsid w:val="00976761"/>
    <w:rsid w:val="009B6688"/>
    <w:rsid w:val="00A34449"/>
    <w:rsid w:val="00A74A71"/>
    <w:rsid w:val="00AA2082"/>
    <w:rsid w:val="00AA39E8"/>
    <w:rsid w:val="00AB16F1"/>
    <w:rsid w:val="00AD665B"/>
    <w:rsid w:val="00AE0683"/>
    <w:rsid w:val="00B00C00"/>
    <w:rsid w:val="00B07E98"/>
    <w:rsid w:val="00BB25D9"/>
    <w:rsid w:val="00BE79AB"/>
    <w:rsid w:val="00BF697A"/>
    <w:rsid w:val="00C27608"/>
    <w:rsid w:val="00C47018"/>
    <w:rsid w:val="00CB521F"/>
    <w:rsid w:val="00CD6956"/>
    <w:rsid w:val="00D20372"/>
    <w:rsid w:val="00D33BB5"/>
    <w:rsid w:val="00D63952"/>
    <w:rsid w:val="00DB4D11"/>
    <w:rsid w:val="00E07E0A"/>
    <w:rsid w:val="00EA6DD2"/>
    <w:rsid w:val="00FF4E16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54CAC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854CA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854CAC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854CAC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854CA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854CAC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854CA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854CAC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854CAC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854CAC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854CAC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BE79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BE79AB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BE79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BE79AB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Date"/>
    <w:basedOn w:val="a"/>
    <w:next w:val="a"/>
    <w:link w:val="Char1"/>
    <w:rsid w:val="00110C6D"/>
    <w:pPr>
      <w:ind w:leftChars="2500" w:left="100"/>
    </w:pPr>
  </w:style>
  <w:style w:type="character" w:customStyle="1" w:styleId="Char1">
    <w:name w:val="日期 Char"/>
    <w:basedOn w:val="a1"/>
    <w:link w:val="a7"/>
    <w:rsid w:val="00110C6D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CD713A-170B-4CC6-B9B5-C282084C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307</Words>
  <Characters>1753</Characters>
  <Application>Microsoft Office Word</Application>
  <DocSecurity>0</DocSecurity>
  <Lines>14</Lines>
  <Paragraphs>4</Paragraphs>
  <ScaleCrop>false</ScaleCrop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36</cp:revision>
  <dcterms:created xsi:type="dcterms:W3CDTF">2020-05-28T09:48:00Z</dcterms:created>
  <dcterms:modified xsi:type="dcterms:W3CDTF">2020-11-12T13:54:00Z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