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83" w:rsidRDefault="00AE0683" w:rsidP="00AE0683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AE0683" w:rsidRDefault="00AE0683" w:rsidP="00AE0683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AE0683" w:rsidRDefault="001E7AC1" w:rsidP="00AE068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1E7AC1">
        <w:rPr>
          <w:rFonts w:ascii="Times New Roman" w:eastAsia="宋体"/>
          <w:color w:val="auto"/>
          <w:szCs w:val="24"/>
        </w:rPr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AE0683" w:rsidRDefault="00AE0683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150C14" w:rsidRDefault="00DB4D11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BE79A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AD39C2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年度</w:t>
      </w:r>
      <w:r w:rsidR="00150C14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促进</w:t>
      </w:r>
    </w:p>
    <w:p w:rsidR="00854CAC" w:rsidRDefault="00A235F9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居民消费项目</w:t>
      </w:r>
      <w:r w:rsidR="00150C14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资金</w:t>
      </w:r>
      <w:r w:rsidR="00DB4D11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绩效自评报告</w:t>
      </w:r>
    </w:p>
    <w:p w:rsidR="00854CAC" w:rsidRPr="00BE79AB" w:rsidRDefault="00854CAC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854CAC" w:rsidRDefault="00DB4D11" w:rsidP="00AE0683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854CAC" w:rsidRDefault="007A36EB" w:rsidP="00AE0683">
      <w:pPr>
        <w:autoSpaceDE w:val="0"/>
        <w:spacing w:line="60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6A0778">
        <w:rPr>
          <w:rFonts w:eastAsia="仿宋_GB2312"/>
          <w:sz w:val="32"/>
          <w:szCs w:val="32"/>
        </w:rPr>
        <w:t>根据《财政部关于开展</w:t>
      </w:r>
      <w:r w:rsidR="006A0778">
        <w:rPr>
          <w:rFonts w:eastAsia="仿宋_GB2312"/>
          <w:sz w:val="32"/>
          <w:szCs w:val="32"/>
        </w:rPr>
        <w:t>20</w:t>
      </w:r>
      <w:r w:rsidR="006A0778">
        <w:rPr>
          <w:rFonts w:hint="eastAsia"/>
          <w:sz w:val="32"/>
          <w:szCs w:val="32"/>
        </w:rPr>
        <w:t>20</w:t>
      </w:r>
      <w:r w:rsidR="006A0778">
        <w:rPr>
          <w:rFonts w:eastAsia="仿宋_GB2312"/>
          <w:sz w:val="32"/>
          <w:szCs w:val="32"/>
        </w:rPr>
        <w:t>年度中央对地方转移支付预算执行情况绩效自评工作的通知》（财</w:t>
      </w:r>
      <w:r w:rsidR="006A0778">
        <w:rPr>
          <w:rFonts w:hint="eastAsia"/>
          <w:sz w:val="32"/>
          <w:szCs w:val="32"/>
        </w:rPr>
        <w:t>监</w:t>
      </w:r>
      <w:r w:rsidR="006A0778">
        <w:rPr>
          <w:rFonts w:eastAsia="仿宋_GB2312"/>
          <w:sz w:val="32"/>
          <w:szCs w:val="32"/>
        </w:rPr>
        <w:t>〔</w:t>
      </w:r>
      <w:r w:rsidR="006A0778">
        <w:rPr>
          <w:rFonts w:eastAsia="仿宋_GB2312"/>
          <w:sz w:val="32"/>
          <w:szCs w:val="32"/>
        </w:rPr>
        <w:t>20</w:t>
      </w:r>
      <w:r w:rsidR="006A0778">
        <w:rPr>
          <w:rFonts w:hint="eastAsia"/>
          <w:sz w:val="32"/>
          <w:szCs w:val="32"/>
        </w:rPr>
        <w:t>21</w:t>
      </w:r>
      <w:r w:rsidR="006A0778">
        <w:rPr>
          <w:rFonts w:eastAsia="仿宋_GB2312"/>
          <w:sz w:val="32"/>
          <w:szCs w:val="32"/>
        </w:rPr>
        <w:t>〕</w:t>
      </w:r>
      <w:r w:rsidR="006A0778">
        <w:rPr>
          <w:rFonts w:hint="eastAsia"/>
          <w:sz w:val="32"/>
          <w:szCs w:val="32"/>
        </w:rPr>
        <w:t>2</w:t>
      </w:r>
      <w:r w:rsidR="006A0778">
        <w:rPr>
          <w:rFonts w:eastAsia="仿宋_GB2312"/>
          <w:sz w:val="32"/>
          <w:szCs w:val="32"/>
        </w:rPr>
        <w:t>号）要求，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对照绩效自评内容和方法，我局开展了</w:t>
      </w:r>
      <w:r w:rsidR="006A0778">
        <w:rPr>
          <w:rFonts w:eastAsia="仿宋_GB2312"/>
          <w:sz w:val="32"/>
          <w:szCs w:val="32"/>
        </w:rPr>
        <w:t>20</w:t>
      </w:r>
      <w:r w:rsidR="006A0778">
        <w:rPr>
          <w:rFonts w:hint="eastAsia"/>
          <w:sz w:val="32"/>
          <w:szCs w:val="32"/>
        </w:rPr>
        <w:t>20</w:t>
      </w:r>
      <w:r w:rsidR="006A0778">
        <w:rPr>
          <w:rFonts w:eastAsia="仿宋_GB2312"/>
          <w:sz w:val="32"/>
          <w:szCs w:val="32"/>
        </w:rPr>
        <w:t>年度中央及自治区转移支付</w:t>
      </w:r>
      <w:r w:rsidR="006A0778">
        <w:rPr>
          <w:rFonts w:eastAsia="仿宋_GB2312" w:hint="eastAsia"/>
          <w:sz w:val="32"/>
          <w:szCs w:val="32"/>
        </w:rPr>
        <w:t>盐池县促进居民消费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项目资金绩效自评工作。现报告如下：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</w:t>
      </w:r>
      <w:r w:rsidR="00AB7042">
        <w:rPr>
          <w:rFonts w:ascii="黑体" w:eastAsia="黑体" w:hAnsi="黑体" w:cs="黑体" w:hint="eastAsia"/>
          <w:b w:val="0"/>
          <w:bCs w:val="0"/>
        </w:rPr>
        <w:t>分解</w:t>
      </w:r>
      <w:r>
        <w:rPr>
          <w:rFonts w:ascii="黑体" w:eastAsia="黑体" w:hAnsi="黑体" w:cs="黑体" w:hint="eastAsia"/>
          <w:b w:val="0"/>
          <w:bCs w:val="0"/>
        </w:rPr>
        <w:t>下达情况</w:t>
      </w:r>
    </w:p>
    <w:p w:rsidR="00854CA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AB7042" w:rsidRPr="00AB7042">
        <w:rPr>
          <w:rFonts w:ascii="仿宋_GB2312" w:eastAsia="仿宋_GB2312" w:hAnsi="Calibri" w:cs="宋体" w:hint="eastAsia"/>
          <w:b w:val="0"/>
          <w:bCs w:val="0"/>
          <w:kern w:val="2"/>
        </w:rPr>
        <w:t>自治区</w:t>
      </w:r>
      <w:r w:rsidR="00AB7042" w:rsidRPr="00AB7042">
        <w:rPr>
          <w:rFonts w:ascii="仿宋_GB2312" w:eastAsia="仿宋_GB2312" w:hAnsi="Calibri" w:cs="宋体"/>
          <w:b w:val="0"/>
          <w:bCs w:val="0"/>
          <w:kern w:val="2"/>
        </w:rPr>
        <w:t>下达</w:t>
      </w:r>
      <w:r w:rsidR="00AB7042">
        <w:rPr>
          <w:rFonts w:ascii="仿宋_GB2312" w:eastAsia="仿宋_GB2312" w:hAnsi="Calibri" w:cs="宋体" w:hint="eastAsia"/>
          <w:b w:val="0"/>
          <w:bCs w:val="0"/>
          <w:kern w:val="2"/>
        </w:rPr>
        <w:t>中央国债</w:t>
      </w:r>
      <w:r w:rsidR="00AB7042" w:rsidRPr="00AB7042">
        <w:rPr>
          <w:rFonts w:ascii="仿宋_GB2312" w:eastAsia="仿宋_GB2312" w:hAnsi="Calibri" w:cs="宋体"/>
          <w:b w:val="0"/>
          <w:bCs w:val="0"/>
          <w:kern w:val="2"/>
        </w:rPr>
        <w:t>专项转移支付</w:t>
      </w:r>
      <w:r w:rsidR="00AB7042" w:rsidRPr="00AB7042">
        <w:rPr>
          <w:rFonts w:ascii="仿宋_GB2312" w:eastAsia="仿宋_GB2312" w:hAnsi="Calibri" w:cs="宋体" w:hint="eastAsia"/>
          <w:b w:val="0"/>
          <w:bCs w:val="0"/>
          <w:kern w:val="2"/>
        </w:rPr>
        <w:t>盐池县促进居民消费</w:t>
      </w:r>
      <w:r w:rsidR="00640B8A">
        <w:rPr>
          <w:rFonts w:ascii="仿宋_GB2312" w:eastAsia="仿宋_GB2312" w:hAnsi="Calibri" w:cs="宋体" w:hint="eastAsia"/>
          <w:b w:val="0"/>
          <w:bCs w:val="0"/>
          <w:kern w:val="2"/>
        </w:rPr>
        <w:t>项目资金共一批，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金额为</w:t>
      </w:r>
      <w:r w:rsidR="00AB7042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128.44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854CAC" w:rsidRDefault="00DB4D11" w:rsidP="00AE0683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预)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指标（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B04F40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</w:t>
      </w:r>
      <w:r w:rsidR="00AB7042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320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AB7042">
        <w:rPr>
          <w:rFonts w:ascii="仿宋_GB2312" w:eastAsia="仿宋_GB2312" w:hAnsi="Calibri" w:cs="宋体" w:hint="eastAsia"/>
          <w:kern w:val="2"/>
          <w:sz w:val="32"/>
          <w:szCs w:val="32"/>
        </w:rPr>
        <w:t>128.44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04F40" w:rsidRPr="00DD7F2D" w:rsidRDefault="00DB4D11" w:rsidP="009B2936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DD7F2D"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D33BB5" w:rsidRPr="00DD7F2D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04F40" w:rsidRPr="00DD7F2D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D33BB5" w:rsidRPr="00DD7F2D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AB704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盐池县促进居民消费项目资金</w:t>
      </w:r>
      <w:r w:rsidRPr="00DD7F2D">
        <w:rPr>
          <w:rFonts w:ascii="仿宋_GB2312" w:eastAsia="仿宋_GB2312" w:hAnsi="Calibri" w:cs="宋体" w:hint="eastAsia"/>
          <w:b w:val="0"/>
          <w:bCs w:val="0"/>
          <w:kern w:val="2"/>
        </w:rPr>
        <w:t>主要用于</w:t>
      </w:r>
      <w:r w:rsidR="00D33BB5" w:rsidRPr="00DD7F2D">
        <w:rPr>
          <w:rFonts w:ascii="仿宋_GB2312" w:eastAsia="仿宋_GB2312" w:hAnsi="Calibri" w:cs="宋体" w:hint="eastAsia"/>
          <w:b w:val="0"/>
          <w:bCs w:val="0"/>
          <w:kern w:val="2"/>
        </w:rPr>
        <w:t>支付</w:t>
      </w:r>
      <w:r w:rsidR="00AB704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全县大中型商业综合体、商超实体店、服</w:t>
      </w:r>
      <w:r w:rsidR="00AB7042" w:rsidRPr="00DD7F2D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装及其他百货店等商户采取消费补贴的方式开展促消费活动</w:t>
      </w:r>
      <w:r w:rsidR="00DD7F2D" w:rsidRPr="00DD7F2D">
        <w:rPr>
          <w:rFonts w:ascii="仿宋_GB2312" w:eastAsia="仿宋_GB2312" w:hAnsi="Calibri" w:cs="宋体" w:hint="eastAsia"/>
          <w:b w:val="0"/>
          <w:bCs w:val="0"/>
          <w:kern w:val="2"/>
        </w:rPr>
        <w:t>的补助</w:t>
      </w:r>
      <w:r w:rsidR="00AB704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；为全县城镇低保户、低收入家庭、特困供养人员发放肉类价格消费券，等等。</w:t>
      </w:r>
      <w:r w:rsidR="00DD7F2D" w:rsidRPr="00DD7F2D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DD7F2D">
        <w:rPr>
          <w:rFonts w:ascii="仿宋_GB2312" w:eastAsia="仿宋_GB2312" w:hAnsi="Calibri" w:cs="宋体" w:hint="eastAsia"/>
          <w:b w:val="0"/>
          <w:bCs w:val="0"/>
          <w:kern w:val="2"/>
        </w:rPr>
        <w:t>已</w:t>
      </w:r>
      <w:r w:rsidR="00DD7F2D" w:rsidRPr="00DD7F2D">
        <w:rPr>
          <w:rFonts w:ascii="仿宋_GB2312" w:eastAsia="仿宋_GB2312" w:hAnsi="Calibri" w:cs="宋体" w:hint="eastAsia"/>
          <w:b w:val="0"/>
          <w:bCs w:val="0"/>
          <w:kern w:val="2"/>
        </w:rPr>
        <w:t>完</w:t>
      </w:r>
      <w:r w:rsidR="00DD7F2D">
        <w:rPr>
          <w:rFonts w:ascii="仿宋_GB2312" w:eastAsia="仿宋_GB2312" w:hAnsi="Calibri" w:cs="宋体" w:hint="eastAsia"/>
          <w:b w:val="0"/>
          <w:bCs w:val="0"/>
          <w:kern w:val="2"/>
        </w:rPr>
        <w:t>成</w:t>
      </w:r>
      <w:r w:rsidR="00DD7F2D" w:rsidRPr="00DD7F2D"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D2037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我局</w:t>
      </w:r>
      <w:r w:rsidR="00B04F40" w:rsidRPr="00DD7F2D">
        <w:rPr>
          <w:rFonts w:ascii="仿宋_GB2312" w:eastAsia="仿宋_GB2312" w:hAnsi="Calibri" w:cs="宋体" w:hint="eastAsia"/>
          <w:b w:val="0"/>
          <w:bCs w:val="0"/>
          <w:kern w:val="2"/>
        </w:rPr>
        <w:t>已</w:t>
      </w:r>
      <w:r w:rsidR="00D2037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支付1</w:t>
      </w:r>
      <w:r w:rsidR="00B04F40" w:rsidRPr="00DD7F2D">
        <w:rPr>
          <w:rFonts w:ascii="仿宋_GB2312" w:eastAsia="仿宋_GB2312" w:hAnsi="Calibri" w:cs="宋体" w:hint="eastAsia"/>
          <w:b w:val="0"/>
          <w:bCs w:val="0"/>
          <w:kern w:val="2"/>
        </w:rPr>
        <w:t>2</w:t>
      </w:r>
      <w:r w:rsidR="00DD7F2D">
        <w:rPr>
          <w:rFonts w:ascii="仿宋_GB2312" w:eastAsia="仿宋_GB2312" w:hAnsi="Calibri" w:cs="宋体" w:hint="eastAsia"/>
          <w:b w:val="0"/>
          <w:bCs w:val="0"/>
          <w:kern w:val="2"/>
        </w:rPr>
        <w:t>8.44</w:t>
      </w:r>
      <w:r w:rsidR="00D20372" w:rsidRPr="00DD7F2D">
        <w:rPr>
          <w:rFonts w:ascii="仿宋_GB2312" w:eastAsia="仿宋_GB2312" w:hAnsi="Calibri" w:cs="宋体" w:hint="eastAsia"/>
          <w:b w:val="0"/>
          <w:bCs w:val="0"/>
          <w:kern w:val="2"/>
        </w:rPr>
        <w:t>万元</w:t>
      </w:r>
      <w:r w:rsidR="00B04F40" w:rsidRPr="00DD7F2D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854CAC" w:rsidRP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0E1FE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0E1FE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0E1FE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0E1FE2" w:rsidRPr="00AB7042">
        <w:rPr>
          <w:rFonts w:ascii="仿宋_GB2312" w:eastAsia="仿宋_GB2312" w:hAnsi="Calibri" w:cs="宋体" w:hint="eastAsia"/>
          <w:b w:val="0"/>
          <w:bCs w:val="0"/>
          <w:kern w:val="2"/>
        </w:rPr>
        <w:t>盐池县促进居民消费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绩效目标完成情况分析</w:t>
      </w:r>
    </w:p>
    <w:p w:rsidR="004145B3" w:rsidRDefault="000E1FE2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0E1FE2">
        <w:rPr>
          <w:rFonts w:ascii="仿宋_GB2312" w:eastAsia="仿宋_GB2312" w:hAnsi="Calibri" w:cs="宋体" w:hint="eastAsia"/>
          <w:b w:val="0"/>
          <w:bCs w:val="0"/>
          <w:kern w:val="2"/>
        </w:rPr>
        <w:t>根据盐池县委常委会议纪要十四届[2020]14号文件，依托县级电商运营中心，在全县大中型商业综合体、商超实体店、服装及其他百货店等商户采取消费补贴的方式开展促消费活动；为全县城镇低保户、低收入家庭、特困供养人员发放肉类价格消费券，等等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，项目已完工，达到预期目标</w:t>
      </w:r>
      <w:r w:rsidRPr="000E1FE2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770D1F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（1）数量指标。</w:t>
      </w:r>
      <w:r w:rsidR="00770D1F" w:rsidRPr="00770D1F">
        <w:rPr>
          <w:rFonts w:ascii="仿宋_GB2312" w:eastAsia="仿宋_GB2312" w:hAnsi="Calibri" w:cs="宋体" w:hint="eastAsia"/>
          <w:b w:val="0"/>
          <w:bCs w:val="0"/>
          <w:kern w:val="2"/>
        </w:rPr>
        <w:t>对8</w:t>
      </w:r>
      <w:r w:rsidR="00770D1F">
        <w:rPr>
          <w:rFonts w:ascii="仿宋_GB2312" w:eastAsia="仿宋_GB2312" w:hAnsi="Calibri" w:cs="宋体" w:hint="eastAsia"/>
          <w:b w:val="0"/>
          <w:bCs w:val="0"/>
          <w:kern w:val="2"/>
        </w:rPr>
        <w:t>家大中型商业综合体、商超开展促进居民消费补助29万元；</w:t>
      </w:r>
      <w:r w:rsidR="00770D1F" w:rsidRPr="00770D1F">
        <w:rPr>
          <w:rFonts w:ascii="仿宋_GB2312" w:eastAsia="仿宋_GB2312" w:hAnsi="Calibri" w:cs="宋体" w:hint="eastAsia"/>
          <w:b w:val="0"/>
          <w:bCs w:val="0"/>
          <w:kern w:val="2"/>
        </w:rPr>
        <w:t>对174</w:t>
      </w:r>
      <w:r w:rsidR="00770D1F">
        <w:rPr>
          <w:rFonts w:ascii="仿宋_GB2312" w:eastAsia="仿宋_GB2312" w:hAnsi="Calibri" w:cs="宋体" w:hint="eastAsia"/>
          <w:b w:val="0"/>
          <w:bCs w:val="0"/>
          <w:kern w:val="2"/>
        </w:rPr>
        <w:t>人（户）居民促消费活动优惠券补助99.44万元</w:t>
      </w:r>
      <w:r w:rsidR="00770D1F" w:rsidRPr="00770D1F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4145B3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审计</w:t>
      </w:r>
      <w:r w:rsidR="00F97AFB">
        <w:rPr>
          <w:rFonts w:ascii="仿宋_GB2312" w:eastAsia="仿宋_GB2312" w:hAnsi="Calibri" w:cs="宋体" w:hint="eastAsia"/>
          <w:b w:val="0"/>
          <w:bCs w:val="0"/>
          <w:kern w:val="2"/>
        </w:rPr>
        <w:t>项目完成率98%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110C6D" w:rsidRDefault="004145B3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（3）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时效指标。</w:t>
      </w:r>
      <w:r w:rsidR="00F97AFB">
        <w:rPr>
          <w:rFonts w:ascii="仿宋_GB2312" w:eastAsia="仿宋_GB2312" w:hAnsi="Calibri" w:cs="宋体" w:hint="eastAsia"/>
          <w:kern w:val="2"/>
          <w:sz w:val="32"/>
          <w:szCs w:val="32"/>
        </w:rPr>
        <w:t>2020年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度项目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资金按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项目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进度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支付</w:t>
      </w:r>
      <w:r w:rsidR="00110C6D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110C6D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（4）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成本指标。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4145B3" w:rsidRPr="00BE79AB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4145B3" w:rsidRPr="00BE79AB">
        <w:rPr>
          <w:rFonts w:ascii="仿宋_GB2312" w:eastAsia="仿宋_GB2312" w:hAnsi="Calibri" w:cs="宋体" w:hint="eastAsia"/>
          <w:color w:val="000000"/>
          <w:kern w:val="2"/>
          <w:sz w:val="32"/>
          <w:szCs w:val="32"/>
        </w:rPr>
        <w:t>招标控制价审计中介服务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费项目资金</w:t>
      </w:r>
      <w:r w:rsidR="00B04F40">
        <w:rPr>
          <w:rFonts w:ascii="仿宋_GB2312" w:eastAsia="仿宋_GB2312" w:hAnsi="Calibri" w:cs="宋体" w:hint="eastAsia"/>
          <w:kern w:val="2"/>
          <w:sz w:val="32"/>
          <w:szCs w:val="32"/>
        </w:rPr>
        <w:t>18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854CAC" w:rsidRDefault="00DB4D11" w:rsidP="00AE0683">
      <w:pPr>
        <w:pStyle w:val="a0"/>
        <w:numPr>
          <w:ilvl w:val="0"/>
          <w:numId w:val="5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3D2C4F" w:rsidRDefault="00DB4D11" w:rsidP="00AE068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3D2C4F" w:rsidRPr="003D2C4F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314386">
        <w:rPr>
          <w:rFonts w:ascii="仿宋_GB2312" w:eastAsia="仿宋_GB2312" w:hAnsi="Calibri" w:cs="宋体" w:hint="eastAsia"/>
          <w:b w:val="0"/>
          <w:bCs w:val="0"/>
          <w:kern w:val="2"/>
        </w:rPr>
        <w:t>工程预算审计监督事故率不超过5%。</w:t>
      </w:r>
    </w:p>
    <w:p w:rsidR="003D2C4F" w:rsidRPr="003D2C4F" w:rsidRDefault="00DB4D11" w:rsidP="00AE068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314386">
        <w:rPr>
          <w:rFonts w:ascii="仿宋_GB2312" w:eastAsia="仿宋_GB2312" w:hAnsi="Calibri" w:cs="宋体" w:hint="eastAsia"/>
          <w:b w:val="0"/>
          <w:bCs w:val="0"/>
          <w:kern w:val="2"/>
        </w:rPr>
        <w:t>减少政府非必要支出，充分发挥政</w:t>
      </w:r>
      <w:r w:rsidR="00314386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府资金作用。</w:t>
      </w:r>
    </w:p>
    <w:p w:rsidR="00854CAC" w:rsidRDefault="00DB4D11" w:rsidP="00AE0683">
      <w:pPr>
        <w:pStyle w:val="a0"/>
        <w:spacing w:before="0" w:after="0" w:line="600" w:lineRule="exact"/>
        <w:ind w:left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854CAC" w:rsidRDefault="003D2C4F" w:rsidP="00AE0683">
      <w:pPr>
        <w:autoSpaceDE w:val="0"/>
        <w:spacing w:line="600" w:lineRule="exact"/>
        <w:jc w:val="left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2747A4">
        <w:rPr>
          <w:rFonts w:ascii="仿宋_GB2312" w:eastAsia="仿宋_GB2312" w:hAnsi="Calibri" w:cs="宋体" w:hint="eastAsia"/>
          <w:kern w:val="2"/>
          <w:sz w:val="32"/>
          <w:szCs w:val="32"/>
        </w:rPr>
        <w:t>群众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对</w:t>
      </w:r>
      <w:r w:rsidR="002747A4">
        <w:rPr>
          <w:rFonts w:ascii="仿宋_GB2312" w:eastAsia="仿宋_GB2312" w:hAnsi="Calibri" w:cs="宋体" w:hint="eastAsia"/>
          <w:kern w:val="2"/>
          <w:sz w:val="32"/>
          <w:szCs w:val="32"/>
        </w:rPr>
        <w:t>消费措施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的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满意度达到98%。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8D0888" w:rsidRDefault="00DB4D11" w:rsidP="008D0888">
      <w:pPr>
        <w:ind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通过此次绩效自评，我们在下一步工作中，将继续完善</w:t>
      </w:r>
      <w:r w:rsidR="00463009" w:rsidRPr="00463009">
        <w:rPr>
          <w:rFonts w:ascii="仿宋_GB2312" w:eastAsia="仿宋_GB2312" w:hAnsi="Calibri" w:cs="宋体" w:hint="eastAsia"/>
          <w:kern w:val="2"/>
          <w:sz w:val="32"/>
          <w:szCs w:val="32"/>
        </w:rPr>
        <w:t>项目</w:t>
      </w:r>
      <w:r w:rsidR="008D0888">
        <w:rPr>
          <w:rFonts w:ascii="仿宋_GB2312" w:eastAsia="仿宋_GB2312" w:hAnsi="Calibri" w:cs="宋体" w:hint="eastAsia"/>
          <w:kern w:val="2"/>
          <w:sz w:val="32"/>
          <w:szCs w:val="32"/>
        </w:rPr>
        <w:t>资金的使用和管理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D0888" w:rsidRDefault="008D0888" w:rsidP="008D0888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Calibri" w:eastAsia="仿宋_GB2312" w:hAnsi="Calibri"/>
          <w:color w:val="000000"/>
          <w:sz w:val="32"/>
          <w:szCs w:val="32"/>
        </w:rPr>
        <w:t>四、绩效自评结果拟应用和公开情况</w:t>
      </w:r>
    </w:p>
    <w:p w:rsidR="00854CAC" w:rsidRPr="008D0888" w:rsidRDefault="008D0888" w:rsidP="00AE0683">
      <w:pPr>
        <w:adjustRightInd w:val="0"/>
        <w:snapToGrid w:val="0"/>
        <w:spacing w:line="600" w:lineRule="exact"/>
        <w:ind w:firstLine="642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盐池县促进居民消费项目资金正在完成中，尚未公开。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附件：部门项目支出绩效自评表</w:t>
      </w:r>
    </w:p>
    <w:p w:rsidR="00854CAC" w:rsidRDefault="00854CAC" w:rsidP="00022B9E">
      <w:pPr>
        <w:pStyle w:val="a0"/>
        <w:spacing w:line="560" w:lineRule="exact"/>
        <w:rPr>
          <w:rFonts w:ascii="仿宋_GB2312" w:eastAsia="仿宋_GB2312" w:hAnsi="Calibri" w:cs="宋体"/>
          <w:b w:val="0"/>
          <w:bCs w:val="0"/>
          <w:kern w:val="2"/>
        </w:rPr>
      </w:pPr>
    </w:p>
    <w:p w:rsidR="00034431" w:rsidRPr="00034431" w:rsidRDefault="00034431" w:rsidP="00034431"/>
    <w:p w:rsidR="00110C6D" w:rsidRPr="00110C6D" w:rsidRDefault="00110C6D" w:rsidP="00110C6D"/>
    <w:p w:rsidR="00854CAC" w:rsidRDefault="00022B9E" w:rsidP="00022B9E">
      <w:pPr>
        <w:spacing w:line="56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854CAC" w:rsidRDefault="00DB4D11" w:rsidP="00022B9E">
      <w:pPr>
        <w:pStyle w:val="a0"/>
        <w:spacing w:line="560" w:lineRule="exact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                        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202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月</w:t>
      </w:r>
      <w:r w:rsidR="008D0888">
        <w:rPr>
          <w:rFonts w:ascii="仿宋_GB2312" w:eastAsia="仿宋_GB2312" w:hAnsi="Calibri" w:cs="宋体" w:hint="eastAsia"/>
          <w:b w:val="0"/>
          <w:bCs w:val="0"/>
          <w:kern w:val="2"/>
        </w:rPr>
        <w:t>9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日</w:t>
      </w: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tbl>
      <w:tblPr>
        <w:tblW w:w="9672" w:type="dxa"/>
        <w:tblInd w:w="99" w:type="dxa"/>
        <w:tblLook w:val="04A0"/>
      </w:tblPr>
      <w:tblGrid>
        <w:gridCol w:w="534"/>
        <w:gridCol w:w="520"/>
        <w:gridCol w:w="1140"/>
        <w:gridCol w:w="2055"/>
        <w:gridCol w:w="1289"/>
        <w:gridCol w:w="109"/>
        <w:gridCol w:w="1450"/>
        <w:gridCol w:w="142"/>
        <w:gridCol w:w="108"/>
        <w:gridCol w:w="742"/>
        <w:gridCol w:w="567"/>
        <w:gridCol w:w="267"/>
        <w:gridCol w:w="749"/>
      </w:tblGrid>
      <w:tr w:rsidR="00BB2B01" w:rsidRPr="00BB2B01" w:rsidTr="00E353E2">
        <w:trPr>
          <w:trHeight w:val="330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黑体" w:eastAsia="黑体" w:hAnsi="黑体" w:cs="宋体"/>
                <w:color w:val="auto"/>
                <w:sz w:val="32"/>
                <w:szCs w:val="32"/>
              </w:rPr>
            </w:pPr>
            <w:bookmarkStart w:id="0" w:name="RANGE!A1:H44"/>
            <w:r w:rsidRPr="00BB2B01">
              <w:rPr>
                <w:rFonts w:ascii="黑体" w:eastAsia="黑体" w:hAnsi="黑体" w:cs="宋体" w:hint="eastAsia"/>
                <w:color w:val="auto"/>
                <w:sz w:val="32"/>
                <w:szCs w:val="32"/>
              </w:rPr>
              <w:lastRenderedPageBreak/>
              <w:t>附件3</w:t>
            </w:r>
            <w:bookmarkEnd w:id="0"/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黑体" w:eastAsia="黑体" w:hAnsi="黑体" w:cs="宋体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2B01" w:rsidRPr="00BB2B01" w:rsidTr="00E353E2">
        <w:trPr>
          <w:trHeight w:val="600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sz w:val="40"/>
                <w:szCs w:val="40"/>
              </w:rPr>
            </w:pPr>
            <w:r w:rsidRPr="00BB2B01">
              <w:rPr>
                <w:rFonts w:ascii="方正小标宋_GBK" w:eastAsia="方正小标宋_GBK" w:hAnsi="宋体" w:cs="宋体" w:hint="eastAsia"/>
                <w:color w:val="000000"/>
                <w:sz w:val="40"/>
                <w:szCs w:val="40"/>
              </w:rPr>
              <w:t xml:space="preserve">转移支付（项目）绩效目标自评表 </w:t>
            </w:r>
          </w:p>
        </w:tc>
      </w:tr>
      <w:tr w:rsidR="00BB2B01" w:rsidRPr="00BB2B01" w:rsidTr="00E353E2">
        <w:trPr>
          <w:trHeight w:val="433"/>
        </w:trPr>
        <w:tc>
          <w:tcPr>
            <w:tcW w:w="96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（2020年度）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转移支付（项目）名称</w:t>
            </w:r>
          </w:p>
        </w:tc>
        <w:tc>
          <w:tcPr>
            <w:tcW w:w="7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盐池县促进居民消费</w:t>
            </w:r>
            <w:r w:rsidR="00084D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</w:t>
            </w: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中央主管部门</w:t>
            </w:r>
          </w:p>
        </w:tc>
        <w:tc>
          <w:tcPr>
            <w:tcW w:w="7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地方主管部门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盐池县人民政府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资金使用单位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盐池县发展和改革局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资金情况（万元）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全年预算数（A）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全年执行数（B）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预算执行率（B/A)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年度资金总额：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128.44万元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128.44万元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100%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其中：中央财政资金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128.44万元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128.44万元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100%</w:t>
            </w:r>
          </w:p>
        </w:tc>
      </w:tr>
      <w:tr w:rsidR="00BB2B01" w:rsidRPr="00BB2B01" w:rsidTr="00E353E2">
        <w:trPr>
          <w:trHeight w:val="320"/>
        </w:trPr>
        <w:tc>
          <w:tcPr>
            <w:tcW w:w="2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地方资金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2B01" w:rsidRPr="00BB2B01" w:rsidTr="00E353E2">
        <w:trPr>
          <w:trHeight w:val="240"/>
        </w:trPr>
        <w:tc>
          <w:tcPr>
            <w:tcW w:w="2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</w:t>
            </w: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其他资金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2B01" w:rsidRPr="00BB2B01" w:rsidTr="00E353E2">
        <w:trPr>
          <w:trHeight w:val="3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总体目标完成情况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总体目标</w:t>
            </w:r>
          </w:p>
        </w:tc>
        <w:tc>
          <w:tcPr>
            <w:tcW w:w="4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全年实际完成情况</w:t>
            </w:r>
          </w:p>
        </w:tc>
      </w:tr>
      <w:tr w:rsidR="00BB2B01" w:rsidRPr="00BB2B01" w:rsidTr="00E353E2">
        <w:trPr>
          <w:trHeight w:val="184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根据盐池县委常委会议纪要十四届[2020]14号文件，依托县级电商运营中心，在全县大中型商业综合体、商超实体店、服装及其他百货店等商户采取消费补贴的方式开展促消费活动；为全县城镇低保户、低收入家庭、特困供养人员发放肉类价格消费券，等等。</w:t>
            </w:r>
          </w:p>
        </w:tc>
        <w:tc>
          <w:tcPr>
            <w:tcW w:w="4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根据盐池县委常委会议纪要十四届[2020]14号文件，依托县级电商运营中心，在全县大中型商业综合体、商超实体店、服装及其他百货店等商户采取消费补贴的方式开展促消费活动；为全县城镇低保户、低收入家庭、特困供养人员发放肉类价格消费券，等等。</w:t>
            </w:r>
          </w:p>
        </w:tc>
      </w:tr>
      <w:tr w:rsidR="00E353E2" w:rsidRPr="00BB2B01" w:rsidTr="00E353E2">
        <w:trPr>
          <w:trHeight w:val="52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一级</w:t>
            </w: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指标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全年实际完成值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未完成原因和改进措施</w:t>
            </w:r>
          </w:p>
        </w:tc>
      </w:tr>
      <w:tr w:rsidR="00E353E2" w:rsidRPr="00BB2B01" w:rsidTr="00E353E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产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出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指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标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1.对8家大中型商业综合体、商超开展促进居民消费补助资金。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29万元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全部完成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353E2" w:rsidRPr="00BB2B01" w:rsidTr="00E353E2">
        <w:trPr>
          <w:trHeight w:val="5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2.对174人（户）居民促消费活动优惠券补助资金。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99.44万元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全部完成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1.大中型商业综合体、商超开展促消费补助资金执行率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5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2.居民促消费活动优惠券补助资金执行率。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居民消费补助资金的支付期限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按工作进度支付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全部完成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促进居民消费补助资金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128.44万元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全部支付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……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5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效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益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指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标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经济效益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增强商贸行业发展活力，带动经济增长。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带动经济增长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3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社会效益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促进消费回补和潜力释放，扩大消费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扩大了消费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生态效益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不适用。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5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扩大有效需求，促进消费回补和潜力释放，增强商贸行业发展活力。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增强了商贸行业的发展。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……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满意度指标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服务对象</w:t>
            </w: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br/>
              <w:t>满意度指标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群众对消费措施的满意度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≥98%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3E2" w:rsidRPr="00BB2B01" w:rsidTr="00E353E2">
        <w:trPr>
          <w:trHeight w:val="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……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2B01" w:rsidRPr="00BB2B01" w:rsidTr="00E353E2">
        <w:trPr>
          <w:trHeight w:val="3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说明</w:t>
            </w:r>
          </w:p>
        </w:tc>
        <w:tc>
          <w:tcPr>
            <w:tcW w:w="9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 w:rsidRPr="00BB2B0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无。</w:t>
            </w:r>
          </w:p>
        </w:tc>
      </w:tr>
      <w:tr w:rsidR="00BB2B01" w:rsidRPr="00BB2B01" w:rsidTr="00E353E2">
        <w:trPr>
          <w:trHeight w:val="320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注：1.资金使用单位按项目绩效目标填报，主管部门汇总时按区域绩效目标填报。</w:t>
            </w:r>
          </w:p>
        </w:tc>
      </w:tr>
      <w:tr w:rsidR="00BB2B01" w:rsidRPr="00BB2B01" w:rsidTr="00E353E2">
        <w:trPr>
          <w:trHeight w:val="560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2.其他资金包括与中央财政资金、地方财政资金共同投入到同一项目的自有资金、社会资金，以及以前年度的结转结余资金等。</w:t>
            </w:r>
          </w:p>
        </w:tc>
      </w:tr>
      <w:tr w:rsidR="00BB2B01" w:rsidRPr="00BB2B01" w:rsidTr="00E353E2">
        <w:trPr>
          <w:trHeight w:val="343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3.全年执行数是指按照国库集中支付制度要求，支付到商品和劳务供应者或用款单位形成的实际支出。</w:t>
            </w:r>
          </w:p>
        </w:tc>
      </w:tr>
      <w:tr w:rsidR="00BB2B01" w:rsidRPr="00BB2B01" w:rsidTr="00E353E2">
        <w:trPr>
          <w:trHeight w:val="523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4.定量指标，地方各级主管部门对资金使用单位填写的实际完成值汇总时，绝对值直接累加计算，相对值按照资金额度加权平均计算。</w:t>
            </w:r>
          </w:p>
        </w:tc>
      </w:tr>
      <w:tr w:rsidR="00BB2B01" w:rsidRPr="00BB2B01" w:rsidTr="00E353E2">
        <w:trPr>
          <w:trHeight w:val="523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01" w:rsidRPr="00BB2B01" w:rsidRDefault="00BB2B01" w:rsidP="00BB2B0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2B0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5.定性指标，资金使用单位分别按照100%-80%（含）、80%-60%（含）、60-0%合理填写完成值。地方各级主管部门汇总时，按照资金额度加权平均计算。</w:t>
            </w:r>
          </w:p>
        </w:tc>
      </w:tr>
    </w:tbl>
    <w:p w:rsidR="00AE0683" w:rsidRPr="00BB2B01" w:rsidRDefault="00AE0683" w:rsidP="00AE0683"/>
    <w:p w:rsidR="00AE0683" w:rsidRDefault="00AE0683" w:rsidP="00AE0683">
      <w:pPr>
        <w:pStyle w:val="a0"/>
      </w:pPr>
    </w:p>
    <w:sectPr w:rsidR="00AE0683" w:rsidSect="00022B9E">
      <w:pgSz w:w="11906" w:h="16838"/>
      <w:pgMar w:top="1157" w:right="1474" w:bottom="104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C06" w:rsidRDefault="00347C06" w:rsidP="00BE79AB">
      <w:r>
        <w:separator/>
      </w:r>
    </w:p>
  </w:endnote>
  <w:endnote w:type="continuationSeparator" w:id="1">
    <w:p w:rsidR="00347C06" w:rsidRDefault="00347C06" w:rsidP="00BE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C06" w:rsidRDefault="00347C06" w:rsidP="00BE79AB">
      <w:r>
        <w:separator/>
      </w:r>
    </w:p>
  </w:footnote>
  <w:footnote w:type="continuationSeparator" w:id="1">
    <w:p w:rsidR="00347C06" w:rsidRDefault="00347C06" w:rsidP="00BE7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310B40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22B9E"/>
    <w:rsid w:val="00034431"/>
    <w:rsid w:val="00057DCD"/>
    <w:rsid w:val="00084D26"/>
    <w:rsid w:val="000A2576"/>
    <w:rsid w:val="000E1FE2"/>
    <w:rsid w:val="00110C6D"/>
    <w:rsid w:val="0012510E"/>
    <w:rsid w:val="001421B5"/>
    <w:rsid w:val="00150C14"/>
    <w:rsid w:val="001E7AC1"/>
    <w:rsid w:val="00227B86"/>
    <w:rsid w:val="002747A4"/>
    <w:rsid w:val="00282DBB"/>
    <w:rsid w:val="002B11C3"/>
    <w:rsid w:val="00314386"/>
    <w:rsid w:val="00347C06"/>
    <w:rsid w:val="00357C6D"/>
    <w:rsid w:val="003842CC"/>
    <w:rsid w:val="003A44E2"/>
    <w:rsid w:val="003C243A"/>
    <w:rsid w:val="003C558E"/>
    <w:rsid w:val="003D2C4F"/>
    <w:rsid w:val="003D4D82"/>
    <w:rsid w:val="003F2C68"/>
    <w:rsid w:val="00404C12"/>
    <w:rsid w:val="00405EB0"/>
    <w:rsid w:val="004145B3"/>
    <w:rsid w:val="00434FA3"/>
    <w:rsid w:val="00463009"/>
    <w:rsid w:val="00504D72"/>
    <w:rsid w:val="005E1246"/>
    <w:rsid w:val="00624F92"/>
    <w:rsid w:val="00640B8A"/>
    <w:rsid w:val="00646792"/>
    <w:rsid w:val="00697CCC"/>
    <w:rsid w:val="006A0778"/>
    <w:rsid w:val="006A3852"/>
    <w:rsid w:val="00723245"/>
    <w:rsid w:val="007376E7"/>
    <w:rsid w:val="00770D1F"/>
    <w:rsid w:val="007A36EB"/>
    <w:rsid w:val="007C5371"/>
    <w:rsid w:val="007E40F5"/>
    <w:rsid w:val="00854CAC"/>
    <w:rsid w:val="0088479A"/>
    <w:rsid w:val="008D0888"/>
    <w:rsid w:val="00914B73"/>
    <w:rsid w:val="00976761"/>
    <w:rsid w:val="009B6688"/>
    <w:rsid w:val="00A10B38"/>
    <w:rsid w:val="00A235F9"/>
    <w:rsid w:val="00A34449"/>
    <w:rsid w:val="00A74A71"/>
    <w:rsid w:val="00AA2082"/>
    <w:rsid w:val="00AA39E8"/>
    <w:rsid w:val="00AB16F1"/>
    <w:rsid w:val="00AB7042"/>
    <w:rsid w:val="00AD39C2"/>
    <w:rsid w:val="00AD665B"/>
    <w:rsid w:val="00AE0683"/>
    <w:rsid w:val="00B00C00"/>
    <w:rsid w:val="00B04F40"/>
    <w:rsid w:val="00B07E98"/>
    <w:rsid w:val="00B716EA"/>
    <w:rsid w:val="00BB25D9"/>
    <w:rsid w:val="00BB2B01"/>
    <w:rsid w:val="00BE79AB"/>
    <w:rsid w:val="00BF697A"/>
    <w:rsid w:val="00C26DDF"/>
    <w:rsid w:val="00C27608"/>
    <w:rsid w:val="00C47018"/>
    <w:rsid w:val="00C51733"/>
    <w:rsid w:val="00CB521F"/>
    <w:rsid w:val="00CD6956"/>
    <w:rsid w:val="00D12594"/>
    <w:rsid w:val="00D20372"/>
    <w:rsid w:val="00D33BB5"/>
    <w:rsid w:val="00D63952"/>
    <w:rsid w:val="00DB4D11"/>
    <w:rsid w:val="00DD7F2D"/>
    <w:rsid w:val="00E07E0A"/>
    <w:rsid w:val="00E2694C"/>
    <w:rsid w:val="00E34A97"/>
    <w:rsid w:val="00E353E2"/>
    <w:rsid w:val="00EA6DD2"/>
    <w:rsid w:val="00F6175B"/>
    <w:rsid w:val="00F97AFB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54CAC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854CA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854CAC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854CAC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854CAC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854CAC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BE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BE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110C6D"/>
    <w:pPr>
      <w:ind w:leftChars="2500" w:left="100"/>
    </w:pPr>
  </w:style>
  <w:style w:type="character" w:customStyle="1" w:styleId="Char1">
    <w:name w:val="日期 Char"/>
    <w:basedOn w:val="a1"/>
    <w:link w:val="a7"/>
    <w:rsid w:val="00110C6D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A4AF9C-93A2-49DE-BC84-CF6F316A2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56</cp:revision>
  <dcterms:created xsi:type="dcterms:W3CDTF">2020-05-28T09:48:00Z</dcterms:created>
  <dcterms:modified xsi:type="dcterms:W3CDTF">2021-03-09T04:27:00Z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