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CE" w:rsidRDefault="00DA5CCE" w:rsidP="00DA5CCE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DA5CCE" w:rsidRDefault="00DA5CCE" w:rsidP="00DA5CCE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DA5CCE" w:rsidRDefault="00C83780" w:rsidP="00DA5CC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C83780"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DA5CCE" w:rsidRDefault="00DA5CCE" w:rsidP="00DA5CCE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B6446B" w:rsidRDefault="00EB6F9F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1E1F9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局关于盐池</w:t>
      </w:r>
      <w:r w:rsidR="0061236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县</w:t>
      </w:r>
      <w:r w:rsidR="00D63C3B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储备成品粮油轮换管护费</w:t>
      </w:r>
      <w:r w:rsidR="001E1F9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AF47E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年度绩效自评报告</w:t>
      </w:r>
    </w:p>
    <w:p w:rsidR="00B6446B" w:rsidRDefault="00B6446B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B6446B" w:rsidRDefault="00EB6F9F" w:rsidP="00DA5CCE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B6446B" w:rsidRDefault="00EB6F9F" w:rsidP="00DA5CCE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根据《盐池县财政局关于开展20</w:t>
      </w:r>
      <w:r w:rsidR="00AF47E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年部门项目支出绩效自评的通知》（盐财发〔202</w:t>
      </w:r>
      <w:r w:rsidR="00AF47E3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〕</w:t>
      </w:r>
      <w:r w:rsidR="00AF47E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号）文件要求，对照绩效自评内容和方法，我局开展了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D63C3B">
        <w:rPr>
          <w:rFonts w:ascii="仿宋_GB2312" w:eastAsia="仿宋_GB2312" w:hAnsi="Calibri" w:cs="宋体" w:hint="eastAsia"/>
          <w:b w:val="0"/>
          <w:bCs w:val="0"/>
          <w:kern w:val="2"/>
        </w:rPr>
        <w:t>储备成品粮油轮换管护费</w:t>
      </w:r>
      <w:r w:rsidR="001E1F93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资金绩效自评工作。现报告如下：</w:t>
      </w:r>
    </w:p>
    <w:p w:rsidR="00B6446B" w:rsidRDefault="00EB6F9F" w:rsidP="00DA5CCE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B6446B" w:rsidRDefault="00EB6F9F" w:rsidP="00DA5CCE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F47E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盐池县储备成品粮油轮换管护费</w:t>
      </w:r>
      <w:r w:rsidR="00943815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共一批，金额为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2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EB6F9F" w:rsidP="00DA5CCE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B6446B" w:rsidRDefault="00EB6F9F" w:rsidP="00DA5CCE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B6446B" w:rsidRDefault="00EB6F9F" w:rsidP="00DA5CCE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</w:t>
      </w:r>
      <w:r w:rsidR="001E1F9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预</w:t>
      </w:r>
      <w:r w:rsidR="001E1F9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）指标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(20</w:t>
      </w:r>
      <w:r w:rsidR="00AF47E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1E1F9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）1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号文件，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943815">
        <w:rPr>
          <w:rFonts w:ascii="仿宋_GB2312" w:eastAsia="仿宋_GB2312" w:hAnsi="Calibri" w:cs="宋体" w:hint="eastAsia"/>
          <w:kern w:val="2"/>
          <w:sz w:val="32"/>
          <w:szCs w:val="32"/>
        </w:rPr>
        <w:t>2</w:t>
      </w:r>
      <w:r w:rsidR="0061236F">
        <w:rPr>
          <w:rFonts w:ascii="仿宋_GB2312" w:eastAsia="仿宋_GB2312" w:hAnsi="Calibri" w:cs="宋体" w:hint="eastAsia"/>
          <w:kern w:val="2"/>
          <w:sz w:val="32"/>
          <w:szCs w:val="32"/>
        </w:rPr>
        <w:t>0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B6446B" w:rsidRDefault="00EB6F9F" w:rsidP="00DA5CCE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盐池县储备成品粮油轮换管护费</w:t>
      </w:r>
      <w:r w:rsidR="00943815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资金20</w:t>
      </w:r>
      <w:r w:rsidR="006F2BEB">
        <w:rPr>
          <w:rFonts w:ascii="仿宋_GB2312" w:eastAsia="仿宋_GB2312" w:hAnsi="Calibri" w:cs="宋体" w:hint="eastAsia"/>
          <w:b w:val="0"/>
          <w:bCs w:val="0"/>
          <w:kern w:val="2"/>
        </w:rPr>
        <w:t>万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元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，支付资金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EB6F9F" w:rsidP="00DA5CCE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法进行账务处理，使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盐池县储备成品粮油轮换管护费</w:t>
      </w:r>
      <w:r w:rsidR="00943815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B6446B" w:rsidRDefault="00EB6F9F" w:rsidP="00DA5CCE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总体绩效目标完成情况分析</w:t>
      </w:r>
    </w:p>
    <w:p w:rsidR="00FB7448" w:rsidRDefault="00AF47E3" w:rsidP="00DA5CCE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 w:rsidRPr="00AF47E3">
        <w:rPr>
          <w:rFonts w:ascii="仿宋_GB2312" w:eastAsia="仿宋_GB2312" w:hAnsi="Calibri" w:cs="宋体" w:hint="eastAsia"/>
          <w:kern w:val="2"/>
          <w:sz w:val="32"/>
          <w:szCs w:val="32"/>
        </w:rPr>
        <w:t>为扎实推进依法管粮维护粮油流通的正常秩序，保持粮油市场的平稳运行，强化仓储管理、定期对应急成品粮进行轮换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，</w:t>
      </w:r>
      <w:r w:rsidRPr="00AF47E3">
        <w:rPr>
          <w:rFonts w:ascii="仿宋_GB2312" w:eastAsia="仿宋_GB2312" w:hAnsi="Calibri" w:cs="宋体" w:hint="eastAsia"/>
          <w:kern w:val="2"/>
          <w:sz w:val="32"/>
          <w:szCs w:val="32"/>
        </w:rPr>
        <w:t>对粮食仓储企业的储存、安全、卫生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进行</w:t>
      </w:r>
      <w:r w:rsidRPr="00AF47E3">
        <w:rPr>
          <w:rFonts w:ascii="仿宋_GB2312" w:eastAsia="仿宋_GB2312" w:hAnsi="Calibri" w:cs="宋体" w:hint="eastAsia"/>
          <w:kern w:val="2"/>
          <w:sz w:val="32"/>
          <w:szCs w:val="32"/>
        </w:rPr>
        <w:t>监督检查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,</w:t>
      </w:r>
      <w:r w:rsidRPr="00FB7448">
        <w:rPr>
          <w:rFonts w:ascii="仿宋_GB2312" w:eastAsia="仿宋_GB2312" w:hAnsi="Calibri" w:cs="宋体" w:hint="eastAsia"/>
          <w:kern w:val="2"/>
          <w:sz w:val="32"/>
          <w:szCs w:val="32"/>
        </w:rPr>
        <w:t>让广大人民群众吃上放心粮油。</w:t>
      </w:r>
    </w:p>
    <w:p w:rsidR="002E468D" w:rsidRDefault="00EB6F9F" w:rsidP="00DA5CCE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F911BA" w:rsidRPr="002E468D" w:rsidRDefault="00EB6F9F" w:rsidP="00DA5CCE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 w:rsidRPr="002E468D">
        <w:rPr>
          <w:rFonts w:ascii="仿宋_GB2312" w:eastAsia="仿宋_GB2312" w:hAnsi="Calibri" w:cs="宋体" w:hint="eastAsia"/>
          <w:kern w:val="2"/>
          <w:sz w:val="32"/>
          <w:szCs w:val="32"/>
        </w:rPr>
        <w:t>（1）数量指标。</w:t>
      </w:r>
      <w:r w:rsidR="00AF47E3" w:rsidRPr="00AF47E3">
        <w:rPr>
          <w:rFonts w:ascii="仿宋_GB2312" w:eastAsia="仿宋_GB2312" w:hAnsi="Calibri" w:cs="宋体" w:hint="eastAsia"/>
          <w:kern w:val="2"/>
          <w:sz w:val="32"/>
          <w:szCs w:val="32"/>
        </w:rPr>
        <w:t>强化仓储管理，动态对应急成品粮油进行轮换</w:t>
      </w:r>
      <w:r w:rsidR="00FB7448" w:rsidRPr="002E468D">
        <w:rPr>
          <w:rFonts w:ascii="仿宋_GB2312" w:eastAsia="仿宋_GB2312" w:hAnsi="Calibri" w:cs="宋体" w:hint="eastAsia"/>
          <w:kern w:val="2"/>
          <w:sz w:val="32"/>
          <w:szCs w:val="32"/>
        </w:rPr>
        <w:t>（</w:t>
      </w:r>
      <w:r w:rsidR="00AF47E3">
        <w:rPr>
          <w:rFonts w:ascii="仿宋_GB2312" w:eastAsia="仿宋_GB2312" w:hAnsi="Calibri" w:cs="宋体" w:hint="eastAsia"/>
          <w:kern w:val="2"/>
          <w:sz w:val="32"/>
          <w:szCs w:val="32"/>
        </w:rPr>
        <w:t>8</w:t>
      </w:r>
      <w:r w:rsidR="00FB7448" w:rsidRPr="002E468D">
        <w:rPr>
          <w:rFonts w:ascii="仿宋_GB2312" w:eastAsia="仿宋_GB2312" w:hAnsi="Calibri" w:cs="宋体" w:hint="eastAsia"/>
          <w:kern w:val="2"/>
          <w:sz w:val="32"/>
          <w:szCs w:val="32"/>
        </w:rPr>
        <w:t>次/年）</w:t>
      </w:r>
      <w:r w:rsidR="00F911BA" w:rsidRPr="002E468D"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6B7E72" w:rsidRPr="006B7E72" w:rsidRDefault="00EB6F9F" w:rsidP="00DA5CCE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（2）质量指标。</w:t>
      </w:r>
      <w:r w:rsidR="009172FF" w:rsidRPr="009172FF">
        <w:rPr>
          <w:rFonts w:ascii="仿宋_GB2312" w:eastAsia="仿宋_GB2312" w:hAnsi="Calibri" w:cs="宋体" w:hint="eastAsia"/>
          <w:b w:val="0"/>
          <w:bCs w:val="0"/>
          <w:kern w:val="2"/>
        </w:rPr>
        <w:t>轮换完成率</w:t>
      </w:r>
      <w:r w:rsidR="009172FF">
        <w:rPr>
          <w:rFonts w:ascii="仿宋_GB2312" w:eastAsia="仿宋_GB2312" w:hAnsi="Calibri" w:cs="宋体" w:hint="eastAsia"/>
          <w:b w:val="0"/>
          <w:bCs w:val="0"/>
          <w:kern w:val="2"/>
        </w:rPr>
        <w:t>达到95%</w:t>
      </w:r>
      <w:r w:rsidR="00E42FAF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750238" w:rsidRDefault="00273D3F" w:rsidP="00DA5CCE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（3）</w:t>
      </w:r>
      <w:r w:rsidR="00EB6F9F">
        <w:rPr>
          <w:rFonts w:ascii="仿宋_GB2312" w:eastAsia="仿宋_GB2312" w:hAnsi="Calibri" w:cs="宋体" w:hint="eastAsia"/>
          <w:b w:val="0"/>
          <w:bCs w:val="0"/>
          <w:kern w:val="2"/>
        </w:rPr>
        <w:t>时效指标。</w:t>
      </w:r>
      <w:r w:rsidR="009172FF" w:rsidRPr="009172FF">
        <w:rPr>
          <w:rFonts w:ascii="仿宋_GB2312" w:eastAsia="仿宋_GB2312" w:hAnsi="Calibri" w:cs="宋体" w:hint="eastAsia"/>
          <w:b w:val="0"/>
          <w:bCs w:val="0"/>
          <w:kern w:val="2"/>
        </w:rPr>
        <w:t>项目完成时间</w:t>
      </w:r>
      <w:r w:rsidR="009172FF">
        <w:rPr>
          <w:rFonts w:ascii="仿宋_GB2312" w:eastAsia="仿宋_GB2312" w:hAnsi="Calibri" w:cs="宋体" w:hint="eastAsia"/>
          <w:b w:val="0"/>
          <w:bCs w:val="0"/>
          <w:kern w:val="2"/>
        </w:rPr>
        <w:t>至2020年12月</w:t>
      </w:r>
      <w:r w:rsidR="00750238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9161B8" w:rsidRPr="009161B8" w:rsidRDefault="00750238" w:rsidP="00DA5CCE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750238">
        <w:rPr>
          <w:rFonts w:ascii="仿宋_GB2312" w:eastAsia="仿宋_GB2312" w:hAnsi="Calibri" w:cs="宋体" w:hint="eastAsia"/>
          <w:b w:val="0"/>
          <w:bCs w:val="0"/>
          <w:kern w:val="2"/>
        </w:rPr>
        <w:t>（4）</w:t>
      </w:r>
      <w:r w:rsidR="00EB6F9F" w:rsidRPr="00750238">
        <w:rPr>
          <w:rFonts w:ascii="仿宋_GB2312" w:eastAsia="仿宋_GB2312" w:hAnsi="Calibri" w:cs="宋体" w:hint="eastAsia"/>
          <w:b w:val="0"/>
          <w:bCs w:val="0"/>
          <w:kern w:val="2"/>
        </w:rPr>
        <w:t>成本指标。</w:t>
      </w:r>
      <w:r w:rsidR="009161B8" w:rsidRPr="009161B8">
        <w:rPr>
          <w:rFonts w:ascii="仿宋_GB2312" w:eastAsia="仿宋_GB2312" w:hAnsi="Calibri" w:cs="宋体" w:hint="eastAsia"/>
          <w:b w:val="0"/>
          <w:bCs w:val="0"/>
          <w:kern w:val="2"/>
        </w:rPr>
        <w:t>储备成品粮油轮换管护费项目资金</w:t>
      </w:r>
      <w:r w:rsidR="009161B8">
        <w:rPr>
          <w:rFonts w:ascii="仿宋_GB2312" w:eastAsia="仿宋_GB2312" w:hAnsi="Calibri" w:cs="宋体" w:hint="eastAsia"/>
          <w:b w:val="0"/>
          <w:bCs w:val="0"/>
          <w:kern w:val="2"/>
        </w:rPr>
        <w:t>20万元。</w:t>
      </w:r>
    </w:p>
    <w:p w:rsidR="00B6446B" w:rsidRDefault="009161B8" w:rsidP="00DA5CCE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2、</w:t>
      </w:r>
      <w:r w:rsidR="00EB6F9F"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9172FF" w:rsidRDefault="00EB6F9F" w:rsidP="00DA5CCE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9172FF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="009172FF" w:rsidRPr="009172FF">
        <w:rPr>
          <w:rFonts w:ascii="仿宋_GB2312" w:eastAsia="仿宋_GB2312" w:hAnsi="Calibri" w:cs="宋体" w:hint="eastAsia"/>
          <w:b w:val="0"/>
          <w:bCs w:val="0"/>
          <w:kern w:val="2"/>
        </w:rPr>
        <w:t>扎实推进依法管粮，维护粮食流通正常秩序，提高全民的粮食危机和粮食安全意识。</w:t>
      </w:r>
    </w:p>
    <w:p w:rsidR="009172FF" w:rsidRDefault="00EB6F9F" w:rsidP="00DA5CCE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9172FF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="009172FF" w:rsidRPr="009172FF">
        <w:rPr>
          <w:rFonts w:ascii="仿宋_GB2312" w:eastAsia="仿宋_GB2312" w:hAnsi="Calibri" w:cs="宋体" w:hint="eastAsia"/>
          <w:b w:val="0"/>
          <w:bCs w:val="0"/>
          <w:kern w:val="2"/>
        </w:rPr>
        <w:t>国家政策</w:t>
      </w:r>
      <w:r w:rsidR="009172FF">
        <w:rPr>
          <w:rFonts w:ascii="仿宋_GB2312" w:eastAsia="仿宋_GB2312" w:hAnsi="Calibri" w:cs="宋体" w:hint="eastAsia"/>
          <w:b w:val="0"/>
          <w:bCs w:val="0"/>
          <w:kern w:val="2"/>
        </w:rPr>
        <w:t>长期</w:t>
      </w:r>
      <w:r w:rsidR="009172FF" w:rsidRPr="009172FF">
        <w:rPr>
          <w:rFonts w:ascii="仿宋_GB2312" w:eastAsia="仿宋_GB2312" w:hAnsi="Calibri" w:cs="宋体" w:hint="eastAsia"/>
          <w:b w:val="0"/>
          <w:bCs w:val="0"/>
          <w:kern w:val="2"/>
        </w:rPr>
        <w:t>保障</w:t>
      </w:r>
      <w:r w:rsidR="00E42FAF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B6446B" w:rsidRPr="009172FF" w:rsidRDefault="00EB6F9F" w:rsidP="009172FF">
      <w:pPr>
        <w:pStyle w:val="a0"/>
        <w:spacing w:before="0" w:after="0" w:line="600" w:lineRule="exact"/>
        <w:ind w:left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9172FF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B6446B" w:rsidRDefault="009172FF" w:rsidP="009172FF">
      <w:pPr>
        <w:spacing w:line="600" w:lineRule="exact"/>
        <w:ind w:firstLineChars="200" w:firstLine="640"/>
      </w:pPr>
      <w:r w:rsidRPr="009172FF">
        <w:rPr>
          <w:rFonts w:ascii="仿宋_GB2312" w:eastAsia="仿宋_GB2312" w:hAnsi="Calibri" w:cs="宋体" w:hint="eastAsia"/>
          <w:kern w:val="2"/>
          <w:sz w:val="32"/>
          <w:szCs w:val="32"/>
        </w:rPr>
        <w:t>对服务企业满意度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达到98%。</w:t>
      </w:r>
    </w:p>
    <w:p w:rsidR="00B6446B" w:rsidRDefault="00EB6F9F" w:rsidP="00DA5CCE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9161B8" w:rsidRDefault="009161B8" w:rsidP="00DA5CCE">
      <w:pPr>
        <w:spacing w:line="600" w:lineRule="exact"/>
        <w:ind w:firstLineChars="200" w:firstLine="422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b/>
          <w:bCs/>
          <w:kern w:val="2"/>
        </w:rPr>
        <w:t xml:space="preserve">  </w:t>
      </w:r>
      <w:r w:rsidR="00EB6F9F" w:rsidRPr="009161B8"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通过此次绩效自评，我们在下一步工作中，</w:t>
      </w:r>
      <w:r w:rsidRPr="00FB7448">
        <w:rPr>
          <w:rFonts w:ascii="仿宋_GB2312" w:eastAsia="仿宋_GB2312" w:hAnsi="Calibri" w:cs="宋体" w:hint="eastAsia"/>
          <w:kern w:val="2"/>
          <w:sz w:val="32"/>
          <w:szCs w:val="32"/>
        </w:rPr>
        <w:t>加快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促进</w:t>
      </w:r>
      <w:r w:rsidRPr="00FB7448">
        <w:rPr>
          <w:rFonts w:ascii="仿宋_GB2312" w:eastAsia="仿宋_GB2312" w:hAnsi="Calibri" w:cs="宋体" w:hint="eastAsia"/>
          <w:kern w:val="2"/>
          <w:sz w:val="32"/>
          <w:szCs w:val="32"/>
        </w:rPr>
        <w:t>粮食流通产业经济发展，让广大人民群众吃上放心粮油，生活安居。</w:t>
      </w:r>
    </w:p>
    <w:p w:rsidR="00B6446B" w:rsidRPr="009161B8" w:rsidRDefault="009161B8" w:rsidP="00DA5CCE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kern w:val="2"/>
        </w:rPr>
        <w:t xml:space="preserve">    </w:t>
      </w:r>
      <w:r w:rsidR="00EB6F9F" w:rsidRPr="009161B8">
        <w:rPr>
          <w:rFonts w:ascii="仿宋_GB2312" w:eastAsia="仿宋_GB2312" w:hAnsi="Calibri" w:cs="宋体" w:hint="eastAsia"/>
          <w:b w:val="0"/>
          <w:bCs w:val="0"/>
          <w:kern w:val="2"/>
        </w:rPr>
        <w:t>附件：部门项目支出绩效自评表</w:t>
      </w:r>
    </w:p>
    <w:p w:rsidR="00B6446B" w:rsidRDefault="00B6446B">
      <w:pPr>
        <w:pStyle w:val="a0"/>
        <w:rPr>
          <w:rFonts w:ascii="仿宋_GB2312" w:eastAsia="仿宋_GB2312" w:hAnsi="Calibri" w:cs="宋体"/>
          <w:b w:val="0"/>
          <w:bCs w:val="0"/>
          <w:kern w:val="2"/>
        </w:rPr>
      </w:pPr>
    </w:p>
    <w:p w:rsidR="009B052C" w:rsidRPr="009B052C" w:rsidRDefault="009B052C" w:rsidP="009B052C"/>
    <w:p w:rsidR="009B052C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B6446B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</w:rPr>
        <w:t xml:space="preserve">                 </w:t>
      </w:r>
      <w:r w:rsidR="009B052C">
        <w:rPr>
          <w:rFonts w:ascii="仿宋_GB2312" w:eastAsia="仿宋_GB2312" w:hAnsi="Calibri" w:cs="宋体" w:hint="eastAsia"/>
          <w:kern w:val="2"/>
        </w:rPr>
        <w:t xml:space="preserve">                      </w:t>
      </w:r>
      <w:r w:rsidR="009B6E8F">
        <w:rPr>
          <w:rFonts w:ascii="仿宋_GB2312" w:eastAsia="仿宋_GB2312" w:hAnsi="Calibri" w:cs="宋体" w:hint="eastAsia"/>
          <w:kern w:val="2"/>
        </w:rPr>
        <w:t xml:space="preserve">   </w:t>
      </w:r>
      <w:r w:rsidR="009B052C">
        <w:rPr>
          <w:rFonts w:ascii="仿宋_GB2312" w:eastAsia="仿宋_GB2312" w:hAnsi="Calibri" w:cs="宋体" w:hint="eastAsia"/>
          <w:kern w:val="2"/>
        </w:rPr>
        <w:t xml:space="preserve"> </w:t>
      </w:r>
      <w:r w:rsidR="00EB6F9F">
        <w:rPr>
          <w:rFonts w:ascii="仿宋_GB2312" w:eastAsia="仿宋_GB2312" w:hAnsi="Calibri" w:cs="宋体" w:hint="eastAsia"/>
          <w:kern w:val="2"/>
        </w:rPr>
        <w:t xml:space="preserve"> 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202年</w:t>
      </w:r>
      <w:r w:rsidR="009B6E8F">
        <w:rPr>
          <w:rFonts w:ascii="仿宋_GB2312" w:eastAsia="仿宋_GB2312" w:hAnsi="Calibri" w:cs="宋体" w:hint="eastAsia"/>
          <w:kern w:val="2"/>
          <w:sz w:val="32"/>
          <w:szCs w:val="32"/>
        </w:rPr>
        <w:t>3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月</w:t>
      </w:r>
      <w:r w:rsidR="009B6E8F">
        <w:rPr>
          <w:rFonts w:ascii="仿宋_GB2312" w:eastAsia="仿宋_GB2312" w:hAnsi="Calibri" w:cs="宋体" w:hint="eastAsia"/>
          <w:kern w:val="2"/>
          <w:sz w:val="32"/>
          <w:szCs w:val="32"/>
        </w:rPr>
        <w:t>6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日</w:t>
      </w:r>
    </w:p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982358" w:rsidRDefault="00982358" w:rsidP="00982358"/>
    <w:p w:rsidR="00982358" w:rsidRDefault="00982358" w:rsidP="00982358">
      <w:pPr>
        <w:pStyle w:val="a0"/>
      </w:pPr>
    </w:p>
    <w:p w:rsidR="00982358" w:rsidRDefault="00982358" w:rsidP="00982358"/>
    <w:p w:rsidR="00982358" w:rsidRDefault="00982358" w:rsidP="00982358">
      <w:pPr>
        <w:pStyle w:val="a0"/>
      </w:pPr>
    </w:p>
    <w:p w:rsidR="00982358" w:rsidRDefault="00982358" w:rsidP="00982358"/>
    <w:p w:rsidR="00982358" w:rsidRPr="00982358" w:rsidRDefault="00982358" w:rsidP="00982358">
      <w:pPr>
        <w:pStyle w:val="a0"/>
      </w:pPr>
    </w:p>
    <w:p w:rsidR="00DA5CCE" w:rsidRDefault="00DA5CCE" w:rsidP="00DA5CCE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708"/>
        <w:gridCol w:w="285"/>
        <w:gridCol w:w="1983"/>
        <w:gridCol w:w="426"/>
        <w:gridCol w:w="425"/>
      </w:tblGrid>
      <w:tr w:rsidR="00B6446B" w:rsidTr="00220AF9">
        <w:trPr>
          <w:trHeight w:val="462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82358" w:rsidRDefault="0098235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40"/>
                <w:szCs w:val="40"/>
              </w:rPr>
            </w:pPr>
          </w:p>
          <w:p w:rsidR="00B6446B" w:rsidRDefault="00EB6F9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lastRenderedPageBreak/>
              <w:t>部门项目支出绩效自评表</w:t>
            </w:r>
          </w:p>
        </w:tc>
      </w:tr>
      <w:tr w:rsidR="00B6446B" w:rsidTr="00220AF9">
        <w:trPr>
          <w:trHeight w:val="300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 w:rsidP="00307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（ 20</w:t>
            </w:r>
            <w:r w:rsidR="00307907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B6446B" w:rsidTr="00220AF9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74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63C3B" w:rsidP="00BD1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63C3B">
              <w:rPr>
                <w:rFonts w:ascii="宋体" w:eastAsia="宋体" w:hAnsi="宋体" w:cs="宋体" w:hint="eastAsia"/>
                <w:sz w:val="16"/>
                <w:szCs w:val="16"/>
              </w:rPr>
              <w:t>储备成品粮、油轮换管护项目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6133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323D" w:rsidP="00F8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</w:t>
            </w:r>
            <w:r w:rsidR="00F87358">
              <w:rPr>
                <w:rFonts w:ascii="宋体" w:eastAsia="宋体" w:hAnsi="宋体" w:cs="宋体" w:hint="eastAsia"/>
                <w:sz w:val="16"/>
                <w:szCs w:val="16"/>
              </w:rPr>
              <w:t>粮油储备营销有限公司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6446B" w:rsidTr="00E42FAF">
        <w:trPr>
          <w:trHeight w:val="13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E42FAF" w:rsidRDefault="00E42FAF" w:rsidP="00E42FAF">
            <w:pPr>
              <w:spacing w:line="300" w:lineRule="exact"/>
              <w:ind w:firstLineChars="200" w:firstLine="32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E42FAF">
              <w:rPr>
                <w:rFonts w:ascii="宋体" w:eastAsia="宋体" w:hAnsi="宋体" w:cs="宋体" w:hint="eastAsia"/>
                <w:sz w:val="16"/>
                <w:szCs w:val="16"/>
              </w:rPr>
              <w:t>为扎实推进依法管粮维护粮油流通的正常秩序，保持粮油市场的平稳运行，强化仓储管理、定期对应急成品粮进行轮换，对粮食仓储企业的储存、安全、卫生进行监督检查,让广大人民群众吃上放心粮油。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D1ED4" w:rsidP="00E42FA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E42FAF" w:rsidRPr="00E42FAF">
              <w:rPr>
                <w:rFonts w:ascii="宋体" w:eastAsia="宋体" w:hAnsi="宋体" w:cs="宋体" w:hint="eastAsia"/>
                <w:sz w:val="16"/>
                <w:szCs w:val="16"/>
              </w:rPr>
              <w:t>为扎实推进依法管粮维护粮油流通的正常秩序，保持粮油市场的平稳运行，强化仓储管理、定期对应急成品粮进行轮换，对粮食仓储企业的储存、安全、卫生进行监督检查,让广大人民群众吃上放心粮油。</w:t>
            </w:r>
          </w:p>
        </w:tc>
      </w:tr>
      <w:tr w:rsidR="00BE3D14" w:rsidTr="00E42FAF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BE3D14" w:rsidTr="00E42FAF">
        <w:trPr>
          <w:trHeight w:val="6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E42FAF" w:rsidP="00E42FAF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E42FA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强化仓储管理，动态对应急成品粮油进行轮换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B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2FAF" w:rsidRDefault="00E42FAF" w:rsidP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8</w:t>
            </w:r>
            <w:r w:rsidR="00D63C3B" w:rsidRPr="00D63C3B">
              <w:rPr>
                <w:rFonts w:ascii="宋体" w:eastAsia="宋体" w:hAnsi="宋体" w:cs="宋体" w:hint="eastAsia"/>
                <w:sz w:val="16"/>
                <w:szCs w:val="16"/>
              </w:rPr>
              <w:t>次/年</w:t>
            </w:r>
          </w:p>
          <w:p w:rsidR="00B6446B" w:rsidRDefault="00B6446B" w:rsidP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B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6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E42FAF" w:rsidP="00E42FAF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E42FA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轮换完成率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3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BE3D14" w:rsidP="00E42FA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="00E42FAF"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="00E42FAF" w:rsidRPr="00E42FAF">
              <w:rPr>
                <w:rFonts w:ascii="宋体" w:eastAsia="宋体" w:hAnsi="宋体" w:cs="宋体" w:hint="eastAsia"/>
                <w:sz w:val="16"/>
                <w:szCs w:val="16"/>
              </w:rPr>
              <w:t>项目完成时间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 w:rsidP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 w:rsidR="00E42FAF">
              <w:rPr>
                <w:rFonts w:ascii="宋体" w:eastAsia="宋体" w:hAnsi="宋体" w:cs="宋体" w:hint="eastAsia"/>
                <w:sz w:val="16"/>
                <w:szCs w:val="16"/>
              </w:rPr>
              <w:t>20年12月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2E46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5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9161B8" w:rsidP="009161B8">
            <w:pPr>
              <w:pStyle w:val="a0"/>
              <w:spacing w:before="0" w:after="0" w:line="300" w:lineRule="exact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  </w:t>
            </w:r>
            <w:r w:rsidR="00A465F9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储备成品粮油轮换管护费</w:t>
            </w:r>
            <w:r w:rsidR="00BE3D14" w:rsidRPr="00BE3D14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20万元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全部支付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F44FF9" w:rsidTr="00E42FAF">
        <w:trPr>
          <w:trHeight w:val="1537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0E2" w:rsidRPr="00AD30E2" w:rsidRDefault="00EE10BB" w:rsidP="00E42FAF">
            <w:pPr>
              <w:pStyle w:val="a0"/>
              <w:spacing w:before="0" w:after="0" w:line="300" w:lineRule="exact"/>
              <w:jc w:val="both"/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 </w:t>
            </w:r>
            <w:r w:rsidR="00A465F9" w:rsidRPr="00A465F9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扎实推进依法管粮，维护粮食流通正常秩序，提高全民的粮食危机和粮食安全意识</w:t>
            </w:r>
            <w:r w:rsidR="00A465F9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F44FF9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622728" w:rsidP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622728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5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AD30E2" w:rsidRDefault="00A465F9" w:rsidP="004124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="00E42FAF" w:rsidRPr="00E42FAF">
              <w:rPr>
                <w:rFonts w:ascii="宋体" w:eastAsia="宋体" w:hAnsi="宋体" w:cs="宋体" w:hint="eastAsia"/>
                <w:sz w:val="16"/>
                <w:szCs w:val="16"/>
              </w:rPr>
              <w:t>储备成品粮油轮换管护费项目资金</w:t>
            </w:r>
            <w:r w:rsidR="00E42FAF">
              <w:rPr>
                <w:rFonts w:ascii="宋体" w:eastAsia="宋体" w:hAnsi="宋体" w:cs="宋体" w:hint="eastAsia"/>
                <w:sz w:val="16"/>
                <w:szCs w:val="16"/>
              </w:rPr>
              <w:t>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7D4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 w:rsidP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E10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102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1D034A" w:rsidP="00A46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 w:val="16"/>
                <w:szCs w:val="16"/>
              </w:rPr>
              <w:t xml:space="preserve">   </w:t>
            </w:r>
            <w:r w:rsidR="00E42FAF" w:rsidRPr="00E42FAF">
              <w:rPr>
                <w:rFonts w:ascii="宋体" w:eastAsia="宋体" w:hAnsi="宋体" w:cs="宋体" w:hint="eastAsia"/>
                <w:sz w:val="16"/>
                <w:szCs w:val="16"/>
              </w:rPr>
              <w:t>对服务企业满意度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1D0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6446B" w:rsidTr="00220AF9">
        <w:trPr>
          <w:trHeight w:val="420"/>
        </w:trPr>
        <w:tc>
          <w:tcPr>
            <w:tcW w:w="8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99</w:t>
            </w:r>
          </w:p>
        </w:tc>
      </w:tr>
      <w:tr w:rsidR="00B6446B" w:rsidTr="00220AF9">
        <w:trPr>
          <w:trHeight w:val="1680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注：1.得分一档最高不能超过该指标分值上限。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3.定量指标若为正向指标（即指标值为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≥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该指标分值；若定量指标为反向指标（即指标值为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≤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4.请在“未完成原因分析”一栏中简要说明偏离目标、不能完成目标的原因及今后改进的措施。</w:t>
            </w:r>
          </w:p>
        </w:tc>
      </w:tr>
    </w:tbl>
    <w:p w:rsidR="00B6446B" w:rsidRDefault="00B6446B">
      <w:pPr>
        <w:pStyle w:val="a0"/>
      </w:pPr>
    </w:p>
    <w:sectPr w:rsidR="00B6446B" w:rsidSect="009B052C">
      <w:pgSz w:w="11906" w:h="16838"/>
      <w:pgMar w:top="1157" w:right="1531" w:bottom="104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FD" w:rsidRDefault="008D23FD" w:rsidP="001E1F93">
      <w:r>
        <w:separator/>
      </w:r>
    </w:p>
  </w:endnote>
  <w:endnote w:type="continuationSeparator" w:id="1">
    <w:p w:rsidR="008D23FD" w:rsidRDefault="008D23FD" w:rsidP="001E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FD" w:rsidRDefault="008D23FD" w:rsidP="001E1F93">
      <w:r>
        <w:separator/>
      </w:r>
    </w:p>
  </w:footnote>
  <w:footnote w:type="continuationSeparator" w:id="1">
    <w:p w:rsidR="008D23FD" w:rsidRDefault="008D23FD" w:rsidP="001E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96C22F3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3ACD7B8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7">
    <w:nsid w:val="6DBC07A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8">
    <w:nsid w:val="7A124777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9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0080F"/>
    <w:rsid w:val="001733CD"/>
    <w:rsid w:val="001D034A"/>
    <w:rsid w:val="001E1F93"/>
    <w:rsid w:val="001E6C3F"/>
    <w:rsid w:val="00220AF9"/>
    <w:rsid w:val="00253ED3"/>
    <w:rsid w:val="00273D3F"/>
    <w:rsid w:val="00296D3A"/>
    <w:rsid w:val="002B4098"/>
    <w:rsid w:val="002D326D"/>
    <w:rsid w:val="002E169A"/>
    <w:rsid w:val="002E468D"/>
    <w:rsid w:val="00307907"/>
    <w:rsid w:val="004124D2"/>
    <w:rsid w:val="00494AD9"/>
    <w:rsid w:val="004A6DA0"/>
    <w:rsid w:val="004B59EF"/>
    <w:rsid w:val="005E669C"/>
    <w:rsid w:val="0061236F"/>
    <w:rsid w:val="00613F74"/>
    <w:rsid w:val="00622728"/>
    <w:rsid w:val="006B7E72"/>
    <w:rsid w:val="006B7F60"/>
    <w:rsid w:val="006F2BEB"/>
    <w:rsid w:val="00747C96"/>
    <w:rsid w:val="00750238"/>
    <w:rsid w:val="00787A0F"/>
    <w:rsid w:val="007D4F29"/>
    <w:rsid w:val="007E6382"/>
    <w:rsid w:val="008747EB"/>
    <w:rsid w:val="008D23FD"/>
    <w:rsid w:val="00911819"/>
    <w:rsid w:val="009161B8"/>
    <w:rsid w:val="009172FF"/>
    <w:rsid w:val="00943815"/>
    <w:rsid w:val="00974ED9"/>
    <w:rsid w:val="00982358"/>
    <w:rsid w:val="009B052C"/>
    <w:rsid w:val="009B6E8F"/>
    <w:rsid w:val="00A02C3E"/>
    <w:rsid w:val="00A465F9"/>
    <w:rsid w:val="00A52C1D"/>
    <w:rsid w:val="00A61339"/>
    <w:rsid w:val="00A74A71"/>
    <w:rsid w:val="00AD30E2"/>
    <w:rsid w:val="00AF47E3"/>
    <w:rsid w:val="00B6446B"/>
    <w:rsid w:val="00B7625F"/>
    <w:rsid w:val="00BC5237"/>
    <w:rsid w:val="00BD1ED4"/>
    <w:rsid w:val="00BE3D14"/>
    <w:rsid w:val="00C12012"/>
    <w:rsid w:val="00C120E6"/>
    <w:rsid w:val="00C147BB"/>
    <w:rsid w:val="00C83780"/>
    <w:rsid w:val="00C91E30"/>
    <w:rsid w:val="00D63952"/>
    <w:rsid w:val="00D63C3B"/>
    <w:rsid w:val="00DA5CCE"/>
    <w:rsid w:val="00DB6D1D"/>
    <w:rsid w:val="00DF4D69"/>
    <w:rsid w:val="00E009B6"/>
    <w:rsid w:val="00E11573"/>
    <w:rsid w:val="00E20331"/>
    <w:rsid w:val="00E42FAF"/>
    <w:rsid w:val="00E447D1"/>
    <w:rsid w:val="00E52C7F"/>
    <w:rsid w:val="00E96F63"/>
    <w:rsid w:val="00EB323D"/>
    <w:rsid w:val="00EB6F9F"/>
    <w:rsid w:val="00EC3910"/>
    <w:rsid w:val="00ED5483"/>
    <w:rsid w:val="00EE10BB"/>
    <w:rsid w:val="00F2106F"/>
    <w:rsid w:val="00F2602D"/>
    <w:rsid w:val="00F30387"/>
    <w:rsid w:val="00F44FF9"/>
    <w:rsid w:val="00F607D5"/>
    <w:rsid w:val="00F87358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6446B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B644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B6446B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B6446B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B6446B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B6446B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1E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1E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DA5CCE"/>
    <w:pPr>
      <w:ind w:leftChars="2500" w:left="100"/>
    </w:pPr>
  </w:style>
  <w:style w:type="character" w:customStyle="1" w:styleId="Char1">
    <w:name w:val="日期 Char"/>
    <w:basedOn w:val="a1"/>
    <w:link w:val="a7"/>
    <w:rsid w:val="00DA5CCE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A30E29-6DC0-4383-9656-9E23BB453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47</cp:revision>
  <dcterms:created xsi:type="dcterms:W3CDTF">2020-05-28T09:48:00Z</dcterms:created>
  <dcterms:modified xsi:type="dcterms:W3CDTF">2021-03-04T08:44:00Z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