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2020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spacing w:line="58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保障特困供养服务机构正常运行，不断提高管理服务水平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20万元，护理人员工资县级财政按照每人每月2220元配套，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按照每季度5万元配套，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老年福利服务中心护理人员工资、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机构正常工作经费累计支出共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万元。其中（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护理人员工资103.9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），本年结余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切实发挥救助资金的使用效益，保障特困人员的生活权益。             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有效遏止截留、挪用、挤占、套取困难群众补助资金的违纪违规行为，我局采取“望闻问则”四字法拉紧补助资金防腐线，实现对困难群众补助资金的经常化、长效化监管。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护理人员工资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供养服务机构正常工作经费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123.9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年度县级配套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老年福利服务中心护理人员工资、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供养服务机构正常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工作经费年初下达，资金下拨及时性达100%。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2020年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特困供养对象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333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（其中集中供养对象125人）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发放生活补助及护理补贴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382.94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符合集中供养的散居特困人员，及时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纳入集中供养服务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。老年福利服务中心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护理人员39名，能够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确保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集中供养对象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“平日有人照应、生病有人看护”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特困供养标准按照不低于城乡低保标准1.3倍的要求确定，农村、城市特困人员生活补助标准分别达到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元/月，救助标准逐步提高。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特困供养人员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标准和水平逐年提高，生活水平得到稳步提升。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切实解决特困人员的基本生活问题，持续加强特困人员集中供养、分散供养服务能力，有效保障特困人员的基本生活。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widowControl/>
        <w:spacing w:line="580" w:lineRule="exact"/>
        <w:ind w:firstLine="567"/>
        <w:jc w:val="both"/>
      </w:pPr>
      <w:r>
        <w:rPr>
          <w:rFonts w:hint="default" w:ascii="Times New Roman" w:hAnsi="Times New Roman" w:eastAsia="仿宋_GB2312" w:cs="Times New Roman"/>
          <w:sz w:val="32"/>
          <w:szCs w:val="32"/>
        </w:rPr>
        <w:t>各乡镇、街道办通过设立板报、墙报、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政策宣传栏以及悬挂张贴横幅、标语等形式，广泛宣传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困难群众救助补助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的重要意义和主要内容，努力营造浓厚的社会氛围，提高工作人员业务水平和群众认识水平。我县坚持每年以会代训的形式对全县各乡镇、村居社会救助干部进行业务培训，通过加强职业道德教育和业务培训，增强基层低保管理人员“以民为本”的宗旨意识和“依法办事”的责任意识，有力保障低保政策的贯彻落实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4C9F49E"/>
    <w:multiLevelType w:val="singleLevel"/>
    <w:tmpl w:val="B4C9F49E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43823"/>
    <w:rsid w:val="14111A49"/>
    <w:rsid w:val="47C02564"/>
    <w:rsid w:val="64743823"/>
    <w:rsid w:val="677D1761"/>
    <w:rsid w:val="7391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2020-09-24T07:50:00Z</dcterms:created>
  <dc:creator>吃可爱多长大的</dc:creator>
  <cp:lastModifiedBy>Administrator</cp:lastModifiedBy>
  <dcterms:modified xsi:type="dcterms:W3CDTF">2021-03-16T01:43:04Z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