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创业担保贷款县贴息专项资金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绩效自评报告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（一）年初批复下达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创业担保贷款县贴息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项目资金预算和绩效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财政下达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创业担保贷款县贴息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53.75万元，资金用于支付担保贷款县贴息。对创业担保贷款的群众进行利息补贴，有效缓解群众创业贷款压力，支持劳动者自主创业、自谋职业，推动解决特殊困难群体的结构性就业矛盾。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绩效目标完成情况分析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资金投入情况分析。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项目资金到位情况分析。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2020年财政下达我单位创业担保贷款县贴息资金53.75万。</w:t>
      </w:r>
    </w:p>
    <w:p>
      <w:pPr>
        <w:numPr>
          <w:ilvl w:val="0"/>
          <w:numId w:val="3"/>
        </w:num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该项目用于发放创业担保贷款县贴息支出。截止2020年底共支付46.63万元，结余7.12万元。</w:t>
      </w:r>
    </w:p>
    <w:p>
      <w:pPr>
        <w:numPr>
          <w:ilvl w:val="0"/>
          <w:numId w:val="3"/>
        </w:numPr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该项目严格按照相关会计制度执行，不存在挪用、挤占、违规发放的情况，账务处理清晰、完整、规范。发放手续齐全，资料完整，归档存放。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产出指标完成情况分析。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创业担保贷款发放金额15385万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，创业担保贷款发放笔数994笔，创业担保贷款贴息笔数3229笔。</w:t>
      </w:r>
    </w:p>
    <w:p>
      <w:pPr>
        <w:numPr>
          <w:ilvl w:val="0"/>
          <w:numId w:val="4"/>
        </w:num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质量指标。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资金足额拨付率：100%。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地方配套资金到位率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：100%。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贴息发放准确率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：100%。</w:t>
      </w:r>
    </w:p>
    <w:p>
      <w:pPr>
        <w:numPr>
          <w:ilvl w:val="0"/>
          <w:numId w:val="4"/>
        </w:numPr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时效指标。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贴息发放及时率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：100%。</w:t>
      </w:r>
    </w:p>
    <w:p>
      <w:pPr>
        <w:numPr>
          <w:ilvl w:val="0"/>
          <w:numId w:val="4"/>
        </w:numPr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成本指标。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贴息标准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：严格按照当年最新规定和银行合作协议执行。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2.效益指标完成情况分析。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）社会效益。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支持劳动者自主创业、自谋职业，推动解决特殊困难群体的结构性就业矛盾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：效果显著。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可持续影响指标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加大政策支持力度，降低贷款申请条件，放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担保和贴息要求，因地制宜推进工作，加大宣传力度以创业带动就业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的效果显著。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农村金融组织体系建设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：不断完善。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满意度指标完成情况分析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服务对象满意度指标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申报定向费用补贴的金融机构满意度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:≥90%。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申报创业担保贷款贴息资金的个人创业者的满意度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:≥90%。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申报创业担保贷款贴息资金的小微企业的满意度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:≥90%。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偏离绩效目标的原因和下一步改进措施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未偏离绩效。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已公开。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五、其他需要说明的情况。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1948BC"/>
    <w:multiLevelType w:val="singleLevel"/>
    <w:tmpl w:val="8D1948B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B6B432F"/>
    <w:multiLevelType w:val="singleLevel"/>
    <w:tmpl w:val="0B6B43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88B41BA"/>
    <w:multiLevelType w:val="singleLevel"/>
    <w:tmpl w:val="288B41BA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EFBD5A0"/>
    <w:multiLevelType w:val="singleLevel"/>
    <w:tmpl w:val="6EFBD5A0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6E19"/>
    <w:rsid w:val="13AB5A2B"/>
    <w:rsid w:val="15FD42DF"/>
    <w:rsid w:val="20C001E9"/>
    <w:rsid w:val="29B0325B"/>
    <w:rsid w:val="2CAC3B6A"/>
    <w:rsid w:val="31FB02C9"/>
    <w:rsid w:val="373D1F47"/>
    <w:rsid w:val="392D2FBB"/>
    <w:rsid w:val="3B056B4D"/>
    <w:rsid w:val="41DE345B"/>
    <w:rsid w:val="47420E53"/>
    <w:rsid w:val="476D34B2"/>
    <w:rsid w:val="48821A4D"/>
    <w:rsid w:val="4C1B525B"/>
    <w:rsid w:val="5A680C14"/>
    <w:rsid w:val="61C95D4C"/>
    <w:rsid w:val="7CA370A3"/>
    <w:rsid w:val="7FC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2021-03-26T02:21:00Z</cp:lastPrinted>
  <dcterms:modified xsi:type="dcterms:W3CDTF">2021-03-30T03:42:56Z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ICV">
    <vt:lpwstr>3B88901ED23142BC8218072EF3AE648D</vt:lpwstr>
  </property>
</Properties>
</file>