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方正小标宋简体" w:eastAsia="方正小标宋简体" w:cs="方正小标宋简体"/>
          <w:color w:val="FF0000"/>
          <w:sz w:val="80"/>
          <w:szCs w:val="80"/>
        </w:rPr>
      </w:pPr>
    </w:p>
    <w:p>
      <w:pPr>
        <w:spacing w:line="1000" w:lineRule="exact"/>
        <w:jc w:val="center"/>
        <w:rPr>
          <w:rFonts w:ascii="方正小标宋简体" w:eastAsia="方正小标宋简体"/>
          <w:color w:val="FF0000"/>
          <w:sz w:val="80"/>
          <w:szCs w:val="80"/>
        </w:rPr>
      </w:pPr>
      <w:r>
        <w:rPr>
          <w:rFonts w:hint="eastAsia" w:ascii="方正小标宋简体" w:eastAsia="方正小标宋简体" w:cs="方正小标宋简体"/>
          <w:color w:val="FF0000"/>
          <w:sz w:val="80"/>
          <w:szCs w:val="80"/>
        </w:rPr>
        <w:t>盐池县发展和改革局</w:t>
      </w:r>
    </w:p>
    <w:p>
      <w:pPr>
        <w:spacing w:line="700" w:lineRule="exact"/>
        <w:jc w:val="center"/>
        <w:rPr>
          <w:rFonts w:ascii="方正小标宋简体" w:hAnsi="方正小标宋简体" w:eastAsia="方正小标宋简体" w:cs="方正小标宋简体"/>
          <w:color w:val="auto"/>
          <w:sz w:val="44"/>
          <w:szCs w:val="44"/>
        </w:rPr>
      </w:pPr>
      <w: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250825</wp:posOffset>
                </wp:positionV>
                <wp:extent cx="5615940" cy="0"/>
                <wp:effectExtent l="0" t="28575" r="3810" b="2857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pt;margin-top:19.75pt;height:0pt;width:442.2pt;z-index:251659264;mso-width-relative:page;mso-height-relative:page;" filled="f" stroked="t" coordsize="21600,21600" o:gfxdata="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cosRPXAAAACQEAAA8AAAAAAAAAAQAgAAAAIgAAAGRycy9kb3du&#10;cmV2LnhtbFBLAQIUABQAAAAIAIdO4kBuYhT9AAIAAPkDAAAOAAAAAAAAAAEAIAAAACYBAABkcnMv&#10;ZTJvRG9jLnhtbFBLBQYAAAAABgAGAFkBAACYBQAAAAA=&#10;">
                <v:fill on="f" focussize="0,0"/>
                <v:stroke weight="4.5pt" color="#FF0000" linestyle="thinThick" joinstyle="round"/>
                <v:imagedata o:title=""/>
                <o:lock v:ext="edit" aspectratio="f"/>
              </v:line>
            </w:pict>
          </mc:Fallback>
        </mc:AlternateContent>
      </w:r>
    </w:p>
    <w:p>
      <w:pPr>
        <w:autoSpaceDE w:val="0"/>
        <w:spacing w:line="580" w:lineRule="exact"/>
        <w:jc w:val="center"/>
        <w:rPr>
          <w:rFonts w:ascii="方正小标宋简体" w:hAnsi="方正小标宋简体" w:eastAsia="方正小标宋简体" w:cs="方正小标宋简体"/>
          <w:kern w:val="2"/>
          <w:sz w:val="44"/>
          <w:szCs w:val="44"/>
        </w:rPr>
      </w:pPr>
    </w:p>
    <w:p>
      <w:pPr>
        <w:autoSpaceDE w:val="0"/>
        <w:spacing w:line="58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盐池县发展和改革局关于盐池县储备成品粮油轮换管护费项目2020年度绩效自评报告</w:t>
      </w:r>
    </w:p>
    <w:p>
      <w:pPr>
        <w:autoSpaceDE w:val="0"/>
        <w:spacing w:line="600" w:lineRule="exact"/>
        <w:ind w:firstLine="640" w:firstLineChars="200"/>
        <w:rPr>
          <w:rFonts w:ascii="仿宋_GB2312" w:hAnsi="Calibri" w:eastAsia="仿宋_GB2312" w:cs="宋体"/>
          <w:kern w:val="2"/>
          <w:sz w:val="32"/>
          <w:szCs w:val="32"/>
        </w:rPr>
      </w:pPr>
    </w:p>
    <w:p>
      <w:pPr>
        <w:autoSpaceDE w:val="0"/>
        <w:spacing w:line="600" w:lineRule="exact"/>
        <w:rPr>
          <w:rFonts w:ascii="仿宋_GB2312" w:hAnsi="Calibri" w:eastAsia="仿宋_GB2312" w:cs="宋体"/>
          <w:kern w:val="2"/>
          <w:sz w:val="32"/>
          <w:szCs w:val="32"/>
        </w:rPr>
      </w:pPr>
      <w:r>
        <w:rPr>
          <w:rFonts w:hint="eastAsia" w:ascii="仿宋_GB2312" w:hAnsi="Calibri" w:eastAsia="仿宋_GB2312" w:cs="宋体"/>
          <w:kern w:val="2"/>
          <w:sz w:val="32"/>
          <w:szCs w:val="32"/>
        </w:rPr>
        <w:t>县财政局：</w:t>
      </w:r>
    </w:p>
    <w:p>
      <w:pPr>
        <w:pStyle w:val="2"/>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根据《盐池县财政局关于开展2020年部门项目支出绩效自评的通知》（盐财发〔2021〕20号）文件要求，对照绩效自评内容和方法，我局开展了盐池县储备成品粮油轮换管护费项目资金绩效自评工作。现报告如下：</w:t>
      </w:r>
    </w:p>
    <w:p>
      <w:pPr>
        <w:pStyle w:val="2"/>
        <w:numPr>
          <w:ilvl w:val="0"/>
          <w:numId w:val="1"/>
        </w:numPr>
        <w:spacing w:before="0" w:after="0" w:line="600" w:lineRule="exact"/>
        <w:ind w:firstLine="640" w:firstLineChars="200"/>
        <w:jc w:val="both"/>
        <w:rPr>
          <w:rFonts w:ascii="黑体" w:hAnsi="黑体" w:eastAsia="黑体" w:cs="黑体"/>
          <w:b w:val="0"/>
          <w:bCs w:val="0"/>
        </w:rPr>
      </w:pPr>
      <w:r>
        <w:rPr>
          <w:rFonts w:hint="eastAsia" w:ascii="黑体" w:hAnsi="黑体" w:eastAsia="黑体" w:cs="黑体"/>
          <w:b w:val="0"/>
          <w:bCs w:val="0"/>
        </w:rPr>
        <w:t>绩效目标下达情况</w:t>
      </w:r>
    </w:p>
    <w:p>
      <w:pPr>
        <w:pStyle w:val="2"/>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2020年县财政局下达我局盐池县储备成品粮油轮换管护费项目资金共一批，金额为20万元。</w:t>
      </w:r>
    </w:p>
    <w:p>
      <w:pPr>
        <w:pStyle w:val="2"/>
        <w:numPr>
          <w:ilvl w:val="0"/>
          <w:numId w:val="1"/>
        </w:numPr>
        <w:spacing w:before="0" w:after="0" w:line="600" w:lineRule="exact"/>
        <w:ind w:firstLine="640" w:firstLineChars="200"/>
        <w:jc w:val="both"/>
        <w:rPr>
          <w:rFonts w:ascii="黑体" w:hAnsi="黑体" w:eastAsia="黑体" w:cs="黑体"/>
          <w:b w:val="0"/>
          <w:bCs w:val="0"/>
          <w:kern w:val="2"/>
        </w:rPr>
      </w:pPr>
      <w:r>
        <w:rPr>
          <w:rFonts w:hint="eastAsia" w:ascii="黑体" w:hAnsi="黑体" w:eastAsia="黑体" w:cs="黑体"/>
          <w:b w:val="0"/>
          <w:bCs w:val="0"/>
          <w:kern w:val="2"/>
        </w:rPr>
        <w:t>绩效目标完成情况分析</w:t>
      </w:r>
    </w:p>
    <w:p>
      <w:pPr>
        <w:numPr>
          <w:ilvl w:val="0"/>
          <w:numId w:val="2"/>
        </w:num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资金投入情况分析</w:t>
      </w:r>
    </w:p>
    <w:p>
      <w:pPr>
        <w:numPr>
          <w:ilvl w:val="0"/>
          <w:numId w:val="3"/>
        </w:num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项目资金到位情况分析。</w:t>
      </w:r>
      <w:r>
        <w:rPr>
          <w:rFonts w:hint="eastAsia" w:ascii="仿宋_GB2312" w:hAnsi="Calibri" w:eastAsia="仿宋_GB2312" w:cs="宋体"/>
          <w:color w:val="auto"/>
          <w:kern w:val="2"/>
          <w:sz w:val="32"/>
          <w:szCs w:val="32"/>
        </w:rPr>
        <w:t>盐财（预）指标(2020）1号文件，</w:t>
      </w:r>
      <w:r>
        <w:rPr>
          <w:rFonts w:hint="eastAsia" w:ascii="仿宋_GB2312" w:hAnsi="Calibri" w:eastAsia="仿宋_GB2312" w:cs="宋体"/>
          <w:kern w:val="2"/>
          <w:sz w:val="32"/>
          <w:szCs w:val="32"/>
        </w:rPr>
        <w:t>指标金额20万元。</w:t>
      </w:r>
    </w:p>
    <w:p>
      <w:pPr>
        <w:pStyle w:val="2"/>
        <w:numPr>
          <w:ilvl w:val="0"/>
          <w:numId w:val="3"/>
        </w:numPr>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项目资金执行情况分析。盐池县储备成品粮油轮换管护费项目资金20万元，支付资金20万元。</w:t>
      </w:r>
    </w:p>
    <w:p>
      <w:pPr>
        <w:pStyle w:val="2"/>
        <w:numPr>
          <w:ilvl w:val="0"/>
          <w:numId w:val="3"/>
        </w:numPr>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项目资金管理情况分析。财务严格执行资金相关管理办法进行账务处理，使盐池县储备成品粮油轮换管护费项目资金合理使用。</w:t>
      </w:r>
    </w:p>
    <w:p>
      <w:pPr>
        <w:numPr>
          <w:ilvl w:val="0"/>
          <w:numId w:val="2"/>
        </w:num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总体绩效目标完成情况分析</w:t>
      </w:r>
    </w:p>
    <w:p>
      <w:p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为扎实推进依法管粮维护粮油流通的正常秩序，保持粮油市场的平稳运行，强化仓储管理、定期对应急成品粮进行轮换，对粮食仓储企业的储存、安全、卫生进行监督检查,让广大人民群众吃上放心粮油。</w:t>
      </w:r>
    </w:p>
    <w:p>
      <w:p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1、产出指标完成情况分析。</w:t>
      </w:r>
    </w:p>
    <w:p>
      <w:pPr>
        <w:spacing w:line="600" w:lineRule="exact"/>
        <w:ind w:firstLine="640" w:firstLineChars="200"/>
        <w:rPr>
          <w:rFonts w:ascii="仿宋_GB2312" w:hAnsi="Calibri" w:eastAsia="仿宋_GB2312" w:cs="宋体"/>
          <w:kern w:val="2"/>
          <w:sz w:val="32"/>
          <w:szCs w:val="32"/>
        </w:rPr>
      </w:pPr>
      <w:r>
        <w:rPr>
          <w:rFonts w:hint="eastAsia" w:ascii="仿宋_GB2312" w:hAnsi="Calibri" w:eastAsia="仿宋_GB2312" w:cs="宋体"/>
          <w:kern w:val="2"/>
          <w:sz w:val="32"/>
          <w:szCs w:val="32"/>
        </w:rPr>
        <w:t>（1）数量指标。强化仓储管理，动态对应急成品粮油进行轮换（8次/年）。</w:t>
      </w:r>
    </w:p>
    <w:p>
      <w:pPr>
        <w:pStyle w:val="2"/>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（2）质量指标。轮换完成率达到95%。</w:t>
      </w:r>
    </w:p>
    <w:p>
      <w:pPr>
        <w:pStyle w:val="2"/>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（3）时效指标。项目完成时间至2020年12月。</w:t>
      </w:r>
    </w:p>
    <w:p>
      <w:pPr>
        <w:pStyle w:val="2"/>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（4）成本指标。储备成品粮油轮换管护费项目资金20万元。</w:t>
      </w:r>
    </w:p>
    <w:p>
      <w:pPr>
        <w:pStyle w:val="2"/>
        <w:spacing w:before="0" w:after="0" w:line="600" w:lineRule="exact"/>
        <w:jc w:val="both"/>
        <w:rPr>
          <w:rFonts w:ascii="仿宋_GB2312" w:hAnsi="Calibri" w:eastAsia="仿宋_GB2312" w:cs="宋体"/>
          <w:b w:val="0"/>
          <w:bCs w:val="0"/>
          <w:kern w:val="2"/>
        </w:rPr>
      </w:pPr>
      <w:r>
        <w:rPr>
          <w:rFonts w:hint="eastAsia" w:ascii="仿宋_GB2312" w:hAnsi="Calibri" w:eastAsia="仿宋_GB2312" w:cs="宋体"/>
          <w:b w:val="0"/>
          <w:bCs w:val="0"/>
          <w:kern w:val="2"/>
        </w:rPr>
        <w:t xml:space="preserve">     2、效益指标完成情况分析。</w:t>
      </w:r>
    </w:p>
    <w:p>
      <w:pPr>
        <w:pStyle w:val="2"/>
        <w:numPr>
          <w:ilvl w:val="0"/>
          <w:numId w:val="4"/>
        </w:numPr>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社会效益指标。扎实推进依法管粮，维护粮食流通正常秩序，提高全民的粮食危机和粮食安全意识。</w:t>
      </w:r>
    </w:p>
    <w:p>
      <w:pPr>
        <w:pStyle w:val="2"/>
        <w:numPr>
          <w:ilvl w:val="0"/>
          <w:numId w:val="4"/>
        </w:numPr>
        <w:spacing w:before="0" w:after="0" w:line="600" w:lineRule="exact"/>
        <w:ind w:firstLine="640" w:firstLineChars="200"/>
        <w:jc w:val="both"/>
        <w:rPr>
          <w:rFonts w:ascii="仿宋_GB2312" w:hAnsi="Calibri" w:eastAsia="仿宋_GB2312" w:cs="宋体"/>
          <w:b w:val="0"/>
          <w:bCs w:val="0"/>
          <w:kern w:val="2"/>
        </w:rPr>
      </w:pPr>
      <w:r>
        <w:rPr>
          <w:rFonts w:hint="eastAsia" w:ascii="仿宋_GB2312" w:hAnsi="Calibri" w:eastAsia="仿宋_GB2312" w:cs="宋体"/>
          <w:b w:val="0"/>
          <w:bCs w:val="0"/>
          <w:kern w:val="2"/>
        </w:rPr>
        <w:t>可持续影响指标。国家政策长期保障。</w:t>
      </w:r>
    </w:p>
    <w:p>
      <w:pPr>
        <w:pStyle w:val="2"/>
        <w:spacing w:before="0" w:after="0" w:line="600" w:lineRule="exact"/>
        <w:ind w:left="640"/>
        <w:jc w:val="both"/>
        <w:rPr>
          <w:rFonts w:ascii="仿宋_GB2312" w:hAnsi="Calibri" w:eastAsia="仿宋_GB2312" w:cs="宋体"/>
          <w:b w:val="0"/>
          <w:bCs w:val="0"/>
          <w:kern w:val="2"/>
        </w:rPr>
      </w:pPr>
      <w:r>
        <w:rPr>
          <w:rFonts w:hint="eastAsia" w:ascii="仿宋_GB2312" w:hAnsi="Calibri" w:eastAsia="仿宋_GB2312" w:cs="宋体"/>
          <w:b w:val="0"/>
          <w:bCs w:val="0"/>
          <w:kern w:val="2"/>
        </w:rPr>
        <w:t>3、满意度指标完成情况分析。</w:t>
      </w:r>
    </w:p>
    <w:p>
      <w:pPr>
        <w:spacing w:line="600" w:lineRule="exact"/>
        <w:ind w:firstLine="640" w:firstLineChars="200"/>
      </w:pPr>
      <w:r>
        <w:rPr>
          <w:rFonts w:hint="eastAsia" w:ascii="仿宋_GB2312" w:hAnsi="Calibri" w:eastAsia="仿宋_GB2312" w:cs="宋体"/>
          <w:kern w:val="2"/>
          <w:sz w:val="32"/>
          <w:szCs w:val="32"/>
        </w:rPr>
        <w:t>对服务企业满意度达到98%。</w:t>
      </w:r>
    </w:p>
    <w:p>
      <w:pPr>
        <w:pStyle w:val="2"/>
        <w:numPr>
          <w:ilvl w:val="0"/>
          <w:numId w:val="1"/>
        </w:numPr>
        <w:spacing w:before="0" w:after="0" w:line="600" w:lineRule="exact"/>
        <w:ind w:firstLine="640" w:firstLineChars="200"/>
        <w:jc w:val="both"/>
        <w:rPr>
          <w:rFonts w:ascii="黑体" w:hAnsi="黑体" w:eastAsia="黑体" w:cs="黑体"/>
          <w:b w:val="0"/>
          <w:bCs w:val="0"/>
          <w:kern w:val="2"/>
        </w:rPr>
      </w:pPr>
      <w:r>
        <w:rPr>
          <w:rFonts w:hint="eastAsia" w:ascii="黑体" w:hAnsi="黑体" w:eastAsia="黑体" w:cs="黑体"/>
          <w:b w:val="0"/>
          <w:bCs w:val="0"/>
          <w:kern w:val="2"/>
        </w:rPr>
        <w:t>下一步改进措施</w:t>
      </w:r>
    </w:p>
    <w:p>
      <w:pPr>
        <w:spacing w:line="600" w:lineRule="exact"/>
        <w:ind w:firstLine="422" w:firstLineChars="200"/>
        <w:rPr>
          <w:rFonts w:ascii="仿宋_GB2312" w:hAnsi="Calibri" w:eastAsia="仿宋_GB2312" w:cs="宋体"/>
          <w:kern w:val="2"/>
          <w:sz w:val="32"/>
          <w:szCs w:val="32"/>
        </w:rPr>
      </w:pPr>
      <w:r>
        <w:rPr>
          <w:rFonts w:hint="eastAsia" w:ascii="仿宋_GB2312" w:hAnsi="Calibri" w:eastAsia="仿宋_GB2312" w:cs="宋体"/>
          <w:b/>
          <w:bCs/>
          <w:kern w:val="2"/>
        </w:rPr>
        <w:t xml:space="preserve">  </w:t>
      </w:r>
      <w:r>
        <w:rPr>
          <w:rFonts w:hint="eastAsia" w:ascii="仿宋_GB2312" w:hAnsi="Calibri" w:eastAsia="仿宋_GB2312" w:cs="宋体"/>
          <w:kern w:val="2"/>
          <w:sz w:val="32"/>
          <w:szCs w:val="32"/>
        </w:rPr>
        <w:t>通过此次绩效自评，我们在下一步工作中，加快促进粮食流通产业经济发展，让广大人民群众吃上放心粮油，生活安居。</w:t>
      </w:r>
    </w:p>
    <w:p>
      <w:pPr>
        <w:pStyle w:val="2"/>
        <w:spacing w:before="0" w:after="0" w:line="600" w:lineRule="exact"/>
        <w:jc w:val="both"/>
        <w:rPr>
          <w:rFonts w:ascii="仿宋_GB2312" w:hAnsi="Calibri" w:eastAsia="仿宋_GB2312" w:cs="宋体"/>
          <w:b w:val="0"/>
          <w:bCs w:val="0"/>
          <w:kern w:val="2"/>
        </w:rPr>
      </w:pPr>
      <w:r>
        <w:rPr>
          <w:rFonts w:hint="eastAsia" w:ascii="仿宋_GB2312" w:hAnsi="Calibri" w:eastAsia="仿宋_GB2312" w:cs="宋体"/>
          <w:kern w:val="2"/>
        </w:rPr>
        <w:t xml:space="preserve">    </w:t>
      </w:r>
      <w:r>
        <w:rPr>
          <w:rFonts w:hint="eastAsia" w:ascii="仿宋_GB2312" w:hAnsi="Calibri" w:eastAsia="仿宋_GB2312" w:cs="宋体"/>
          <w:b w:val="0"/>
          <w:bCs w:val="0"/>
          <w:kern w:val="2"/>
        </w:rPr>
        <w:t>附件：部门项目支出绩效自评表</w:t>
      </w:r>
    </w:p>
    <w:p>
      <w:pPr>
        <w:pStyle w:val="2"/>
        <w:rPr>
          <w:rFonts w:ascii="仿宋_GB2312" w:hAnsi="Calibri" w:eastAsia="仿宋_GB2312" w:cs="宋体"/>
          <w:b w:val="0"/>
          <w:bCs w:val="0"/>
          <w:kern w:val="2"/>
        </w:rPr>
      </w:pPr>
    </w:p>
    <w:p/>
    <w:p>
      <w:pPr>
        <w:jc w:val="left"/>
        <w:rPr>
          <w:rFonts w:ascii="仿宋_GB2312" w:hAnsi="Calibri" w:eastAsia="仿宋_GB2312" w:cs="宋体"/>
          <w:kern w:val="2"/>
          <w:sz w:val="32"/>
          <w:szCs w:val="32"/>
        </w:rPr>
      </w:pPr>
      <w:r>
        <w:rPr>
          <w:rFonts w:hint="eastAsia" w:ascii="仿宋_GB2312" w:hAnsi="Calibri" w:eastAsia="仿宋_GB2312" w:cs="宋体"/>
          <w:kern w:val="2"/>
          <w:sz w:val="32"/>
          <w:szCs w:val="32"/>
        </w:rPr>
        <w:t xml:space="preserve">                          盐池县发展和改革局</w:t>
      </w:r>
    </w:p>
    <w:p>
      <w:pPr>
        <w:jc w:val="left"/>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rPr>
        <w:t xml:space="preserve">                                            </w:t>
      </w:r>
      <w:r>
        <w:rPr>
          <w:rFonts w:hint="eastAsia" w:ascii="仿宋_GB2312" w:hAnsi="Calibri" w:eastAsia="仿宋_GB2312" w:cs="宋体"/>
          <w:kern w:val="2"/>
          <w:sz w:val="32"/>
          <w:szCs w:val="32"/>
        </w:rPr>
        <w:t>202</w:t>
      </w:r>
      <w:r>
        <w:rPr>
          <w:rFonts w:hint="eastAsia" w:ascii="仿宋_GB2312" w:hAnsi="Calibri" w:eastAsia="仿宋_GB2312" w:cs="宋体"/>
          <w:kern w:val="2"/>
          <w:sz w:val="32"/>
          <w:szCs w:val="32"/>
          <w:lang w:val="en-US" w:eastAsia="zh-CN"/>
        </w:rPr>
        <w:t>1</w:t>
      </w:r>
      <w:bookmarkStart w:id="0" w:name="_GoBack"/>
      <w:bookmarkEnd w:id="0"/>
      <w:r>
        <w:rPr>
          <w:rFonts w:hint="eastAsia" w:ascii="仿宋_GB2312" w:hAnsi="Calibri" w:eastAsia="仿宋_GB2312" w:cs="宋体"/>
          <w:kern w:val="2"/>
          <w:sz w:val="32"/>
          <w:szCs w:val="32"/>
        </w:rPr>
        <w:t>年3月6日</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tbl>
      <w:tblPr>
        <w:tblStyle w:val="7"/>
        <w:tblW w:w="0" w:type="auto"/>
        <w:tblInd w:w="0" w:type="dxa"/>
        <w:tblLayout w:type="fixed"/>
        <w:tblCellMar>
          <w:top w:w="0" w:type="dxa"/>
          <w:left w:w="0" w:type="dxa"/>
          <w:bottom w:w="0" w:type="dxa"/>
          <w:right w:w="0" w:type="dxa"/>
        </w:tblCellMar>
      </w:tblPr>
      <w:tblGrid>
        <w:gridCol w:w="441"/>
        <w:gridCol w:w="708"/>
        <w:gridCol w:w="251"/>
        <w:gridCol w:w="458"/>
        <w:gridCol w:w="1257"/>
        <w:gridCol w:w="586"/>
        <w:gridCol w:w="283"/>
        <w:gridCol w:w="993"/>
        <w:gridCol w:w="708"/>
        <w:gridCol w:w="285"/>
        <w:gridCol w:w="1983"/>
        <w:gridCol w:w="426"/>
        <w:gridCol w:w="425"/>
      </w:tblGrid>
      <w:tr>
        <w:tblPrEx>
          <w:tblCellMar>
            <w:top w:w="0" w:type="dxa"/>
            <w:left w:w="0" w:type="dxa"/>
            <w:bottom w:w="0" w:type="dxa"/>
            <w:right w:w="0" w:type="dxa"/>
          </w:tblCellMar>
        </w:tblPrEx>
        <w:trPr>
          <w:trHeight w:val="462" w:hRule="atLeast"/>
        </w:trPr>
        <w:tc>
          <w:tcPr>
            <w:tcW w:w="8804" w:type="dxa"/>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sz w:val="40"/>
                <w:szCs w:val="40"/>
              </w:rPr>
            </w:pPr>
          </w:p>
          <w:p>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sz w:val="40"/>
                <w:szCs w:val="40"/>
              </w:rPr>
              <w:t>部门项目支出绩效自评表</w:t>
            </w:r>
          </w:p>
        </w:tc>
      </w:tr>
      <w:tr>
        <w:tblPrEx>
          <w:tblCellMar>
            <w:top w:w="0" w:type="dxa"/>
            <w:left w:w="0" w:type="dxa"/>
            <w:bottom w:w="0" w:type="dxa"/>
            <w:right w:w="0" w:type="dxa"/>
          </w:tblCellMar>
        </w:tblPrEx>
        <w:trPr>
          <w:trHeight w:val="300" w:hRule="atLeast"/>
        </w:trPr>
        <w:tc>
          <w:tcPr>
            <w:tcW w:w="8804" w:type="dxa"/>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 2020年度）</w:t>
            </w:r>
          </w:p>
        </w:tc>
      </w:tr>
      <w:tr>
        <w:tblPrEx>
          <w:tblCellMar>
            <w:top w:w="0" w:type="dxa"/>
            <w:left w:w="0" w:type="dxa"/>
            <w:bottom w:w="0" w:type="dxa"/>
            <w:right w:w="0" w:type="dxa"/>
          </w:tblCellMar>
        </w:tblPrEx>
        <w:trPr>
          <w:trHeight w:val="360" w:hRule="atLeast"/>
        </w:trPr>
        <w:tc>
          <w:tcPr>
            <w:tcW w:w="140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项目名称</w:t>
            </w:r>
          </w:p>
        </w:tc>
        <w:tc>
          <w:tcPr>
            <w:tcW w:w="740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储备成品粮、油轮换管护项目</w:t>
            </w:r>
          </w:p>
        </w:tc>
      </w:tr>
      <w:tr>
        <w:tblPrEx>
          <w:tblCellMar>
            <w:top w:w="0" w:type="dxa"/>
            <w:left w:w="0" w:type="dxa"/>
            <w:bottom w:w="0" w:type="dxa"/>
            <w:right w:w="0" w:type="dxa"/>
          </w:tblCellMar>
        </w:tblPrEx>
        <w:trPr>
          <w:trHeight w:val="360" w:hRule="atLeast"/>
        </w:trPr>
        <w:tc>
          <w:tcPr>
            <w:tcW w:w="1400"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主管部门及代码</w:t>
            </w:r>
          </w:p>
        </w:tc>
        <w:tc>
          <w:tcPr>
            <w:tcW w:w="35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r>
              <w:rPr>
                <w:rFonts w:hint="eastAsia" w:ascii="宋体" w:hAnsi="宋体" w:eastAsia="宋体" w:cs="宋体"/>
                <w:sz w:val="16"/>
                <w:szCs w:val="16"/>
              </w:rPr>
              <w:t>盐池县发展和改革局11642126010155807T</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实施单位</w:t>
            </w:r>
          </w:p>
        </w:tc>
        <w:tc>
          <w:tcPr>
            <w:tcW w:w="28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盐池县粮油储备营销有限公司</w:t>
            </w:r>
          </w:p>
        </w:tc>
      </w:tr>
      <w:tr>
        <w:tblPrEx>
          <w:tblCellMar>
            <w:top w:w="0" w:type="dxa"/>
            <w:left w:w="0" w:type="dxa"/>
            <w:bottom w:w="0" w:type="dxa"/>
            <w:right w:w="0" w:type="dxa"/>
          </w:tblCellMar>
        </w:tblPrEx>
        <w:trPr>
          <w:trHeight w:val="360" w:hRule="atLeast"/>
        </w:trPr>
        <w:tc>
          <w:tcPr>
            <w:tcW w:w="14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项目资金</w:t>
            </w:r>
            <w:r>
              <w:rPr>
                <w:rFonts w:hint="eastAsia" w:ascii="宋体" w:hAnsi="宋体" w:eastAsia="宋体" w:cs="宋体"/>
                <w:sz w:val="16"/>
                <w:szCs w:val="16"/>
              </w:rPr>
              <w:br w:type="textWrapping"/>
            </w:r>
            <w:r>
              <w:rPr>
                <w:rFonts w:hint="eastAsia" w:ascii="宋体" w:hAnsi="宋体" w:eastAsia="宋体" w:cs="宋体"/>
                <w:sz w:val="16"/>
                <w:szCs w:val="16"/>
              </w:rPr>
              <w:t>（万元）</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年初预算数</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全年执行数</w:t>
            </w:r>
          </w:p>
        </w:tc>
      </w:tr>
      <w:tr>
        <w:tblPrEx>
          <w:tblCellMar>
            <w:top w:w="0" w:type="dxa"/>
            <w:left w:w="0" w:type="dxa"/>
            <w:bottom w:w="0" w:type="dxa"/>
            <w:right w:w="0" w:type="dxa"/>
          </w:tblCellMar>
        </w:tblPrEx>
        <w:trPr>
          <w:trHeight w:val="360" w:hRule="atLeast"/>
        </w:trPr>
        <w:tc>
          <w:tcPr>
            <w:tcW w:w="1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年度资金总额：</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w:t>
            </w:r>
          </w:p>
        </w:tc>
      </w:tr>
      <w:tr>
        <w:tblPrEx>
          <w:tblCellMar>
            <w:top w:w="0" w:type="dxa"/>
            <w:left w:w="0" w:type="dxa"/>
            <w:bottom w:w="0" w:type="dxa"/>
            <w:right w:w="0" w:type="dxa"/>
          </w:tblCellMar>
        </w:tblPrEx>
        <w:trPr>
          <w:trHeight w:val="360" w:hRule="atLeast"/>
        </w:trPr>
        <w:tc>
          <w:tcPr>
            <w:tcW w:w="1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 xml:space="preserve">    其中：财政拨款</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w:t>
            </w:r>
          </w:p>
        </w:tc>
      </w:tr>
      <w:tr>
        <w:tblPrEx>
          <w:tblCellMar>
            <w:top w:w="0" w:type="dxa"/>
            <w:left w:w="0" w:type="dxa"/>
            <w:bottom w:w="0" w:type="dxa"/>
            <w:right w:w="0" w:type="dxa"/>
          </w:tblCellMar>
        </w:tblPrEx>
        <w:trPr>
          <w:trHeight w:val="360" w:hRule="atLeast"/>
        </w:trPr>
        <w:tc>
          <w:tcPr>
            <w:tcW w:w="1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 xml:space="preserve">         其他资金</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138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年度总体</w:t>
            </w:r>
            <w:r>
              <w:rPr>
                <w:rFonts w:hint="eastAsia" w:ascii="宋体" w:hAnsi="宋体" w:eastAsia="宋体" w:cs="宋体"/>
                <w:sz w:val="16"/>
                <w:szCs w:val="16"/>
              </w:rPr>
              <w:br w:type="textWrapping"/>
            </w:r>
            <w:r>
              <w:rPr>
                <w:rFonts w:hint="eastAsia" w:ascii="宋体" w:hAnsi="宋体" w:eastAsia="宋体" w:cs="宋体"/>
                <w:sz w:val="16"/>
                <w:szCs w:val="16"/>
              </w:rPr>
              <w:t>目标</w:t>
            </w:r>
          </w:p>
        </w:tc>
        <w:tc>
          <w:tcPr>
            <w:tcW w:w="45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ind w:firstLine="320" w:firstLineChars="200"/>
              <w:rPr>
                <w:rFonts w:ascii="宋体" w:hAnsi="宋体" w:eastAsia="宋体" w:cs="宋体"/>
                <w:color w:val="000000"/>
                <w:sz w:val="16"/>
                <w:szCs w:val="16"/>
              </w:rPr>
            </w:pPr>
            <w:r>
              <w:rPr>
                <w:rFonts w:hint="eastAsia" w:ascii="宋体" w:hAnsi="宋体" w:eastAsia="宋体" w:cs="宋体"/>
                <w:sz w:val="16"/>
                <w:szCs w:val="16"/>
              </w:rPr>
              <w:t>为扎实推进依法管粮维护粮油流通的正常秩序，保持粮油市场的平稳运行，强化仓储管理、定期对应急成品粮进行轮换，对粮食仓储企业的储存、安全、卫生进行监督检查,让广大人民群众吃上放心粮油。</w:t>
            </w:r>
          </w:p>
        </w:tc>
        <w:tc>
          <w:tcPr>
            <w:tcW w:w="38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宋体" w:hAnsi="宋体" w:eastAsia="宋体" w:cs="宋体"/>
                <w:color w:val="000000"/>
                <w:sz w:val="16"/>
                <w:szCs w:val="16"/>
              </w:rPr>
            </w:pPr>
            <w:r>
              <w:rPr>
                <w:rFonts w:hint="eastAsia" w:ascii="宋体" w:hAnsi="宋体" w:eastAsia="宋体" w:cs="宋体"/>
                <w:sz w:val="16"/>
                <w:szCs w:val="16"/>
              </w:rPr>
              <w:t xml:space="preserve">   为扎实推进依法管粮维护粮油流通的正常秩序，保持粮油市场的平稳运行，强化仓储管理、定期对应急成品粮进行轮换，对粮食仓储企业的储存、安全、卫生进行监督检查,让广大人民群众吃上放心粮油。</w:t>
            </w:r>
          </w:p>
        </w:tc>
      </w:tr>
      <w:tr>
        <w:tblPrEx>
          <w:tblCellMar>
            <w:top w:w="0" w:type="dxa"/>
            <w:left w:w="0" w:type="dxa"/>
            <w:bottom w:w="0" w:type="dxa"/>
            <w:right w:w="0" w:type="dxa"/>
          </w:tblCellMar>
        </w:tblPrEx>
        <w:trPr>
          <w:trHeight w:val="420" w:hRule="atLeast"/>
        </w:trPr>
        <w:tc>
          <w:tcPr>
            <w:tcW w:w="4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绩</w:t>
            </w:r>
            <w:r>
              <w:rPr>
                <w:rFonts w:hint="eastAsia" w:ascii="宋体" w:hAnsi="宋体" w:eastAsia="宋体" w:cs="宋体"/>
                <w:sz w:val="16"/>
                <w:szCs w:val="16"/>
              </w:rPr>
              <w:br w:type="textWrapping"/>
            </w:r>
            <w:r>
              <w:rPr>
                <w:rFonts w:hint="eastAsia" w:ascii="宋体" w:hAnsi="宋体" w:eastAsia="宋体" w:cs="宋体"/>
                <w:sz w:val="16"/>
                <w:szCs w:val="16"/>
              </w:rPr>
              <w:t>效</w:t>
            </w:r>
            <w:r>
              <w:rPr>
                <w:rFonts w:hint="eastAsia" w:ascii="宋体" w:hAnsi="宋体" w:eastAsia="宋体" w:cs="宋体"/>
                <w:sz w:val="16"/>
                <w:szCs w:val="16"/>
              </w:rPr>
              <w:br w:type="textWrapping"/>
            </w:r>
            <w:r>
              <w:rPr>
                <w:rFonts w:hint="eastAsia" w:ascii="宋体" w:hAnsi="宋体" w:eastAsia="宋体" w:cs="宋体"/>
                <w:sz w:val="16"/>
                <w:szCs w:val="16"/>
              </w:rPr>
              <w:t>指</w:t>
            </w:r>
            <w:r>
              <w:rPr>
                <w:rFonts w:hint="eastAsia" w:ascii="宋体" w:hAnsi="宋体" w:eastAsia="宋体" w:cs="宋体"/>
                <w:sz w:val="16"/>
                <w:szCs w:val="16"/>
              </w:rPr>
              <w:br w:type="textWrapping"/>
            </w:r>
            <w:r>
              <w:rPr>
                <w:rFonts w:hint="eastAsia" w:ascii="宋体" w:hAnsi="宋体" w:eastAsia="宋体" w:cs="宋体"/>
                <w:sz w:val="16"/>
                <w:szCs w:val="16"/>
              </w:rPr>
              <w:t>标</w:t>
            </w:r>
          </w:p>
        </w:tc>
        <w:tc>
          <w:tcPr>
            <w:tcW w:w="7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一级</w:t>
            </w:r>
            <w:r>
              <w:rPr>
                <w:rFonts w:hint="eastAsia" w:ascii="宋体" w:hAnsi="宋体" w:eastAsia="宋体" w:cs="宋体"/>
                <w:sz w:val="16"/>
                <w:szCs w:val="16"/>
              </w:rPr>
              <w:br w:type="textWrapping"/>
            </w:r>
            <w:r>
              <w:rPr>
                <w:rFonts w:hint="eastAsia" w:ascii="宋体" w:hAnsi="宋体" w:eastAsia="宋体" w:cs="宋体"/>
                <w:sz w:val="16"/>
                <w:szCs w:val="16"/>
              </w:rPr>
              <w:t>指标</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二级指标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三级指标</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分值</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指标值（A）</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全年实际值（B）</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得分计算方法</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得分</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未完成原因分析</w:t>
            </w:r>
          </w:p>
        </w:tc>
      </w:tr>
      <w:tr>
        <w:tblPrEx>
          <w:tblCellMar>
            <w:top w:w="0" w:type="dxa"/>
            <w:left w:w="0" w:type="dxa"/>
            <w:bottom w:w="0" w:type="dxa"/>
            <w:right w:w="0" w:type="dxa"/>
          </w:tblCellMar>
        </w:tblPrEx>
        <w:trPr>
          <w:trHeight w:val="68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产</w:t>
            </w:r>
            <w:r>
              <w:rPr>
                <w:rFonts w:hint="eastAsia" w:ascii="宋体" w:hAnsi="宋体" w:eastAsia="宋体" w:cs="宋体"/>
                <w:sz w:val="16"/>
                <w:szCs w:val="16"/>
              </w:rPr>
              <w:br w:type="textWrapping"/>
            </w:r>
            <w:r>
              <w:rPr>
                <w:rFonts w:hint="eastAsia" w:ascii="宋体" w:hAnsi="宋体" w:eastAsia="宋体" w:cs="宋体"/>
                <w:sz w:val="16"/>
                <w:szCs w:val="16"/>
              </w:rPr>
              <w:t>出</w:t>
            </w:r>
            <w:r>
              <w:rPr>
                <w:rFonts w:hint="eastAsia" w:ascii="宋体" w:hAnsi="宋体" w:eastAsia="宋体" w:cs="宋体"/>
                <w:sz w:val="16"/>
                <w:szCs w:val="16"/>
              </w:rPr>
              <w:br w:type="textWrapping"/>
            </w:r>
            <w:r>
              <w:rPr>
                <w:rFonts w:hint="eastAsia" w:ascii="宋体" w:hAnsi="宋体" w:eastAsia="宋体" w:cs="宋体"/>
                <w:sz w:val="16"/>
                <w:szCs w:val="16"/>
              </w:rPr>
              <w:t>指</w:t>
            </w:r>
            <w:r>
              <w:rPr>
                <w:rFonts w:hint="eastAsia" w:ascii="宋体" w:hAnsi="宋体" w:eastAsia="宋体" w:cs="宋体"/>
                <w:sz w:val="16"/>
                <w:szCs w:val="16"/>
              </w:rPr>
              <w:br w:type="textWrapping"/>
            </w:r>
            <w:r>
              <w:rPr>
                <w:rFonts w:hint="eastAsia" w:ascii="宋体" w:hAnsi="宋体" w:eastAsia="宋体" w:cs="宋体"/>
                <w:sz w:val="16"/>
                <w:szCs w:val="16"/>
              </w:rPr>
              <w:t>标</w:t>
            </w:r>
            <w:r>
              <w:rPr>
                <w:rFonts w:hint="eastAsia" w:ascii="宋体" w:hAnsi="宋体" w:eastAsia="宋体" w:cs="宋体"/>
                <w:sz w:val="16"/>
                <w:szCs w:val="16"/>
              </w:rPr>
              <w:br w:type="textWrapping"/>
            </w:r>
            <w:r>
              <w:rPr>
                <w:rFonts w:hint="eastAsia" w:ascii="宋体" w:hAnsi="宋体" w:eastAsia="宋体" w:cs="宋体"/>
                <w:sz w:val="16"/>
                <w:szCs w:val="16"/>
              </w:rPr>
              <w:t>（40分）</w:t>
            </w: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数量指标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pacing w:before="0" w:after="0" w:line="300" w:lineRule="exact"/>
              <w:ind w:firstLine="320" w:firstLineChars="200"/>
              <w:jc w:val="both"/>
              <w:rPr>
                <w:rFonts w:ascii="宋体" w:hAnsi="宋体" w:eastAsia="宋体" w:cs="宋体"/>
                <w:color w:val="000000"/>
                <w:sz w:val="16"/>
                <w:szCs w:val="16"/>
              </w:rPr>
            </w:pPr>
            <w:r>
              <w:rPr>
                <w:rFonts w:hint="eastAsia" w:ascii="宋体" w:hAnsi="宋体" w:eastAsia="宋体" w:cs="宋体"/>
                <w:b w:val="0"/>
                <w:bCs w:val="0"/>
                <w:sz w:val="16"/>
                <w:szCs w:val="16"/>
              </w:rPr>
              <w:t>强化仓储管理，动态对应急成品粮油进行轮换</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8次/年</w:t>
            </w:r>
          </w:p>
          <w:p>
            <w:pPr>
              <w:widowControl/>
              <w:jc w:val="center"/>
              <w:textAlignment w:val="center"/>
              <w:rPr>
                <w:rFonts w:ascii="宋体" w:hAnsi="宋体" w:eastAsia="宋体" w:cs="宋体"/>
                <w:color w:val="000000"/>
                <w:sz w:val="16"/>
                <w:szCs w:val="16"/>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全部完成</w:t>
            </w:r>
          </w:p>
        </w:tc>
        <w:tc>
          <w:tcPr>
            <w:tcW w:w="22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完成值达到指标值，记满分；未达到指标值，按B/A或A/B</w:t>
            </w:r>
            <w:r>
              <w:rPr>
                <w:rFonts w:ascii="Arial" w:hAnsi="Arial" w:eastAsia="宋体" w:cs="Arial"/>
                <w:sz w:val="16"/>
                <w:szCs w:val="16"/>
              </w:rPr>
              <w:t>×</w:t>
            </w:r>
            <w:r>
              <w:rPr>
                <w:rFonts w:hint="eastAsia" w:ascii="宋体" w:hAnsi="宋体" w:eastAsia="宋体" w:cs="宋体"/>
                <w:sz w:val="16"/>
                <w:szCs w:val="16"/>
              </w:rPr>
              <w:t>该指标分值记分。</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6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质量指标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pacing w:before="0" w:after="0" w:line="300" w:lineRule="exact"/>
              <w:ind w:firstLine="320" w:firstLineChars="200"/>
              <w:jc w:val="both"/>
              <w:rPr>
                <w:rFonts w:ascii="宋体" w:hAnsi="宋体" w:eastAsia="宋体" w:cs="宋体"/>
                <w:color w:val="000000"/>
                <w:sz w:val="16"/>
                <w:szCs w:val="16"/>
              </w:rPr>
            </w:pPr>
            <w:r>
              <w:rPr>
                <w:rFonts w:hint="eastAsia" w:ascii="宋体" w:hAnsi="宋体" w:eastAsia="宋体" w:cs="宋体"/>
                <w:b w:val="0"/>
                <w:bCs w:val="0"/>
                <w:sz w:val="16"/>
                <w:szCs w:val="16"/>
              </w:rPr>
              <w:t>轮换完成率</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95%</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全部完成</w:t>
            </w:r>
          </w:p>
        </w:tc>
        <w:tc>
          <w:tcPr>
            <w:tcW w:w="2268"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1.若为定性指标，则根据“三档”原则分别按照指标值的100-80%（含）、80-50%（含）、50-0%来记分。</w:t>
            </w:r>
            <w:r>
              <w:rPr>
                <w:rFonts w:hint="eastAsia" w:ascii="宋体" w:hAnsi="宋体" w:eastAsia="宋体" w:cs="宋体"/>
                <w:sz w:val="16"/>
                <w:szCs w:val="16"/>
              </w:rPr>
              <w:br w:type="textWrapping"/>
            </w:r>
            <w:r>
              <w:rPr>
                <w:rFonts w:hint="eastAsia" w:ascii="宋体" w:hAnsi="宋体" w:eastAsia="宋体" w:cs="宋体"/>
                <w:sz w:val="16"/>
                <w:szCs w:val="16"/>
              </w:rPr>
              <w:t>2.若为定量指标，完成值达到指标值，记满分；未达到指标值，按B/A或A/B×该指标分值记分。</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38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时效指标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16"/>
                <w:szCs w:val="16"/>
              </w:rPr>
            </w:pPr>
            <w:r>
              <w:rPr>
                <w:rFonts w:hint="eastAsia" w:ascii="宋体" w:hAnsi="宋体" w:eastAsia="宋体" w:cs="宋体"/>
                <w:sz w:val="16"/>
                <w:szCs w:val="16"/>
              </w:rPr>
              <w:t xml:space="preserve">    项目完成时间</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2020年12月</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全部完成</w:t>
            </w:r>
          </w:p>
        </w:tc>
        <w:tc>
          <w:tcPr>
            <w:tcW w:w="226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成本指标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pacing w:before="0" w:after="0" w:line="300" w:lineRule="exact"/>
              <w:jc w:val="both"/>
              <w:rPr>
                <w:rFonts w:ascii="宋体" w:hAnsi="宋体" w:eastAsia="宋体" w:cs="宋体"/>
                <w:color w:val="000000"/>
                <w:sz w:val="16"/>
                <w:szCs w:val="16"/>
              </w:rPr>
            </w:pPr>
            <w:r>
              <w:rPr>
                <w:rFonts w:hint="eastAsia" w:ascii="宋体" w:hAnsi="宋体" w:eastAsia="宋体" w:cs="宋体"/>
                <w:b w:val="0"/>
                <w:bCs w:val="0"/>
                <w:sz w:val="16"/>
                <w:szCs w:val="16"/>
              </w:rPr>
              <w:t xml:space="preserve">    储备成品粮油轮换管护费项目资金。</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20万元</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全部支付</w:t>
            </w:r>
          </w:p>
        </w:tc>
        <w:tc>
          <w:tcPr>
            <w:tcW w:w="226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1537"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16"/>
                <w:szCs w:val="16"/>
              </w:rPr>
            </w:pPr>
            <w:r>
              <w:rPr>
                <w:rFonts w:hint="eastAsia" w:ascii="宋体" w:hAnsi="宋体" w:eastAsia="宋体" w:cs="宋体"/>
                <w:sz w:val="16"/>
                <w:szCs w:val="16"/>
              </w:rPr>
              <w:t>社会效益</w:t>
            </w:r>
            <w:r>
              <w:rPr>
                <w:rFonts w:hint="eastAsia" w:ascii="宋体" w:hAnsi="宋体" w:eastAsia="宋体" w:cs="宋体"/>
                <w:sz w:val="16"/>
                <w:szCs w:val="16"/>
              </w:rPr>
              <w:br w:type="textWrapping"/>
            </w:r>
            <w:r>
              <w:rPr>
                <w:rFonts w:hint="eastAsia" w:ascii="宋体" w:hAnsi="宋体" w:eastAsia="宋体" w:cs="宋体"/>
                <w:sz w:val="16"/>
                <w:szCs w:val="16"/>
              </w:rPr>
              <w:t>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spacing w:before="0" w:after="0" w:line="300" w:lineRule="exact"/>
              <w:jc w:val="both"/>
            </w:pPr>
            <w:r>
              <w:rPr>
                <w:rFonts w:hint="eastAsia" w:ascii="宋体" w:hAnsi="宋体" w:eastAsia="宋体" w:cs="宋体"/>
                <w:b w:val="0"/>
                <w:bCs w:val="0"/>
                <w:sz w:val="16"/>
                <w:szCs w:val="16"/>
              </w:rPr>
              <w:t xml:space="preserve">   扎实推进依法管粮，维护粮食流通正常秩序，提高全民的粮食危机和粮食安全意识。</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16"/>
                <w:szCs w:val="16"/>
              </w:rPr>
            </w:pPr>
            <w:r>
              <w:rPr>
                <w:rFonts w:hint="eastAsia" w:ascii="宋体" w:hAnsi="宋体" w:eastAsia="宋体" w:cs="宋体"/>
                <w:sz w:val="16"/>
                <w:szCs w:val="16"/>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16"/>
                <w:szCs w:val="16"/>
              </w:rPr>
            </w:pPr>
            <w:r>
              <w:rPr>
                <w:rFonts w:hint="eastAsia" w:ascii="宋体" w:hAnsi="宋体" w:eastAsia="宋体" w:cs="宋体"/>
                <w:sz w:val="16"/>
                <w:szCs w:val="16"/>
              </w:rPr>
              <w:t>长期</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16"/>
                <w:szCs w:val="16"/>
              </w:rPr>
            </w:pPr>
            <w:r>
              <w:rPr>
                <w:rFonts w:hint="eastAsia" w:ascii="宋体" w:hAnsi="宋体" w:eastAsia="宋体" w:cs="宋体"/>
                <w:sz w:val="16"/>
                <w:szCs w:val="16"/>
              </w:rPr>
              <w:t>达到预期目标</w:t>
            </w:r>
          </w:p>
        </w:tc>
        <w:tc>
          <w:tcPr>
            <w:tcW w:w="2268"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16"/>
                <w:szCs w:val="16"/>
              </w:rPr>
            </w:pPr>
            <w:r>
              <w:rPr>
                <w:rFonts w:hint="eastAsia" w:ascii="宋体" w:hAnsi="宋体" w:eastAsia="宋体" w:cs="宋体"/>
                <w:sz w:val="16"/>
                <w:szCs w:val="16"/>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520"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可持续</w:t>
            </w:r>
            <w:r>
              <w:rPr>
                <w:rFonts w:hint="eastAsia" w:ascii="宋体" w:hAnsi="宋体" w:eastAsia="宋体" w:cs="宋体"/>
                <w:sz w:val="16"/>
                <w:szCs w:val="16"/>
              </w:rPr>
              <w:br w:type="textWrapping"/>
            </w:r>
            <w:r>
              <w:rPr>
                <w:rFonts w:hint="eastAsia" w:ascii="宋体" w:hAnsi="宋体" w:eastAsia="宋体" w:cs="宋体"/>
                <w:sz w:val="16"/>
                <w:szCs w:val="16"/>
              </w:rPr>
              <w:t>影响指标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 xml:space="preserve">    储备成品粮油轮换管护费项目资金。</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长期</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达到预期目标</w:t>
            </w:r>
          </w:p>
        </w:tc>
        <w:tc>
          <w:tcPr>
            <w:tcW w:w="2268"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1024" w:hRule="atLeast"/>
        </w:trPr>
        <w:tc>
          <w:tcPr>
            <w:tcW w:w="4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满意度指标（20分）</w:t>
            </w:r>
          </w:p>
        </w:tc>
        <w:tc>
          <w:tcPr>
            <w:tcW w:w="70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服务对象</w:t>
            </w:r>
            <w:r>
              <w:rPr>
                <w:rFonts w:hint="eastAsia" w:ascii="宋体" w:hAnsi="宋体" w:eastAsia="宋体" w:cs="宋体"/>
                <w:sz w:val="16"/>
                <w:szCs w:val="16"/>
              </w:rPr>
              <w:br w:type="textWrapping"/>
            </w:r>
            <w:r>
              <w:rPr>
                <w:rFonts w:hint="eastAsia" w:ascii="宋体" w:hAnsi="宋体" w:eastAsia="宋体" w:cs="宋体"/>
                <w:sz w:val="16"/>
                <w:szCs w:val="16"/>
              </w:rPr>
              <w:t>满意度</w:t>
            </w:r>
            <w:r>
              <w:rPr>
                <w:rFonts w:hint="eastAsia" w:ascii="宋体" w:hAnsi="宋体" w:eastAsia="宋体" w:cs="宋体"/>
                <w:sz w:val="16"/>
                <w:szCs w:val="16"/>
              </w:rPr>
              <w:br w:type="textWrapping"/>
            </w:r>
            <w:r>
              <w:rPr>
                <w:rFonts w:hint="eastAsia" w:ascii="宋体" w:hAnsi="宋体" w:eastAsia="宋体" w:cs="宋体"/>
                <w:sz w:val="16"/>
                <w:szCs w:val="16"/>
              </w:rPr>
              <w:t>指标</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cs="宋体" w:asciiTheme="minorEastAsia" w:hAnsiTheme="minorEastAsia" w:eastAsiaTheme="minorEastAsia"/>
                <w:kern w:val="2"/>
                <w:sz w:val="16"/>
                <w:szCs w:val="16"/>
              </w:rPr>
              <w:t xml:space="preserve">   </w:t>
            </w:r>
            <w:r>
              <w:rPr>
                <w:rFonts w:hint="eastAsia" w:ascii="宋体" w:hAnsi="宋体" w:eastAsia="宋体" w:cs="宋体"/>
                <w:sz w:val="16"/>
                <w:szCs w:val="16"/>
              </w:rPr>
              <w:t>对服务企业满意度</w:t>
            </w:r>
          </w:p>
        </w:tc>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98%</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达到预期目标</w:t>
            </w:r>
          </w:p>
        </w:tc>
        <w:tc>
          <w:tcPr>
            <w:tcW w:w="226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同效益指标得分计算方式。</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19</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420" w:hRule="atLeast"/>
        </w:trPr>
        <w:tc>
          <w:tcPr>
            <w:tcW w:w="837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sz w:val="16"/>
                <w:szCs w:val="16"/>
              </w:rPr>
              <w:t>总 　　　 分</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sz w:val="16"/>
                <w:szCs w:val="16"/>
              </w:rPr>
              <w:t>99</w:t>
            </w:r>
          </w:p>
        </w:tc>
      </w:tr>
      <w:tr>
        <w:tblPrEx>
          <w:tblCellMar>
            <w:top w:w="0" w:type="dxa"/>
            <w:left w:w="0" w:type="dxa"/>
            <w:bottom w:w="0" w:type="dxa"/>
            <w:right w:w="0" w:type="dxa"/>
          </w:tblCellMar>
        </w:tblPrEx>
        <w:trPr>
          <w:trHeight w:val="1680" w:hRule="atLeast"/>
        </w:trPr>
        <w:tc>
          <w:tcPr>
            <w:tcW w:w="8804" w:type="dxa"/>
            <w:gridSpan w:val="1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sz w:val="16"/>
                <w:szCs w:val="16"/>
              </w:rPr>
              <w:t>注：1.得分一档最高不能超过该指标分值上限。</w:t>
            </w:r>
            <w:r>
              <w:rPr>
                <w:rFonts w:hint="eastAsia" w:ascii="宋体" w:hAnsi="宋体" w:eastAsia="宋体" w:cs="宋体"/>
                <w:sz w:val="16"/>
                <w:szCs w:val="16"/>
              </w:rPr>
              <w:br w:type="textWrapping"/>
            </w:r>
            <w:r>
              <w:rPr>
                <w:rFonts w:hint="eastAsia" w:ascii="宋体" w:hAnsi="宋体" w:eastAsia="宋体" w:cs="宋体"/>
                <w:sz w:val="16"/>
                <w:szCs w:val="16"/>
              </w:rPr>
              <w:t>　　2.定性根据指标完成情况分为：达成预期指标、部分达成预期指标并具有一定效果、未达成预期指标且效果较差三档：分别按照指标值的100-80%（含）、80-50%（含）、50-0%合理确定分值。</w:t>
            </w:r>
            <w:r>
              <w:rPr>
                <w:rFonts w:hint="eastAsia" w:ascii="宋体" w:hAnsi="宋体" w:eastAsia="宋体" w:cs="宋体"/>
                <w:sz w:val="16"/>
                <w:szCs w:val="16"/>
              </w:rPr>
              <w:br w:type="textWrapping"/>
            </w:r>
            <w:r>
              <w:rPr>
                <w:rFonts w:hint="eastAsia" w:ascii="宋体" w:hAnsi="宋体" w:eastAsia="宋体" w:cs="宋体"/>
                <w:sz w:val="16"/>
                <w:szCs w:val="16"/>
              </w:rPr>
              <w:t>　　3.定量指标若为正向指标（即指标值为</w:t>
            </w:r>
            <w:r>
              <w:rPr>
                <w:rFonts w:ascii="仿宋_GB2312" w:hAnsi="宋体" w:eastAsia="仿宋_GB2312" w:cs="仿宋_GB2312"/>
                <w:sz w:val="16"/>
                <w:szCs w:val="16"/>
              </w:rPr>
              <w:t>≥</w:t>
            </w:r>
            <w:r>
              <w:rPr>
                <w:rFonts w:hint="eastAsia" w:ascii="宋体" w:hAnsi="宋体" w:eastAsia="宋体" w:cs="宋体"/>
                <w:sz w:val="16"/>
                <w:szCs w:val="16"/>
              </w:rPr>
              <w:t>**），则得分计算方法：全年实际值（B）/年度指标值（A）</w:t>
            </w:r>
            <w:r>
              <w:rPr>
                <w:rFonts w:ascii="Arial" w:hAnsi="Arial" w:eastAsia="宋体" w:cs="Arial"/>
                <w:sz w:val="16"/>
                <w:szCs w:val="16"/>
              </w:rPr>
              <w:t>×</w:t>
            </w:r>
            <w:r>
              <w:rPr>
                <w:rFonts w:hint="eastAsia" w:ascii="宋体" w:hAnsi="宋体" w:eastAsia="宋体" w:cs="宋体"/>
                <w:sz w:val="16"/>
                <w:szCs w:val="16"/>
              </w:rPr>
              <w:t>该指标分值；若定量指标为反向指标（即指标值为</w:t>
            </w:r>
            <w:r>
              <w:rPr>
                <w:rFonts w:ascii="仿宋_GB2312" w:hAnsi="宋体" w:eastAsia="仿宋_GB2312" w:cs="仿宋_GB2312"/>
                <w:sz w:val="16"/>
                <w:szCs w:val="16"/>
              </w:rPr>
              <w:t>≤</w:t>
            </w:r>
            <w:r>
              <w:rPr>
                <w:rFonts w:hint="eastAsia" w:ascii="宋体" w:hAnsi="宋体" w:eastAsia="宋体" w:cs="宋体"/>
                <w:sz w:val="16"/>
                <w:szCs w:val="16"/>
              </w:rPr>
              <w:t>**），则得分计算方法：年度指标值（A）/全年实际值（B）×该指标分值。</w:t>
            </w:r>
            <w:r>
              <w:rPr>
                <w:rFonts w:hint="eastAsia" w:ascii="宋体" w:hAnsi="宋体" w:eastAsia="宋体" w:cs="宋体"/>
                <w:sz w:val="16"/>
                <w:szCs w:val="16"/>
              </w:rPr>
              <w:br w:type="textWrapping"/>
            </w:r>
            <w:r>
              <w:rPr>
                <w:rFonts w:hint="eastAsia" w:ascii="宋体" w:hAnsi="宋体" w:eastAsia="宋体" w:cs="宋体"/>
                <w:sz w:val="16"/>
                <w:szCs w:val="16"/>
              </w:rPr>
              <w:t>　　4.请在“未完成原因分析”一栏中简要说明偏离目标、不能完成目标的原因及今后改进的措施。</w:t>
            </w:r>
          </w:p>
        </w:tc>
      </w:tr>
    </w:tbl>
    <w:p>
      <w:pPr>
        <w:pStyle w:val="2"/>
      </w:pPr>
    </w:p>
    <w:sectPr>
      <w:pgSz w:w="11906" w:h="16838"/>
      <w:pgMar w:top="1157" w:right="1531" w:bottom="104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9030F"/>
    <w:multiLevelType w:val="singleLevel"/>
    <w:tmpl w:val="02D9030F"/>
    <w:lvl w:ilvl="0" w:tentative="0">
      <w:start w:val="1"/>
      <w:numFmt w:val="chineseCounting"/>
      <w:suff w:val="nothing"/>
      <w:lvlText w:val="（%1）"/>
      <w:lvlJc w:val="left"/>
      <w:rPr>
        <w:rFonts w:hint="eastAsia"/>
      </w:rPr>
    </w:lvl>
  </w:abstractNum>
  <w:abstractNum w:abstractNumId="1">
    <w:nsid w:val="30040D3C"/>
    <w:multiLevelType w:val="singleLevel"/>
    <w:tmpl w:val="30040D3C"/>
    <w:lvl w:ilvl="0" w:tentative="0">
      <w:start w:val="1"/>
      <w:numFmt w:val="chineseCounting"/>
      <w:suff w:val="nothing"/>
      <w:lvlText w:val="%1、"/>
      <w:lvlJc w:val="left"/>
      <w:rPr>
        <w:rFonts w:hint="eastAsia"/>
      </w:rPr>
    </w:lvl>
  </w:abstractNum>
  <w:abstractNum w:abstractNumId="2">
    <w:nsid w:val="60ED536C"/>
    <w:multiLevelType w:val="singleLevel"/>
    <w:tmpl w:val="60ED536C"/>
    <w:lvl w:ilvl="0" w:tentative="0">
      <w:start w:val="1"/>
      <w:numFmt w:val="decimal"/>
      <w:suff w:val="nothing"/>
      <w:lvlText w:val="（%1）"/>
      <w:lvlJc w:val="left"/>
    </w:lvl>
  </w:abstractNum>
  <w:abstractNum w:abstractNumId="3">
    <w:nsid w:val="7AE69997"/>
    <w:multiLevelType w:val="singleLevel"/>
    <w:tmpl w:val="7AE69997"/>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ZWQ5NjgwNmY5MTJlODVhNmE4MzRmOWMxNGNiNWYifQ=="/>
  </w:docVars>
  <w:rsids>
    <w:rsidRoot w:val="0FBE4C56"/>
    <w:rsid w:val="0000080F"/>
    <w:rsid w:val="001733CD"/>
    <w:rsid w:val="001D034A"/>
    <w:rsid w:val="001E1F93"/>
    <w:rsid w:val="001E6C3F"/>
    <w:rsid w:val="00220AF9"/>
    <w:rsid w:val="00253ED3"/>
    <w:rsid w:val="00273D3F"/>
    <w:rsid w:val="00296D3A"/>
    <w:rsid w:val="002B4098"/>
    <w:rsid w:val="002D326D"/>
    <w:rsid w:val="002E169A"/>
    <w:rsid w:val="002E468D"/>
    <w:rsid w:val="00307907"/>
    <w:rsid w:val="004124D2"/>
    <w:rsid w:val="00494AD9"/>
    <w:rsid w:val="004A6DA0"/>
    <w:rsid w:val="004B59EF"/>
    <w:rsid w:val="005E669C"/>
    <w:rsid w:val="0061236F"/>
    <w:rsid w:val="00613F74"/>
    <w:rsid w:val="00622728"/>
    <w:rsid w:val="006B7E72"/>
    <w:rsid w:val="006B7F60"/>
    <w:rsid w:val="006F2BEB"/>
    <w:rsid w:val="00747C96"/>
    <w:rsid w:val="00750238"/>
    <w:rsid w:val="00787A0F"/>
    <w:rsid w:val="007D4F29"/>
    <w:rsid w:val="007E6382"/>
    <w:rsid w:val="008747EB"/>
    <w:rsid w:val="008D23FD"/>
    <w:rsid w:val="00911819"/>
    <w:rsid w:val="009161B8"/>
    <w:rsid w:val="009172FF"/>
    <w:rsid w:val="00943815"/>
    <w:rsid w:val="00974ED9"/>
    <w:rsid w:val="00982358"/>
    <w:rsid w:val="009B052C"/>
    <w:rsid w:val="009B6E8F"/>
    <w:rsid w:val="00A02C3E"/>
    <w:rsid w:val="00A465F9"/>
    <w:rsid w:val="00A52C1D"/>
    <w:rsid w:val="00A61339"/>
    <w:rsid w:val="00A74A71"/>
    <w:rsid w:val="00AD30E2"/>
    <w:rsid w:val="00AF47E3"/>
    <w:rsid w:val="00B6446B"/>
    <w:rsid w:val="00B7625F"/>
    <w:rsid w:val="00BC5237"/>
    <w:rsid w:val="00BD1ED4"/>
    <w:rsid w:val="00BE3D14"/>
    <w:rsid w:val="00C12012"/>
    <w:rsid w:val="00C120E6"/>
    <w:rsid w:val="00C147BB"/>
    <w:rsid w:val="00C83780"/>
    <w:rsid w:val="00C91E30"/>
    <w:rsid w:val="00D63952"/>
    <w:rsid w:val="00D63C3B"/>
    <w:rsid w:val="00DA5CCE"/>
    <w:rsid w:val="00DB6D1D"/>
    <w:rsid w:val="00DF4D69"/>
    <w:rsid w:val="00E009B6"/>
    <w:rsid w:val="00E11573"/>
    <w:rsid w:val="00E20331"/>
    <w:rsid w:val="00E42FAF"/>
    <w:rsid w:val="00E447D1"/>
    <w:rsid w:val="00E52C7F"/>
    <w:rsid w:val="00E96F63"/>
    <w:rsid w:val="00EB323D"/>
    <w:rsid w:val="00EB6F9F"/>
    <w:rsid w:val="00EC3910"/>
    <w:rsid w:val="00ED5483"/>
    <w:rsid w:val="00EE10BB"/>
    <w:rsid w:val="00F2106F"/>
    <w:rsid w:val="00F2602D"/>
    <w:rsid w:val="00F30387"/>
    <w:rsid w:val="00F44FF9"/>
    <w:rsid w:val="00F607D5"/>
    <w:rsid w:val="00F87358"/>
    <w:rsid w:val="00F911BA"/>
    <w:rsid w:val="00FB3F65"/>
    <w:rsid w:val="00FB7448"/>
    <w:rsid w:val="00FF088E"/>
    <w:rsid w:val="01B41965"/>
    <w:rsid w:val="024F76B3"/>
    <w:rsid w:val="02DD468C"/>
    <w:rsid w:val="04C87EA4"/>
    <w:rsid w:val="057229F0"/>
    <w:rsid w:val="0681623A"/>
    <w:rsid w:val="06AE311F"/>
    <w:rsid w:val="06F619AC"/>
    <w:rsid w:val="07262E9F"/>
    <w:rsid w:val="095F41FA"/>
    <w:rsid w:val="09EC206E"/>
    <w:rsid w:val="0A974F1C"/>
    <w:rsid w:val="0C821BE8"/>
    <w:rsid w:val="0FBE4C56"/>
    <w:rsid w:val="10E55829"/>
    <w:rsid w:val="132C5EAE"/>
    <w:rsid w:val="1367627D"/>
    <w:rsid w:val="14547A18"/>
    <w:rsid w:val="151E6D01"/>
    <w:rsid w:val="15516E35"/>
    <w:rsid w:val="17882620"/>
    <w:rsid w:val="18B01295"/>
    <w:rsid w:val="196B0D10"/>
    <w:rsid w:val="1AB867E1"/>
    <w:rsid w:val="1B4A2A90"/>
    <w:rsid w:val="1B5B5ACC"/>
    <w:rsid w:val="1BA10C70"/>
    <w:rsid w:val="1CF62B32"/>
    <w:rsid w:val="1CFD56D9"/>
    <w:rsid w:val="1D1712D2"/>
    <w:rsid w:val="1D525384"/>
    <w:rsid w:val="1D6C30CC"/>
    <w:rsid w:val="209A196D"/>
    <w:rsid w:val="20C8783C"/>
    <w:rsid w:val="21294AFE"/>
    <w:rsid w:val="2129799B"/>
    <w:rsid w:val="22106318"/>
    <w:rsid w:val="223102AE"/>
    <w:rsid w:val="22FB6AEF"/>
    <w:rsid w:val="22FC7EC9"/>
    <w:rsid w:val="23BF11CB"/>
    <w:rsid w:val="24B97048"/>
    <w:rsid w:val="2656624E"/>
    <w:rsid w:val="28DB571A"/>
    <w:rsid w:val="29BB6422"/>
    <w:rsid w:val="2A465E17"/>
    <w:rsid w:val="2C2E7659"/>
    <w:rsid w:val="2C922B86"/>
    <w:rsid w:val="2CA966E2"/>
    <w:rsid w:val="2CE17246"/>
    <w:rsid w:val="2EAE072E"/>
    <w:rsid w:val="30D659CD"/>
    <w:rsid w:val="31DF5A07"/>
    <w:rsid w:val="3328001B"/>
    <w:rsid w:val="33F73D61"/>
    <w:rsid w:val="387D0534"/>
    <w:rsid w:val="39165D20"/>
    <w:rsid w:val="39852E4C"/>
    <w:rsid w:val="39CC5014"/>
    <w:rsid w:val="39F54FFE"/>
    <w:rsid w:val="3A79524D"/>
    <w:rsid w:val="3DD55FF5"/>
    <w:rsid w:val="3E3242A5"/>
    <w:rsid w:val="3EE75A41"/>
    <w:rsid w:val="3F215DA2"/>
    <w:rsid w:val="40980BA4"/>
    <w:rsid w:val="432956E8"/>
    <w:rsid w:val="4466743D"/>
    <w:rsid w:val="45D35BFA"/>
    <w:rsid w:val="471072FE"/>
    <w:rsid w:val="471307BF"/>
    <w:rsid w:val="47DC7081"/>
    <w:rsid w:val="48AB71A7"/>
    <w:rsid w:val="4A595408"/>
    <w:rsid w:val="4A72255D"/>
    <w:rsid w:val="4AE4031D"/>
    <w:rsid w:val="4B2A519F"/>
    <w:rsid w:val="4C9677D5"/>
    <w:rsid w:val="4CCD33AA"/>
    <w:rsid w:val="4CCF3438"/>
    <w:rsid w:val="4E7836A9"/>
    <w:rsid w:val="4E8F09B2"/>
    <w:rsid w:val="4F3E04D9"/>
    <w:rsid w:val="51163849"/>
    <w:rsid w:val="520E56FF"/>
    <w:rsid w:val="54596730"/>
    <w:rsid w:val="567A024B"/>
    <w:rsid w:val="571C0445"/>
    <w:rsid w:val="57AD2AC8"/>
    <w:rsid w:val="581E69D6"/>
    <w:rsid w:val="589115F4"/>
    <w:rsid w:val="58B31CE5"/>
    <w:rsid w:val="593A4BDC"/>
    <w:rsid w:val="5A8D5101"/>
    <w:rsid w:val="5B876F71"/>
    <w:rsid w:val="5BCA3041"/>
    <w:rsid w:val="5C246846"/>
    <w:rsid w:val="5CB25687"/>
    <w:rsid w:val="5DAF3DED"/>
    <w:rsid w:val="5EEB30CF"/>
    <w:rsid w:val="5F144902"/>
    <w:rsid w:val="60C63876"/>
    <w:rsid w:val="64B905F4"/>
    <w:rsid w:val="65E36C40"/>
    <w:rsid w:val="6839385A"/>
    <w:rsid w:val="69C25EC3"/>
    <w:rsid w:val="69C65AA7"/>
    <w:rsid w:val="6AED1438"/>
    <w:rsid w:val="6D0E508C"/>
    <w:rsid w:val="6E1A4400"/>
    <w:rsid w:val="70482964"/>
    <w:rsid w:val="70ED5FC5"/>
    <w:rsid w:val="7126259A"/>
    <w:rsid w:val="717C3494"/>
    <w:rsid w:val="721446D8"/>
    <w:rsid w:val="73611ECC"/>
    <w:rsid w:val="737D7894"/>
    <w:rsid w:val="74896F9E"/>
    <w:rsid w:val="74CC3E20"/>
    <w:rsid w:val="74F7691C"/>
    <w:rsid w:val="75646567"/>
    <w:rsid w:val="77135CDE"/>
    <w:rsid w:val="795178D1"/>
    <w:rsid w:val="79697633"/>
    <w:rsid w:val="79E032DA"/>
    <w:rsid w:val="7A4D0383"/>
    <w:rsid w:val="7AC81005"/>
    <w:rsid w:val="7AED1098"/>
    <w:rsid w:val="7BF7433B"/>
    <w:rsid w:val="7C84022B"/>
    <w:rsid w:val="7C8C34FD"/>
    <w:rsid w:val="7CCF1F49"/>
    <w:rsid w:val="7F296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微软雅黑" w:asciiTheme="minorHAnsi" w:hAnsiTheme="minorHAnsi" w:eastAsiaTheme="majorEastAsia"/>
      <w:color w:val="000000" w:themeColor="text1"/>
      <w:sz w:val="21"/>
      <w:szCs w:val="21"/>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99"/>
    <w:pPr>
      <w:spacing w:before="240" w:after="60"/>
      <w:jc w:val="center"/>
      <w:outlineLvl w:val="0"/>
    </w:pPr>
    <w:rPr>
      <w:rFonts w:ascii="Cambria" w:hAnsi="Cambria"/>
      <w:b/>
      <w:bCs/>
      <w:sz w:val="32"/>
      <w:szCs w:val="32"/>
    </w:rPr>
  </w:style>
  <w:style w:type="paragraph" w:styleId="3">
    <w:name w:val="Date"/>
    <w:basedOn w:val="1"/>
    <w:next w:val="1"/>
    <w:link w:val="19"/>
    <w:autoRedefine/>
    <w:qFormat/>
    <w:uiPriority w:val="0"/>
    <w:pPr>
      <w:ind w:left="100" w:leftChars="2500"/>
    </w:pPr>
  </w:style>
  <w:style w:type="paragraph" w:styleId="4">
    <w:name w:val="footer"/>
    <w:basedOn w:val="1"/>
    <w:link w:val="18"/>
    <w:autoRedefine/>
    <w:qFormat/>
    <w:uiPriority w:val="0"/>
    <w:pPr>
      <w:tabs>
        <w:tab w:val="center" w:pos="4153"/>
        <w:tab w:val="right" w:pos="8306"/>
      </w:tabs>
      <w:snapToGrid w:val="0"/>
      <w:jc w:val="left"/>
    </w:pPr>
    <w:rPr>
      <w:sz w:val="18"/>
      <w:szCs w:val="18"/>
    </w:rPr>
  </w:style>
  <w:style w:type="paragraph" w:styleId="5">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sz w:val="24"/>
    </w:rPr>
  </w:style>
  <w:style w:type="character" w:customStyle="1" w:styleId="9">
    <w:name w:val="font61"/>
    <w:basedOn w:val="8"/>
    <w:autoRedefine/>
    <w:qFormat/>
    <w:uiPriority w:val="0"/>
    <w:rPr>
      <w:rFonts w:hint="default" w:ascii="方正小标宋_GBK" w:hAnsi="方正小标宋_GBK" w:eastAsia="方正小标宋_GBK" w:cs="方正小标宋_GBK"/>
      <w:color w:val="000000"/>
      <w:sz w:val="40"/>
      <w:szCs w:val="40"/>
      <w:u w:val="none"/>
    </w:rPr>
  </w:style>
  <w:style w:type="character" w:customStyle="1" w:styleId="10">
    <w:name w:val="font71"/>
    <w:basedOn w:val="8"/>
    <w:autoRedefine/>
    <w:qFormat/>
    <w:uiPriority w:val="0"/>
    <w:rPr>
      <w:rFonts w:hint="eastAsia" w:ascii="宋体" w:hAnsi="宋体" w:eastAsia="宋体" w:cs="宋体"/>
      <w:color w:val="000000"/>
      <w:sz w:val="20"/>
      <w:szCs w:val="20"/>
      <w:u w:val="none"/>
    </w:rPr>
  </w:style>
  <w:style w:type="character" w:customStyle="1" w:styleId="11">
    <w:name w:val="font31"/>
    <w:basedOn w:val="8"/>
    <w:autoRedefine/>
    <w:qFormat/>
    <w:uiPriority w:val="0"/>
    <w:rPr>
      <w:rFonts w:hint="default" w:ascii="方正小标宋_GBK" w:hAnsi="方正小标宋_GBK" w:eastAsia="方正小标宋_GBK" w:cs="方正小标宋_GBK"/>
      <w:color w:val="000000"/>
      <w:sz w:val="40"/>
      <w:szCs w:val="40"/>
      <w:u w:val="none"/>
    </w:rPr>
  </w:style>
  <w:style w:type="character" w:customStyle="1" w:styleId="12">
    <w:name w:val="font41"/>
    <w:basedOn w:val="8"/>
    <w:autoRedefine/>
    <w:qFormat/>
    <w:uiPriority w:val="0"/>
    <w:rPr>
      <w:rFonts w:hint="eastAsia" w:ascii="宋体" w:hAnsi="宋体" w:eastAsia="宋体" w:cs="宋体"/>
      <w:color w:val="000000"/>
      <w:sz w:val="20"/>
      <w:szCs w:val="20"/>
      <w:u w:val="none"/>
    </w:rPr>
  </w:style>
  <w:style w:type="character" w:customStyle="1" w:styleId="13">
    <w:name w:val="font51"/>
    <w:basedOn w:val="8"/>
    <w:autoRedefine/>
    <w:qFormat/>
    <w:uiPriority w:val="0"/>
    <w:rPr>
      <w:rFonts w:hint="default" w:ascii="方正小标宋_GBK" w:hAnsi="方正小标宋_GBK" w:eastAsia="方正小标宋_GBK" w:cs="方正小标宋_GBK"/>
      <w:color w:val="000000"/>
      <w:sz w:val="40"/>
      <w:szCs w:val="40"/>
      <w:u w:val="none"/>
    </w:rPr>
  </w:style>
  <w:style w:type="character" w:customStyle="1" w:styleId="14">
    <w:name w:val="font11"/>
    <w:basedOn w:val="8"/>
    <w:autoRedefine/>
    <w:qFormat/>
    <w:uiPriority w:val="0"/>
    <w:rPr>
      <w:rFonts w:ascii="Arial" w:hAnsi="Arial" w:cs="Arial"/>
      <w:color w:val="000000"/>
      <w:sz w:val="16"/>
      <w:szCs w:val="16"/>
      <w:u w:val="none"/>
    </w:rPr>
  </w:style>
  <w:style w:type="character" w:customStyle="1" w:styleId="15">
    <w:name w:val="font01"/>
    <w:basedOn w:val="8"/>
    <w:autoRedefine/>
    <w:qFormat/>
    <w:uiPriority w:val="0"/>
    <w:rPr>
      <w:rFonts w:ascii="仿宋_GB2312" w:eastAsia="仿宋_GB2312" w:cs="仿宋_GB2312"/>
      <w:color w:val="000000"/>
      <w:sz w:val="16"/>
      <w:szCs w:val="16"/>
      <w:u w:val="none"/>
    </w:rPr>
  </w:style>
  <w:style w:type="character" w:customStyle="1" w:styleId="16">
    <w:name w:val="font21"/>
    <w:basedOn w:val="8"/>
    <w:autoRedefine/>
    <w:qFormat/>
    <w:uiPriority w:val="0"/>
    <w:rPr>
      <w:rFonts w:hint="eastAsia" w:ascii="宋体" w:hAnsi="宋体" w:eastAsia="宋体" w:cs="宋体"/>
      <w:color w:val="000000"/>
      <w:sz w:val="16"/>
      <w:szCs w:val="16"/>
      <w:u w:val="none"/>
    </w:rPr>
  </w:style>
  <w:style w:type="character" w:customStyle="1" w:styleId="17">
    <w:name w:val="页眉 Char"/>
    <w:basedOn w:val="8"/>
    <w:link w:val="5"/>
    <w:autoRedefine/>
    <w:qFormat/>
    <w:uiPriority w:val="0"/>
    <w:rPr>
      <w:rFonts w:cs="微软雅黑" w:asciiTheme="minorHAnsi" w:hAnsiTheme="minorHAnsi" w:eastAsiaTheme="majorEastAsia"/>
      <w:color w:val="000000" w:themeColor="text1"/>
      <w:sz w:val="18"/>
      <w:szCs w:val="18"/>
    </w:rPr>
  </w:style>
  <w:style w:type="character" w:customStyle="1" w:styleId="18">
    <w:name w:val="页脚 Char"/>
    <w:basedOn w:val="8"/>
    <w:link w:val="4"/>
    <w:autoRedefine/>
    <w:qFormat/>
    <w:uiPriority w:val="0"/>
    <w:rPr>
      <w:rFonts w:cs="微软雅黑" w:asciiTheme="minorHAnsi" w:hAnsiTheme="minorHAnsi" w:eastAsiaTheme="majorEastAsia"/>
      <w:color w:val="000000" w:themeColor="text1"/>
      <w:sz w:val="18"/>
      <w:szCs w:val="18"/>
    </w:rPr>
  </w:style>
  <w:style w:type="character" w:customStyle="1" w:styleId="19">
    <w:name w:val="日期 Char"/>
    <w:basedOn w:val="8"/>
    <w:link w:val="3"/>
    <w:autoRedefine/>
    <w:qFormat/>
    <w:uiPriority w:val="0"/>
    <w:rPr>
      <w:rFonts w:cs="微软雅黑" w:asciiTheme="minorHAnsi" w:hAnsiTheme="minorHAnsi" w:eastAsiaTheme="majorEastAsia"/>
      <w:color w:val="000000" w:themeColor="text1"/>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30E29-6DC0-4383-9656-9E23BB4539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320</Words>
  <Characters>1827</Characters>
  <Lines>15</Lines>
  <Paragraphs>4</Paragraphs>
  <TotalTime>156</TotalTime>
  <ScaleCrop>false</ScaleCrop>
  <LinksUpToDate>false</LinksUpToDate>
  <CharactersWithSpaces>2143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2020-05-28T09:48:00Z</dcterms:created>
  <dc:creator>焦清红</dc:creator>
  <cp:lastModifiedBy>we  are  young</cp:lastModifiedBy>
  <dcterms:modified xsi:type="dcterms:W3CDTF">2024-03-08T02:04:43Z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F2B3EA467490445A95F54BD6A4AD8830_13</vt:lpwstr>
  </property>
</Properties>
</file>