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694690</wp:posOffset>
                </wp:positionV>
                <wp:extent cx="5600065" cy="0"/>
                <wp:effectExtent l="0" t="28575" r="63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5pt;margin-top:54.7pt;height:0pt;width:440.95pt;z-index:251658240;mso-width-relative:page;mso-height-relative:page;" filled="f" stroked="t" coordsize="21600,21600" o:gfxdata="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DH4EXVAAAACgEAAA8AAAAAAAAA&#10;AQAgAAAAIgAAAGRycy9kb3ducmV2LnhtbFBLAQIUABQAAAAIAIdO4kBiuQ072wEAAJ8DAAAOAAAA&#10;AAAAAAEAIAAAACQBAABkcnMvZTJvRG9jLnhtbFBLBQYAAAAABgAGAFkBAABx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宋体"/>
          <w:color w:val="FF0000"/>
          <w:kern w:val="0"/>
          <w:sz w:val="70"/>
          <w:szCs w:val="32"/>
        </w:rPr>
        <w:t>盐  池  县  财  政  局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盐池县财政局关于财政一体化信息系统的正常运行维护经费2020年度绩效自评报告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Calibri" w:eastAsia="仿宋_GB2312" w:cs="宋体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根据《盐池县财政局关于开展2020年部门项目支出绩效自评的通知》（盐财发〔2021〕20号）文件要求，对照绩效自评内容和方法，我局开展了财政一体化信息系统的正常运行维护经费自评工作。现报告如下：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绩效目标下达情况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2020年县财政局下达全县财政一体化信息系统的正常运行维护经费7万元。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盐财（预）指标(2020）1号文件，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指标金额7万元。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项目资金执行情况分析。财政一体化信息系统的正常运行维护经费支付资金7万元。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项目资金管理情况分析。财务严格执行资金相关管理办法进行账务处理，使全县财政一体化信息系统的正常运行维护经费资金合理使用。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总体绩效目标完成情况分析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财政一体化信息系统是财政金财工程的重要组成部分，“金财工程”以财政系统纵横三级网络为支撑，以细化的部门预算为基础，以所有财政收支全部进入国库单一账户为基本模式，以预算指标、用款计划和采购定单为预算执行的要要控制机制，以出纳环节调度集中并实现国库资金的有效调度为特征，实现财政收支全过程监管、以提高财政资金使用效益。为保障全县财政一体化信息系统的正常运行机制，财政安排维护资金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1、产出指标完成情况分析。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1）数量指标。①服务的用户单位数量100家；②服务的用户单位数量4次；③每周提供电话、传真、电子邮件等方式的服务天数5天（2）质量指标。①确保系统软件正常运行天数占运行总天数比率＞99%；②对用户有服务请求和问题及时响应和解决时间＜2小时（3）时效指标。服务期2020年全年（3）成本指标。服务费用≤7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效益指标完成情况分析。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（1）社会效益指标。人工成本、交通成本、代理银行成本有效节约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（2）可持续影响指标。支付的安全性和效率进一步提高。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3、满意度指标完成情况分析。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被服务单位满意率达到96%。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对预算的执行情况全面分析，找出业务与预算之间发生差距的原因，提出改进管理的措施和建议，适时控制预算的执行，确保预算目标的完成。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附件：部门项目支出绩效自评表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盐池县财政局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                        2021年3月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日</w:t>
      </w:r>
    </w:p>
    <w:p>
      <w:pPr>
        <w:rPr>
          <w:rFonts w:ascii="仿宋_GB2312" w:hAnsi="Calibri" w:eastAsia="仿宋_GB2312" w:cs="宋体"/>
          <w:kern w:val="2"/>
          <w:sz w:val="32"/>
          <w:szCs w:val="32"/>
        </w:rPr>
      </w:pPr>
      <w:bookmarkStart w:id="0" w:name="_GoBack"/>
      <w:bookmarkEnd w:id="0"/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  <w:r>
        <w:br w:type="page"/>
      </w:r>
    </w:p>
    <w:tbl>
      <w:tblPr>
        <w:tblStyle w:val="7"/>
        <w:tblW w:w="9073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09"/>
        <w:gridCol w:w="534"/>
        <w:gridCol w:w="316"/>
        <w:gridCol w:w="1682"/>
        <w:gridCol w:w="161"/>
        <w:gridCol w:w="425"/>
        <w:gridCol w:w="709"/>
        <w:gridCol w:w="851"/>
        <w:gridCol w:w="709"/>
        <w:gridCol w:w="1275"/>
        <w:gridCol w:w="425"/>
        <w:gridCol w:w="70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hAnsi="方正小标宋_GBK" w:eastAsia="方正小标宋_GBK" w:cs="方正小标宋_GBK"/>
                <w:sz w:val="40"/>
                <w:szCs w:val="40"/>
              </w:rPr>
              <w:t>部门项目支出绩效自评表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（ 2020年度）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项目名称</w:t>
            </w:r>
          </w:p>
        </w:tc>
        <w:tc>
          <w:tcPr>
            <w:tcW w:w="72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全县财政一体化信息系统的正常运行维护经费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主管部门及代码</w:t>
            </w:r>
          </w:p>
        </w:tc>
        <w:tc>
          <w:tcPr>
            <w:tcW w:w="32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盐池县财政局1164212601015584X3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实施单位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盐池县财政局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项目资金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（万元）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年初预算数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全年执行数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年度资金总额：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  其中：财政拨款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       其他资金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年度总体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目标</w:t>
            </w:r>
          </w:p>
        </w:tc>
        <w:tc>
          <w:tcPr>
            <w:tcW w:w="4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 通过对全县财政一体化信息系统的维护，从而保障全县财政一体化信息系统的正常运行。</w:t>
            </w:r>
          </w:p>
        </w:tc>
        <w:tc>
          <w:tcPr>
            <w:tcW w:w="3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  通过对全县财政一体化信息系统的维护，从而保障全县财政一体化信息系统的正常运行。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绩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效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指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一级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指标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二级指标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三级指标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分值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指标值（A）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全年实际值（B）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得分计算方法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得分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产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出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指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标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（40分）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数量指标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  （1）数量指标。①服务的用户单位数量100家；②服务的用户单位数量4次；③每周提供电话、传真、电子邮件等方式的服务天数5天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达到预期指标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达到预期指标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ascii="Arial" w:hAnsi="Arial" w:eastAsia="宋体" w:cs="Arial"/>
                <w:sz w:val="16"/>
                <w:szCs w:val="16"/>
              </w:rPr>
              <w:t>×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该指标分值记分。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质量指标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 ①确保系统软件正常运行天数占运行总天数比率＞99%；②对用户有服务请求和问题及时响应和解决时间＜2小时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满足出行和航运需求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达到预期指标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时效指标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服务期2020年全年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2020年12月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全部完成</w:t>
            </w:r>
          </w:p>
        </w:tc>
        <w:tc>
          <w:tcPr>
            <w:tcW w:w="19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成本指标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   服务费用≤7万元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30万元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全部支付</w:t>
            </w:r>
          </w:p>
        </w:tc>
        <w:tc>
          <w:tcPr>
            <w:tcW w:w="19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效益指标（40分）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社会效益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 xml:space="preserve">   人工成本、交通成本、代理银行成本有效节约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完善交通网络布局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达到预期指标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可持续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影响指标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6"/>
                <w:szCs w:val="16"/>
              </w:rPr>
              <w:t xml:space="preserve">   支付的安全性和效率进一步提高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中长期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促进交通和民航事业发展</w:t>
            </w: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满意度指标（20分）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服务对象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满意度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2"/>
                <w:sz w:val="16"/>
                <w:szCs w:val="16"/>
              </w:rPr>
              <w:t xml:space="preserve">    群众满意度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≥96%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达到预期指标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同效益指标得分计算方式。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36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总 　　　 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注：1.得分一档最高不能超过该指标分值上限。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　　3.定量指标若为正向指标（即指标值为</w:t>
            </w:r>
            <w:r>
              <w:rPr>
                <w:rFonts w:hint="eastAsia" w:ascii="仿宋_GB2312" w:hAnsi="宋体" w:eastAsia="仿宋_GB2312" w:cs="仿宋_GB2312"/>
                <w:sz w:val="16"/>
                <w:szCs w:val="16"/>
              </w:rPr>
              <w:t>≥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**），则得分计算方法：全年实际值（B）/年度指标值（A）</w:t>
            </w:r>
            <w:r>
              <w:rPr>
                <w:rFonts w:ascii="Arial" w:hAnsi="Arial" w:eastAsia="宋体" w:cs="Arial"/>
                <w:sz w:val="16"/>
                <w:szCs w:val="16"/>
              </w:rPr>
              <w:t>×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该指标分值；若定量指标为反向指标（即指标值为</w:t>
            </w:r>
            <w:r>
              <w:rPr>
                <w:rFonts w:hint="eastAsia" w:ascii="仿宋_GB2312" w:hAnsi="宋体" w:eastAsia="仿宋_GB2312" w:cs="仿宋_GB2312"/>
                <w:sz w:val="16"/>
                <w:szCs w:val="16"/>
              </w:rPr>
              <w:t>≤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**），则得分计算方法：年度指标值（A）/全年实际值（B）×该指标分值。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pStyle w:val="2"/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aj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ajorEastAsia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4C56"/>
    <w:rsid w:val="00017B65"/>
    <w:rsid w:val="00053D5A"/>
    <w:rsid w:val="00085695"/>
    <w:rsid w:val="000D4D69"/>
    <w:rsid w:val="000D6CF9"/>
    <w:rsid w:val="000E1D74"/>
    <w:rsid w:val="000E6326"/>
    <w:rsid w:val="0016369B"/>
    <w:rsid w:val="001D034A"/>
    <w:rsid w:val="001E1F93"/>
    <w:rsid w:val="00253ED3"/>
    <w:rsid w:val="00257EDA"/>
    <w:rsid w:val="00271A82"/>
    <w:rsid w:val="00273D3F"/>
    <w:rsid w:val="00296D3A"/>
    <w:rsid w:val="00297CAD"/>
    <w:rsid w:val="002A57C3"/>
    <w:rsid w:val="002D326D"/>
    <w:rsid w:val="003818D9"/>
    <w:rsid w:val="003C27F4"/>
    <w:rsid w:val="003C5E2D"/>
    <w:rsid w:val="004E2F32"/>
    <w:rsid w:val="00561B16"/>
    <w:rsid w:val="00565D76"/>
    <w:rsid w:val="00665E4B"/>
    <w:rsid w:val="006B5F9C"/>
    <w:rsid w:val="006B7F60"/>
    <w:rsid w:val="006C46C4"/>
    <w:rsid w:val="006E29C0"/>
    <w:rsid w:val="006E2C37"/>
    <w:rsid w:val="007E1496"/>
    <w:rsid w:val="007E6382"/>
    <w:rsid w:val="00852432"/>
    <w:rsid w:val="008B27CC"/>
    <w:rsid w:val="008B6E26"/>
    <w:rsid w:val="008E19F7"/>
    <w:rsid w:val="008F5EE1"/>
    <w:rsid w:val="0094284C"/>
    <w:rsid w:val="0094348F"/>
    <w:rsid w:val="00A20575"/>
    <w:rsid w:val="00A463B1"/>
    <w:rsid w:val="00A74A71"/>
    <w:rsid w:val="00A80D7F"/>
    <w:rsid w:val="00A86207"/>
    <w:rsid w:val="00B6446B"/>
    <w:rsid w:val="00BA0DCD"/>
    <w:rsid w:val="00BD1ED4"/>
    <w:rsid w:val="00BE0D7F"/>
    <w:rsid w:val="00C120E6"/>
    <w:rsid w:val="00C46030"/>
    <w:rsid w:val="00D00718"/>
    <w:rsid w:val="00D31D82"/>
    <w:rsid w:val="00D63952"/>
    <w:rsid w:val="00E05F08"/>
    <w:rsid w:val="00E41A70"/>
    <w:rsid w:val="00E447D1"/>
    <w:rsid w:val="00E51702"/>
    <w:rsid w:val="00EB6F9F"/>
    <w:rsid w:val="00F1598C"/>
    <w:rsid w:val="00F2106F"/>
    <w:rsid w:val="00F43A80"/>
    <w:rsid w:val="00F44D1A"/>
    <w:rsid w:val="00F45883"/>
    <w:rsid w:val="00F74506"/>
    <w:rsid w:val="00FB3F65"/>
    <w:rsid w:val="00FD610A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0FB6480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8">
    <w:name w:val="font61"/>
    <w:basedOn w:val="6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6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3">
    <w:name w:val="font11"/>
    <w:basedOn w:val="6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4">
    <w:name w:val="font01"/>
    <w:basedOn w:val="6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5">
    <w:name w:val="font2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页眉 Char"/>
    <w:basedOn w:val="6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7">
    <w:name w:val="页脚 Char"/>
    <w:basedOn w:val="6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348</Words>
  <Characters>1984</Characters>
  <Lines>16</Lines>
  <Paragraphs>4</Paragraphs>
  <TotalTime>4</TotalTime>
  <ScaleCrop>false</ScaleCrop>
  <LinksUpToDate>false</LinksUpToDate>
  <CharactersWithSpaces>2328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2021-03-29T02:40:00Z</dcterms:created>
  <dc:creator>焦清红</dc:creator>
  <cp:lastModifiedBy>Administrator</cp:lastModifiedBy>
  <cp:lastPrinted>2021-04-01T06:44:16Z</cp:lastPrinted>
  <dcterms:modified xsi:type="dcterms:W3CDTF">2021-04-01T06:44:19Z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