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8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盐池县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统计局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  <w:t>2020年度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eastAsia="zh-CN"/>
        </w:rPr>
        <w:t>第七次全国人口普查项目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绩效自评报告</w:t>
      </w:r>
    </w:p>
    <w:p>
      <w:pPr>
        <w:autoSpaceDE w:val="0"/>
        <w:spacing w:line="560" w:lineRule="exact"/>
        <w:ind w:firstLine="360" w:firstLineChars="200"/>
        <w:rPr>
          <w:rFonts w:ascii="仿宋_GB2312" w:hAnsi="Calibri" w:eastAsia="仿宋_GB2312" w:cs="宋体"/>
          <w:kern w:val="2"/>
          <w:sz w:val="18"/>
          <w:szCs w:val="18"/>
        </w:rPr>
      </w:pPr>
    </w:p>
    <w:p>
      <w:pPr>
        <w:autoSpaceDE w:val="0"/>
        <w:spacing w:line="560" w:lineRule="exact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县财政局：</w:t>
      </w:r>
    </w:p>
    <w:p>
      <w:pPr>
        <w:autoSpaceDE w:val="0"/>
        <w:spacing w:line="560" w:lineRule="exact"/>
        <w:jc w:val="left"/>
        <w:rPr>
          <w:rFonts w:ascii="仿宋_GB2312" w:hAnsi="Calibri" w:eastAsia="仿宋_GB2312" w:cs="宋体"/>
          <w:b/>
          <w:bCs/>
          <w:kern w:val="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 xml:space="preserve">    根据《盐池县财政局关于开展2020年部门项目支出绩效自评的通知》（盐财发〔2021〕20号）文件要求，对照绩效自评内容和方法，我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局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开展了2020年度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第七次人口普查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>项目资金绩效自评工作。现报告如下：</w:t>
      </w:r>
    </w:p>
    <w:p>
      <w:pPr>
        <w:pStyle w:val="2"/>
        <w:numPr>
          <w:ilvl w:val="0"/>
          <w:numId w:val="1"/>
        </w:numPr>
        <w:spacing w:before="0" w:after="0" w:line="560" w:lineRule="exact"/>
        <w:ind w:firstLine="640" w:firstLineChars="200"/>
        <w:jc w:val="both"/>
        <w:rPr>
          <w:rFonts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绩效目标下达情况</w:t>
      </w:r>
    </w:p>
    <w:p>
      <w:pPr>
        <w:pStyle w:val="2"/>
        <w:spacing w:before="0" w:after="0" w:line="560" w:lineRule="exact"/>
        <w:ind w:firstLine="640" w:firstLineChars="200"/>
        <w:jc w:val="both"/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2020年县财政局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年初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下达我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局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2020年度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第七次全国人口普查项目经费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30万元,年中追加2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020年度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第七次全国人口普查项目“两员”补助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131.94万元，全年共下达两笔资金，161.94万元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。</w:t>
      </w:r>
    </w:p>
    <w:p>
      <w:pPr>
        <w:pStyle w:val="2"/>
        <w:numPr>
          <w:ilvl w:val="0"/>
          <w:numId w:val="1"/>
        </w:numPr>
        <w:spacing w:before="0" w:after="0" w:line="560" w:lineRule="exact"/>
        <w:ind w:firstLine="640" w:firstLineChars="200"/>
        <w:jc w:val="both"/>
        <w:rPr>
          <w:rFonts w:ascii="黑体" w:hAnsi="黑体" w:eastAsia="黑体" w:cs="黑体"/>
          <w:b w:val="0"/>
          <w:bCs w:val="0"/>
          <w:kern w:val="2"/>
        </w:rPr>
      </w:pPr>
      <w:r>
        <w:rPr>
          <w:rFonts w:hint="eastAsia" w:ascii="黑体" w:hAnsi="黑体" w:eastAsia="黑体" w:cs="黑体"/>
          <w:b w:val="0"/>
          <w:bCs w:val="0"/>
          <w:kern w:val="2"/>
        </w:rPr>
        <w:t>绩效目标完成情况分析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资金投入情况分析</w:t>
      </w:r>
    </w:p>
    <w:p>
      <w:pPr>
        <w:pStyle w:val="2"/>
        <w:spacing w:before="0" w:after="0" w:line="560" w:lineRule="exact"/>
        <w:ind w:firstLine="640" w:firstLineChars="200"/>
        <w:jc w:val="both"/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1.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项目资金到位情况分析。盐财（预)指标（2020）1号文件，指标金额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30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万元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，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年中追加2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020年度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第七次全国人口普查项目“两员”补助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131.94万元，全年共下达两笔资金，161.94万元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。</w:t>
      </w:r>
    </w:p>
    <w:p>
      <w:pPr>
        <w:pStyle w:val="2"/>
        <w:numPr>
          <w:ilvl w:val="0"/>
          <w:numId w:val="0"/>
        </w:numPr>
        <w:spacing w:before="0" w:after="0" w:line="560" w:lineRule="exact"/>
        <w:ind w:firstLine="640" w:firstLineChars="200"/>
        <w:jc w:val="both"/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2.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项目资金执行情况分析。2020年度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第七次全国人口普查项目经费共下达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161.94万元，实</w:t>
      </w:r>
      <w:bookmarkStart w:id="0" w:name="_GoBack"/>
      <w:bookmarkEnd w:id="0"/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际支出154.94万元，结转7万元。支出154.94万元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主要用于印刷费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1.58万元，采集信息费1.65万元，差旅费2.26万，培训费2.5万，委托业务费144.98万元（“两员”补助131.94万元，“两员”意外医疗保险4.04万元，高沙窝普查费2万、花马池镇普查费3万、惠安堡普查费2万、麻黄山普查费2万），劳务费1.97万元。结转7万资金主要用于2021年支付普查数据及资料的整理费，冯记沟和王乐井乡政府普查费。</w:t>
      </w:r>
    </w:p>
    <w:p>
      <w:pPr>
        <w:pStyle w:val="2"/>
        <w:numPr>
          <w:ilvl w:val="0"/>
          <w:numId w:val="0"/>
        </w:numPr>
        <w:spacing w:before="0" w:after="0" w:line="56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3.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项目资金管理情况分析。财务严格执行资金相关管理办法进行账务处理，使2020年度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第七次全国人口普查项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目资金合理使用。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绩效目标完成情况分析</w:t>
      </w:r>
    </w:p>
    <w:p>
      <w:pPr>
        <w:spacing w:line="56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1、产出指标完成情况分析。</w:t>
      </w:r>
    </w:p>
    <w:p>
      <w:pPr>
        <w:pStyle w:val="2"/>
        <w:spacing w:before="0" w:after="0" w:line="56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（1）数量指标。组织普查员入户登记10.5万户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、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29.2万人口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；对119个普查区逐一抽查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。</w:t>
      </w:r>
    </w:p>
    <w:p>
      <w:pPr>
        <w:pStyle w:val="2"/>
        <w:spacing w:before="0" w:after="0" w:line="56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（2）质量指标。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入户登记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率100%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；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质量抽查率100%。</w:t>
      </w:r>
    </w:p>
    <w:p>
      <w:pPr>
        <w:spacing w:line="560" w:lineRule="exact"/>
        <w:ind w:firstLine="640" w:firstLineChars="200"/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（3）时效指标。普查入户登记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从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11月1日开始，11月30日完成。</w:t>
      </w:r>
    </w:p>
    <w:p>
      <w:pPr>
        <w:spacing w:line="560" w:lineRule="exact"/>
        <w:ind w:firstLine="640" w:firstLineChars="200"/>
        <w:rPr>
          <w:rFonts w:hint="default" w:ascii="仿宋_GB2312" w:hAnsi="Calibri" w:eastAsia="仿宋_GB2312" w:cs="宋体"/>
          <w:kern w:val="2"/>
          <w:sz w:val="32"/>
          <w:szCs w:val="32"/>
          <w:lang w:val="en-US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（4）成本指标。普查员补贴131.94万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元，培训及普查等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>23万元。7万元结转2021年支付数据整理等费用。</w:t>
      </w:r>
    </w:p>
    <w:p>
      <w:pPr>
        <w:pStyle w:val="2"/>
        <w:numPr>
          <w:ilvl w:val="0"/>
          <w:numId w:val="3"/>
        </w:numPr>
        <w:spacing w:before="0" w:after="0" w:line="56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效益指标完成情况分析。</w:t>
      </w:r>
    </w:p>
    <w:p>
      <w:pPr>
        <w:pStyle w:val="2"/>
        <w:numPr>
          <w:ilvl w:val="0"/>
          <w:numId w:val="4"/>
        </w:numPr>
        <w:spacing w:before="0" w:after="0" w:line="560" w:lineRule="exact"/>
        <w:ind w:firstLine="640" w:firstLineChars="200"/>
        <w:jc w:val="both"/>
        <w:rPr>
          <w:rFonts w:hint="eastAsia"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经济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>效益指标。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项目支出低于国内市场机构可比支出；项目支出低于国际统计机构可比支出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。</w:t>
      </w:r>
    </w:p>
    <w:p>
      <w:pPr>
        <w:pStyle w:val="2"/>
        <w:numPr>
          <w:ilvl w:val="0"/>
          <w:numId w:val="4"/>
        </w:numPr>
        <w:spacing w:before="0" w:after="0" w:line="560" w:lineRule="exact"/>
        <w:ind w:firstLine="640" w:firstLineChars="20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社会效益指标。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>宣传人口普查知晓率大于百分之九十</w:t>
      </w:r>
      <w:r>
        <w:rPr>
          <w:rFonts w:hint="eastAsia" w:ascii="仿宋_GB2312" w:hAnsi="Calibri" w:eastAsia="仿宋_GB2312" w:cs="宋体"/>
          <w:b w:val="0"/>
          <w:bCs w:val="0"/>
          <w:kern w:val="2"/>
          <w:lang w:eastAsia="zh-CN"/>
        </w:rPr>
        <w:t>。</w:t>
      </w:r>
    </w:p>
    <w:p>
      <w:pPr>
        <w:pStyle w:val="2"/>
        <w:spacing w:before="0" w:after="0" w:line="560" w:lineRule="exact"/>
        <w:ind w:left="640"/>
        <w:jc w:val="both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>3、满意度指标完成情况分析。</w:t>
      </w:r>
    </w:p>
    <w:p>
      <w:pPr>
        <w:autoSpaceDE w:val="0"/>
        <w:spacing w:line="560" w:lineRule="exact"/>
        <w:jc w:val="left"/>
        <w:rPr>
          <w:rFonts w:hint="eastAsia" w:ascii="仿宋_GB2312" w:hAnsi="Calibri" w:eastAsia="仿宋_GB2312" w:cs="宋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 xml:space="preserve">   </w:t>
      </w:r>
      <w:r>
        <w:rPr>
          <w:rFonts w:hint="eastAsia" w:ascii="仿宋_GB2312" w:hAnsi="Calibri" w:eastAsia="仿宋_GB2312" w:cs="宋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被调查住户认可度大于90%，被调查小区认可度大于90%。</w:t>
      </w:r>
    </w:p>
    <w:p>
      <w:pPr>
        <w:pStyle w:val="2"/>
        <w:numPr>
          <w:ilvl w:val="0"/>
          <w:numId w:val="1"/>
        </w:numPr>
        <w:spacing w:before="0" w:after="0" w:line="560" w:lineRule="exact"/>
        <w:ind w:firstLine="640" w:firstLineChars="200"/>
        <w:jc w:val="both"/>
        <w:rPr>
          <w:rFonts w:ascii="黑体" w:hAnsi="黑体" w:eastAsia="黑体" w:cs="黑体"/>
          <w:b w:val="0"/>
          <w:bCs w:val="0"/>
          <w:kern w:val="2"/>
        </w:rPr>
      </w:pPr>
      <w:r>
        <w:rPr>
          <w:rFonts w:hint="eastAsia" w:ascii="黑体" w:hAnsi="黑体" w:eastAsia="黑体" w:cs="黑体"/>
          <w:b w:val="0"/>
          <w:bCs w:val="0"/>
          <w:kern w:val="2"/>
        </w:rPr>
        <w:t>下一步改进措施</w:t>
      </w:r>
    </w:p>
    <w:p>
      <w:pPr>
        <w:adjustRightInd w:val="0"/>
        <w:snapToGrid w:val="0"/>
        <w:spacing w:line="560" w:lineRule="exact"/>
        <w:ind w:firstLine="642"/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通过此次绩效自评，我们在下一步工作中，将继续完善项目资金管理。</w:t>
      </w:r>
    </w:p>
    <w:p>
      <w:pPr>
        <w:spacing w:line="560" w:lineRule="exact"/>
        <w:ind w:firstLine="640" w:firstLineChars="200"/>
        <w:rPr>
          <w:rFonts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>附件：部门项目支出绩效自评表</w:t>
      </w:r>
    </w:p>
    <w:p>
      <w:pPr>
        <w:pStyle w:val="2"/>
        <w:spacing w:line="560" w:lineRule="exact"/>
        <w:rPr>
          <w:rFonts w:ascii="仿宋_GB2312" w:hAnsi="Calibri" w:eastAsia="仿宋_GB2312" w:cs="宋体"/>
          <w:b w:val="0"/>
          <w:bCs w:val="0"/>
          <w:kern w:val="2"/>
        </w:rPr>
      </w:pPr>
    </w:p>
    <w:p/>
    <w:p/>
    <w:p>
      <w:pPr>
        <w:spacing w:line="560" w:lineRule="exact"/>
        <w:jc w:val="left"/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</w:rPr>
        <w:t xml:space="preserve">                   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Calibri" w:eastAsia="仿宋_GB2312" w:cs="宋体"/>
          <w:kern w:val="2"/>
          <w:sz w:val="32"/>
          <w:szCs w:val="32"/>
        </w:rPr>
        <w:t xml:space="preserve">  盐池县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eastAsia="zh-CN"/>
        </w:rPr>
        <w:t>统计局</w:t>
      </w:r>
    </w:p>
    <w:p>
      <w:pPr>
        <w:pStyle w:val="2"/>
        <w:spacing w:line="560" w:lineRule="exact"/>
        <w:jc w:val="left"/>
        <w:rPr>
          <w:rFonts w:ascii="仿宋_GB2312" w:hAnsi="Calibri" w:eastAsia="仿宋_GB2312" w:cs="宋体"/>
          <w:b w:val="0"/>
          <w:bCs w:val="0"/>
          <w:kern w:val="2"/>
        </w:rPr>
      </w:pPr>
      <w:r>
        <w:rPr>
          <w:rFonts w:hint="eastAsia" w:ascii="仿宋_GB2312" w:hAnsi="Calibri" w:eastAsia="仿宋_GB2312" w:cs="宋体"/>
          <w:b w:val="0"/>
          <w:bCs w:val="0"/>
          <w:kern w:val="2"/>
        </w:rPr>
        <w:t xml:space="preserve">                              </w:t>
      </w:r>
      <w:r>
        <w:rPr>
          <w:rFonts w:hint="eastAsia" w:ascii="仿宋_GB2312" w:hAnsi="Calibri" w:eastAsia="仿宋_GB2312" w:cs="宋体"/>
          <w:b w:val="0"/>
          <w:bCs w:val="0"/>
          <w:kern w:val="2"/>
          <w:lang w:val="en-US" w:eastAsia="zh-CN"/>
        </w:rPr>
        <w:t xml:space="preserve"> </w:t>
      </w:r>
      <w:r>
        <w:rPr>
          <w:rFonts w:hint="eastAsia" w:ascii="仿宋_GB2312" w:hAnsi="Calibri" w:eastAsia="仿宋_GB2312" w:cs="宋体"/>
          <w:b w:val="0"/>
          <w:bCs w:val="0"/>
          <w:kern w:val="2"/>
        </w:rPr>
        <w:t xml:space="preserve">  2021年3月26日</w:t>
      </w:r>
    </w:p>
    <w:p/>
    <w:tbl>
      <w:tblPr>
        <w:tblStyle w:val="7"/>
        <w:tblW w:w="10120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536"/>
        <w:gridCol w:w="749"/>
        <w:gridCol w:w="1682"/>
        <w:gridCol w:w="376"/>
        <w:gridCol w:w="1029"/>
        <w:gridCol w:w="1171"/>
        <w:gridCol w:w="876"/>
        <w:gridCol w:w="767"/>
        <w:gridCol w:w="456"/>
        <w:gridCol w:w="181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0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 w:themeColor="text1"/>
                <w:kern w:val="0"/>
                <w:sz w:val="40"/>
                <w:szCs w:val="4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部门项目支出绩效自评表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0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 2020年度）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82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第七次全国人口普查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主管部门及代码</w:t>
            </w:r>
          </w:p>
        </w:tc>
        <w:tc>
          <w:tcPr>
            <w:tcW w:w="3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【403】盐池县统计局</w:t>
            </w: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【403001】盐池县统计局本级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89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89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年度资金总额：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161.94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154.94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89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其中：财政拨款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161.94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154.94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89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其他资金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3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目标1：为全面掌握全县人口的基本情况，为研究制定人口政策和经济社会发展规划提供依据，为社会公众提供人口统计信息服务，国务院决定2020年开展第七次全国人口普查。人口普查采用全面调查的方法，以户为单位进行登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目标2：组建普查机构，筹备普查物资及设备，搞好普查宣传，抽调普查人员，划分普查小区，培训普查员。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目标3：自11月1日起，组织普查员进行入户登记，摸清住户的基本情况，内容包括姓名、性别、年龄、民族、国籍、受教育程度、行业、职业、迁移流动、社会保障、婚姻、生育、死亡、住房情况等。</w:t>
            </w:r>
          </w:p>
        </w:tc>
        <w:tc>
          <w:tcPr>
            <w:tcW w:w="50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目标1：为全面掌握全县人口的基本情况，为研究制定人口政策和经济社会发展规划提供依据，为社会公众提供人口统计信息服务，国务院决定2020年开展第七次全国人口普查。人口普查采用全面调查的方法，以户为单位进行登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目标2：组建普查机构，筹备普查物资及设备，搞好普查宣传，抽调普查人员，划分普查小区，培训普查员。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目标3：自11月1日起，组织普查员进行入户登记，摸清住户的基本情况，内容包括姓名、性别、年龄、民族、国籍、受教育程度、行业、职业、迁移流动、社会保障、婚姻、生育、死亡、住房情况等。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指标值（A）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全年实际值（B）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得分计算方法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未完成原因分析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（40分）</w:t>
            </w:r>
          </w:p>
        </w:tc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指标1：组织普查员入户登记</w:t>
            </w: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10万余户，近27万登记人口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10.5万户，29.2万登记人口</w:t>
            </w:r>
          </w:p>
        </w:tc>
        <w:tc>
          <w:tcPr>
            <w:tcW w:w="16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完成值达到指标值，记满分；未达到指标值，按B/A或A/B</w:t>
            </w:r>
            <w:r>
              <w:rPr>
                <w:rStyle w:val="20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该指标分值记分。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指标2：指导督查及质量控制</w:t>
            </w: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对119个普查区逐一抽查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对119个普查区逐一抽查</w:t>
            </w:r>
          </w:p>
        </w:tc>
        <w:tc>
          <w:tcPr>
            <w:tcW w:w="16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指标1：入户登记率</w:t>
            </w: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6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1.若为定性指标，则根据“三档”原则分别按照指标值的100-80%（含）、80-50%（含）、50-0%来记分。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2.若为定量指标，完成值达到指标值，记满分；未达到指标值，按B/A或A/B×该指标分值记分。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指标2：质量抽查率</w:t>
            </w: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6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指标1：普查入户登记</w:t>
            </w: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11月1日-30日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11月1日-30日</w:t>
            </w:r>
          </w:p>
        </w:tc>
        <w:tc>
          <w:tcPr>
            <w:tcW w:w="16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指标1：普查员补贴</w:t>
            </w: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131.94万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131.94万</w:t>
            </w:r>
          </w:p>
        </w:tc>
        <w:tc>
          <w:tcPr>
            <w:tcW w:w="16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指标2：培训及普查等</w:t>
            </w: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30万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23万</w:t>
            </w:r>
          </w:p>
        </w:tc>
        <w:tc>
          <w:tcPr>
            <w:tcW w:w="16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3.8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冯记沟和王乐井乡政府普查费在2021年支付，剩余资金支付普查数据及资料的整理费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（40分）</w:t>
            </w:r>
          </w:p>
        </w:tc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指标1：项目支出是否低于国内市场机构可比支出</w:t>
            </w: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6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1.若为定性指标，则根据“三档”原则分别按照指标值的100-80%（含）、80-50%（含）、50-0%来记分。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2.若为定量指标，完成值达到指标值，记满分；未达到指标值，按B/A或A/B×该指标分值记分。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指标2：项目支出是否低于国际统计机构可比支出</w:t>
            </w: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6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指标1：宣传人口普查知晓率</w:t>
            </w: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＞70%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＞90%</w:t>
            </w:r>
          </w:p>
        </w:tc>
        <w:tc>
          <w:tcPr>
            <w:tcW w:w="16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满意度指标（20分）</w:t>
            </w:r>
          </w:p>
        </w:tc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满意度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指标1：被调查住户认可度</w:t>
            </w: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＞70%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＞90%</w:t>
            </w:r>
          </w:p>
        </w:tc>
        <w:tc>
          <w:tcPr>
            <w:tcW w:w="16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同效益指标得分计算方式。</w:t>
            </w: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指标2：被调查小区认可度</w:t>
            </w: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＞70%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＞90%</w:t>
            </w:r>
          </w:p>
        </w:tc>
        <w:tc>
          <w:tcPr>
            <w:tcW w:w="16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6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 　　　 分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98.8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10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注：1.得分一档最高不能超过该指标分值上限。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　2.定性根据指标完成情况分为：达成预期指标、部分达成预期指标并具有一定效果、未达成预期指标且效果较差三档：分别按照指标值的100-80%（含）、80-50%（含）、50-0%合理确定分值。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　3.定量指标若为正向指标（即指标值为</w:t>
            </w:r>
            <w:r>
              <w:rPr>
                <w:rStyle w:val="21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**），则得分计算方法：全年实际值（B）/年度指标值（A）</w:t>
            </w:r>
            <w:r>
              <w:rPr>
                <w:rStyle w:val="20"/>
                <w:rFonts w:eastAsia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该指标分值；若定量指标为反向指标（即指标值为</w:t>
            </w:r>
            <w:r>
              <w:rPr>
                <w:rStyle w:val="21"/>
                <w:rFonts w:hAnsi="宋体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**），则得分计算方法：年度指标值（A）/全年实际值（B）×该指标分值。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　4.请在“未完成原因分析”一栏中简要说明偏离目标、不能完成目标的原因及今后改进的措施。</w:t>
            </w:r>
          </w:p>
        </w:tc>
      </w:tr>
    </w:tbl>
    <w:p>
      <w:pPr>
        <w:rPr>
          <w:rFonts w:ascii="Cambria" w:hAnsi="Cambria"/>
          <w:sz w:val="32"/>
          <w:szCs w:val="32"/>
        </w:rPr>
      </w:pPr>
    </w:p>
    <w:sectPr>
      <w:pgSz w:w="11906" w:h="16838"/>
      <w:pgMar w:top="1157" w:right="1474" w:bottom="1043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E8E41F"/>
    <w:multiLevelType w:val="singleLevel"/>
    <w:tmpl w:val="C9E8E41F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02D9030F"/>
    <w:multiLevelType w:val="singleLevel"/>
    <w:tmpl w:val="02D9030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0040D3C"/>
    <w:multiLevelType w:val="singleLevel"/>
    <w:tmpl w:val="30040D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0ED536C"/>
    <w:multiLevelType w:val="singleLevel"/>
    <w:tmpl w:val="60ED536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E4C56"/>
    <w:rsid w:val="00021BCB"/>
    <w:rsid w:val="00022B9E"/>
    <w:rsid w:val="00034431"/>
    <w:rsid w:val="00052272"/>
    <w:rsid w:val="00057DCD"/>
    <w:rsid w:val="00083A3A"/>
    <w:rsid w:val="000A2576"/>
    <w:rsid w:val="000D7A80"/>
    <w:rsid w:val="00110C6D"/>
    <w:rsid w:val="0012510E"/>
    <w:rsid w:val="001421B5"/>
    <w:rsid w:val="00187B3D"/>
    <w:rsid w:val="001B71CB"/>
    <w:rsid w:val="00206C15"/>
    <w:rsid w:val="00227B86"/>
    <w:rsid w:val="00282DBB"/>
    <w:rsid w:val="002B11C3"/>
    <w:rsid w:val="00314386"/>
    <w:rsid w:val="00357C6D"/>
    <w:rsid w:val="0037372B"/>
    <w:rsid w:val="003842CC"/>
    <w:rsid w:val="00393F7A"/>
    <w:rsid w:val="003A44E2"/>
    <w:rsid w:val="003C243A"/>
    <w:rsid w:val="003C558E"/>
    <w:rsid w:val="003D2C4F"/>
    <w:rsid w:val="003D6B01"/>
    <w:rsid w:val="003F2C68"/>
    <w:rsid w:val="00404C12"/>
    <w:rsid w:val="00405EB0"/>
    <w:rsid w:val="004145B3"/>
    <w:rsid w:val="00434FA3"/>
    <w:rsid w:val="00463009"/>
    <w:rsid w:val="004A0243"/>
    <w:rsid w:val="004D75B4"/>
    <w:rsid w:val="00504D72"/>
    <w:rsid w:val="00516B65"/>
    <w:rsid w:val="00563A0A"/>
    <w:rsid w:val="005E1246"/>
    <w:rsid w:val="005E59EB"/>
    <w:rsid w:val="00640B8A"/>
    <w:rsid w:val="00646792"/>
    <w:rsid w:val="00677CA1"/>
    <w:rsid w:val="006822C2"/>
    <w:rsid w:val="00697CCC"/>
    <w:rsid w:val="006A3666"/>
    <w:rsid w:val="006A3852"/>
    <w:rsid w:val="00723245"/>
    <w:rsid w:val="007376E7"/>
    <w:rsid w:val="007716CC"/>
    <w:rsid w:val="00771BAC"/>
    <w:rsid w:val="0078517D"/>
    <w:rsid w:val="007A36EB"/>
    <w:rsid w:val="007C28EE"/>
    <w:rsid w:val="007C3F37"/>
    <w:rsid w:val="007C5371"/>
    <w:rsid w:val="007E40F5"/>
    <w:rsid w:val="007F5BB3"/>
    <w:rsid w:val="008151FC"/>
    <w:rsid w:val="008243C3"/>
    <w:rsid w:val="008330C7"/>
    <w:rsid w:val="008516FF"/>
    <w:rsid w:val="00854CAC"/>
    <w:rsid w:val="0088479A"/>
    <w:rsid w:val="00914B73"/>
    <w:rsid w:val="00944C57"/>
    <w:rsid w:val="00973863"/>
    <w:rsid w:val="00976761"/>
    <w:rsid w:val="009971B3"/>
    <w:rsid w:val="009B4A38"/>
    <w:rsid w:val="009B6688"/>
    <w:rsid w:val="00A10B38"/>
    <w:rsid w:val="00A34449"/>
    <w:rsid w:val="00A74A71"/>
    <w:rsid w:val="00AA2082"/>
    <w:rsid w:val="00AA39E8"/>
    <w:rsid w:val="00AB16F1"/>
    <w:rsid w:val="00AD39C2"/>
    <w:rsid w:val="00AD42DA"/>
    <w:rsid w:val="00AD665B"/>
    <w:rsid w:val="00AE0683"/>
    <w:rsid w:val="00B00C00"/>
    <w:rsid w:val="00B04F40"/>
    <w:rsid w:val="00B07E98"/>
    <w:rsid w:val="00B716EA"/>
    <w:rsid w:val="00BA691A"/>
    <w:rsid w:val="00BB25D9"/>
    <w:rsid w:val="00BC0A83"/>
    <w:rsid w:val="00BE79AB"/>
    <w:rsid w:val="00BF3D18"/>
    <w:rsid w:val="00BF697A"/>
    <w:rsid w:val="00C2673E"/>
    <w:rsid w:val="00C26DDF"/>
    <w:rsid w:val="00C27608"/>
    <w:rsid w:val="00C47018"/>
    <w:rsid w:val="00C80A51"/>
    <w:rsid w:val="00CA4A3C"/>
    <w:rsid w:val="00CB521F"/>
    <w:rsid w:val="00CD6956"/>
    <w:rsid w:val="00D20372"/>
    <w:rsid w:val="00D30B68"/>
    <w:rsid w:val="00D33BB5"/>
    <w:rsid w:val="00D456DF"/>
    <w:rsid w:val="00D63952"/>
    <w:rsid w:val="00D93FBC"/>
    <w:rsid w:val="00DB4D11"/>
    <w:rsid w:val="00DB59EC"/>
    <w:rsid w:val="00DB71F1"/>
    <w:rsid w:val="00E07E0A"/>
    <w:rsid w:val="00E2694C"/>
    <w:rsid w:val="00E34A97"/>
    <w:rsid w:val="00E451A2"/>
    <w:rsid w:val="00E57727"/>
    <w:rsid w:val="00EA6DD2"/>
    <w:rsid w:val="00EE5B26"/>
    <w:rsid w:val="00F23D07"/>
    <w:rsid w:val="00F51E07"/>
    <w:rsid w:val="00F6175B"/>
    <w:rsid w:val="00F93D1C"/>
    <w:rsid w:val="00F97AFB"/>
    <w:rsid w:val="00FC0A6A"/>
    <w:rsid w:val="00FD14BE"/>
    <w:rsid w:val="00FF4E16"/>
    <w:rsid w:val="01B41965"/>
    <w:rsid w:val="024F76B3"/>
    <w:rsid w:val="02DD468C"/>
    <w:rsid w:val="04C87EA4"/>
    <w:rsid w:val="057229F0"/>
    <w:rsid w:val="0681623A"/>
    <w:rsid w:val="06AE311F"/>
    <w:rsid w:val="06F619AC"/>
    <w:rsid w:val="07262E9F"/>
    <w:rsid w:val="095F41FA"/>
    <w:rsid w:val="09EC206E"/>
    <w:rsid w:val="0A974F1C"/>
    <w:rsid w:val="0C821BE8"/>
    <w:rsid w:val="0D772442"/>
    <w:rsid w:val="0FBE4C56"/>
    <w:rsid w:val="10E55829"/>
    <w:rsid w:val="132C5EAE"/>
    <w:rsid w:val="1367627D"/>
    <w:rsid w:val="14547A18"/>
    <w:rsid w:val="151E6D01"/>
    <w:rsid w:val="15516E35"/>
    <w:rsid w:val="17882620"/>
    <w:rsid w:val="18B01295"/>
    <w:rsid w:val="196B0D10"/>
    <w:rsid w:val="1AB867E1"/>
    <w:rsid w:val="1B4A2A90"/>
    <w:rsid w:val="1B5B5ACC"/>
    <w:rsid w:val="1B5C6076"/>
    <w:rsid w:val="1B8F5D08"/>
    <w:rsid w:val="1BA10C70"/>
    <w:rsid w:val="1CAB6BD9"/>
    <w:rsid w:val="1CF62B32"/>
    <w:rsid w:val="1CFD56D9"/>
    <w:rsid w:val="1D1712D2"/>
    <w:rsid w:val="1D525384"/>
    <w:rsid w:val="1D6C30CC"/>
    <w:rsid w:val="209A196D"/>
    <w:rsid w:val="20C8783C"/>
    <w:rsid w:val="21294AFE"/>
    <w:rsid w:val="2129799B"/>
    <w:rsid w:val="22106318"/>
    <w:rsid w:val="223102AE"/>
    <w:rsid w:val="22FB6AEF"/>
    <w:rsid w:val="22FC7EC9"/>
    <w:rsid w:val="23BF11CB"/>
    <w:rsid w:val="24B97048"/>
    <w:rsid w:val="2656624E"/>
    <w:rsid w:val="28DB571A"/>
    <w:rsid w:val="29BB6422"/>
    <w:rsid w:val="2A465E17"/>
    <w:rsid w:val="2C2E7659"/>
    <w:rsid w:val="2C922B86"/>
    <w:rsid w:val="2CA966E2"/>
    <w:rsid w:val="2CE17246"/>
    <w:rsid w:val="2EAE072E"/>
    <w:rsid w:val="30D659CD"/>
    <w:rsid w:val="31DF5A07"/>
    <w:rsid w:val="3328001B"/>
    <w:rsid w:val="33F73D61"/>
    <w:rsid w:val="35FF3614"/>
    <w:rsid w:val="387D0534"/>
    <w:rsid w:val="39165D20"/>
    <w:rsid w:val="39852E4C"/>
    <w:rsid w:val="39CC5014"/>
    <w:rsid w:val="39F54FFE"/>
    <w:rsid w:val="3A79524D"/>
    <w:rsid w:val="3DD55FF5"/>
    <w:rsid w:val="3E3242A5"/>
    <w:rsid w:val="3E904ACA"/>
    <w:rsid w:val="3EE75A41"/>
    <w:rsid w:val="40980BA4"/>
    <w:rsid w:val="432956E8"/>
    <w:rsid w:val="4466743D"/>
    <w:rsid w:val="45D35BFA"/>
    <w:rsid w:val="471072FE"/>
    <w:rsid w:val="471307BF"/>
    <w:rsid w:val="47DC7081"/>
    <w:rsid w:val="48AB71A7"/>
    <w:rsid w:val="4A72255D"/>
    <w:rsid w:val="4B2A519F"/>
    <w:rsid w:val="4C9677D5"/>
    <w:rsid w:val="4CCD33AA"/>
    <w:rsid w:val="4CCF3438"/>
    <w:rsid w:val="4E7836A9"/>
    <w:rsid w:val="4E8F09B2"/>
    <w:rsid w:val="4F3E04D9"/>
    <w:rsid w:val="51163849"/>
    <w:rsid w:val="520E56FF"/>
    <w:rsid w:val="567A024B"/>
    <w:rsid w:val="57086693"/>
    <w:rsid w:val="571C0445"/>
    <w:rsid w:val="57AD2AC8"/>
    <w:rsid w:val="581E69D6"/>
    <w:rsid w:val="589115F4"/>
    <w:rsid w:val="58B31CE5"/>
    <w:rsid w:val="593A4BDC"/>
    <w:rsid w:val="5A8D5101"/>
    <w:rsid w:val="5B876F71"/>
    <w:rsid w:val="5BCA3041"/>
    <w:rsid w:val="5C246846"/>
    <w:rsid w:val="5CB25687"/>
    <w:rsid w:val="5DAF3DED"/>
    <w:rsid w:val="5EEB30CF"/>
    <w:rsid w:val="5F144902"/>
    <w:rsid w:val="60C63876"/>
    <w:rsid w:val="64B905F4"/>
    <w:rsid w:val="65E36C40"/>
    <w:rsid w:val="6839385A"/>
    <w:rsid w:val="69C25EC3"/>
    <w:rsid w:val="69C65AA7"/>
    <w:rsid w:val="6AED1438"/>
    <w:rsid w:val="6D0E508C"/>
    <w:rsid w:val="6E1A4400"/>
    <w:rsid w:val="70482964"/>
    <w:rsid w:val="70ED5FC5"/>
    <w:rsid w:val="7126259A"/>
    <w:rsid w:val="717C3494"/>
    <w:rsid w:val="721446D8"/>
    <w:rsid w:val="73611ECC"/>
    <w:rsid w:val="737D7894"/>
    <w:rsid w:val="74896F9E"/>
    <w:rsid w:val="74CC3E20"/>
    <w:rsid w:val="74F7691C"/>
    <w:rsid w:val="75646567"/>
    <w:rsid w:val="77135CDE"/>
    <w:rsid w:val="795178D1"/>
    <w:rsid w:val="79697633"/>
    <w:rsid w:val="79E032DA"/>
    <w:rsid w:val="7A4D0383"/>
    <w:rsid w:val="7AC81005"/>
    <w:rsid w:val="7AED1098"/>
    <w:rsid w:val="7BF7433B"/>
    <w:rsid w:val="7C84022B"/>
    <w:rsid w:val="7C8C34FD"/>
    <w:rsid w:val="7CCF1F49"/>
    <w:rsid w:val="7F296F73"/>
    <w:rsid w:val="7F684E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微软雅黑" w:asciiTheme="minorHAnsi" w:hAnsiTheme="minorHAnsi" w:eastAsiaTheme="majorEastAsia"/>
      <w:color w:val="000000" w:themeColor="text1"/>
      <w:sz w:val="21"/>
      <w:szCs w:val="21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Date"/>
    <w:basedOn w:val="1"/>
    <w:next w:val="1"/>
    <w:link w:val="19"/>
    <w:qFormat/>
    <w:uiPriority w:val="0"/>
    <w:pPr>
      <w:ind w:left="100" w:leftChars="2500"/>
    </w:p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character" w:customStyle="1" w:styleId="9">
    <w:name w:val="font61"/>
    <w:basedOn w:val="8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0">
    <w:name w:val="font7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31"/>
    <w:basedOn w:val="8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51"/>
    <w:basedOn w:val="8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4">
    <w:name w:val="font11"/>
    <w:basedOn w:val="8"/>
    <w:qFormat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15">
    <w:name w:val="font01"/>
    <w:basedOn w:val="8"/>
    <w:qFormat/>
    <w:uiPriority w:val="0"/>
    <w:rPr>
      <w:rFonts w:ascii="仿宋_GB2312" w:eastAsia="仿宋_GB2312" w:cs="仿宋_GB2312"/>
      <w:color w:val="000000"/>
      <w:sz w:val="16"/>
      <w:szCs w:val="16"/>
      <w:u w:val="none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7">
    <w:name w:val="页眉 Char"/>
    <w:basedOn w:val="8"/>
    <w:link w:val="5"/>
    <w:qFormat/>
    <w:uiPriority w:val="0"/>
    <w:rPr>
      <w:rFonts w:cs="微软雅黑" w:asciiTheme="minorHAnsi" w:hAnsiTheme="minorHAnsi" w:eastAsiaTheme="majorEastAsia"/>
      <w:color w:val="000000" w:themeColor="text1"/>
      <w:sz w:val="18"/>
      <w:szCs w:val="18"/>
      <w14:textFill>
        <w14:solidFill>
          <w14:schemeClr w14:val="tx1"/>
        </w14:solidFill>
      </w14:textFill>
    </w:rPr>
  </w:style>
  <w:style w:type="character" w:customStyle="1" w:styleId="18">
    <w:name w:val="页脚 Char"/>
    <w:basedOn w:val="8"/>
    <w:link w:val="4"/>
    <w:qFormat/>
    <w:uiPriority w:val="0"/>
    <w:rPr>
      <w:rFonts w:cs="微软雅黑" w:asciiTheme="minorHAnsi" w:hAnsiTheme="minorHAnsi" w:eastAsiaTheme="majorEastAsia"/>
      <w:color w:val="000000" w:themeColor="text1"/>
      <w:sz w:val="18"/>
      <w:szCs w:val="18"/>
      <w14:textFill>
        <w14:solidFill>
          <w14:schemeClr w14:val="tx1"/>
        </w14:solidFill>
      </w14:textFill>
    </w:rPr>
  </w:style>
  <w:style w:type="character" w:customStyle="1" w:styleId="19">
    <w:name w:val="日期 Char"/>
    <w:basedOn w:val="8"/>
    <w:link w:val="3"/>
    <w:qFormat/>
    <w:uiPriority w:val="0"/>
    <w:rPr>
      <w:rFonts w:cs="微软雅黑" w:asciiTheme="minorHAnsi" w:hAnsiTheme="minorHAnsi" w:eastAsiaTheme="majorEastAsia"/>
      <w:color w:val="000000" w:themeColor="text1"/>
      <w:sz w:val="21"/>
      <w:szCs w:val="21"/>
      <w14:textFill>
        <w14:solidFill>
          <w14:schemeClr w14:val="tx1"/>
        </w14:solidFill>
      </w14:textFill>
    </w:rPr>
  </w:style>
  <w:style w:type="character" w:customStyle="1" w:styleId="20">
    <w:name w:val="font81"/>
    <w:basedOn w:val="8"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21">
    <w:name w:val="font91"/>
    <w:basedOn w:val="8"/>
    <w:uiPriority w:val="0"/>
    <w:rPr>
      <w:rFonts w:ascii="仿宋_GB2312" w:eastAsia="仿宋_GB2312" w:cs="仿宋_GB2312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C08E93-AFFC-4123-8731-BB4D4CAD65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391</Words>
  <Characters>2235</Characters>
  <Lines>18</Lines>
  <Paragraphs>5</Paragraphs>
  <TotalTime>1</TotalTime>
  <ScaleCrop>false</ScaleCrop>
  <LinksUpToDate>false</LinksUpToDate>
  <CharactersWithSpaces>2621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2021-03-29T02:02:00Z</dcterms:created>
  <dc:creator>焦清红</dc:creator>
  <cp:lastModifiedBy>请叫我背锅侠</cp:lastModifiedBy>
  <dcterms:modified xsi:type="dcterms:W3CDTF">2021-04-02T04:07:32Z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C3988B70E89946DC9CC6F533DF510E10</vt:lpwstr>
  </property>
</Properties>
</file>