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盐池县人民医院惠安堡镇分院旧楼维修改造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项目2020年度绩效自评报告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盐池县财政局：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根据《盐池县财政局关于开展2020年部门项目支出绩效自评的通知》（盐财发〔2021〕20号）要求，落实单位绩效主体责任，对照绩效自评内容和方法，我院开展了2020年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盐池县人民医院惠安堡镇分院旧楼维修改造项目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资金执行情况绩效自评工作。现报告如下：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绩效目标批复下达情况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2020年我单位年初预算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盐池县人民医院惠安堡镇分院旧楼维修改造项目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县财政实际拨付资金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100万元，我院按照国家有关规定严格把控资金使用流程，合理分配资金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二、绩效目标完成情况分析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（一）资金投入情况分析。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1.项目资金到位情况分析。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2020年盐池县财政局根据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年初预算拨付惠安堡镇中心卫生院旧楼维修改造资金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2.项目资金执行情况分析。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维修盐池县惠安堡镇中心卫生院旧门诊楼及数字化门诊改造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，共支付2020年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维修申请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万元，执行率为100%。</w:t>
      </w:r>
    </w:p>
    <w:p>
      <w:pPr>
        <w:spacing w:line="56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3.项目资金管理情况分析。</w:t>
      </w:r>
    </w:p>
    <w:p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严格按照财务相关《资金管理办法》进行账务处理，使资金发挥更大效益。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（二）绩效目标完成情况分析。（根据年初绩效目标及指标逐项分析）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1、产出指标完成情况分析。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(1)数量指标：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维修门诊楼一栋，打造数字化门诊一所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(2)质量指标：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旧门诊楼翻新</w:t>
      </w:r>
      <w:r>
        <w:rPr>
          <w:rFonts w:hint="eastAsia" w:ascii="仿宋_GB2312" w:hAnsi="仿宋_GB2312" w:eastAsia="仿宋_GB2312" w:cs="仿宋_GB2312"/>
          <w:sz w:val="32"/>
          <w:szCs w:val="32"/>
        </w:rPr>
        <w:t>率9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数字化门诊标准率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2、效益指标完成情况分析。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(1)社会效益：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就诊病人的舒适率</w:t>
      </w:r>
      <w:r>
        <w:rPr>
          <w:rFonts w:hint="eastAsia" w:ascii="仿宋_GB2312" w:hAnsi="仿宋_GB2312" w:eastAsia="仿宋_GB2312" w:cs="仿宋_GB2312"/>
          <w:sz w:val="32"/>
          <w:szCs w:val="32"/>
        </w:rPr>
        <w:t>90%。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(2)可持续影响：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旧门诊楼及数字化门诊服务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年限大于三十年。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3、满意度指标完成情况分析。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就诊病人及工作人员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满意度大于90%。</w:t>
      </w:r>
    </w:p>
    <w:p>
      <w:pPr>
        <w:ind w:left="420" w:leftChars="20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420" w:leftChars="20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附件：1.部门项目支出绩效自评表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盐池县本级部门项目支出绩效评价统计表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盐池县惠安堡镇中心卫生院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2021年3月31日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28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36"/>
        <w:gridCol w:w="519"/>
        <w:gridCol w:w="2077"/>
        <w:gridCol w:w="437"/>
        <w:gridCol w:w="762"/>
        <w:gridCol w:w="787"/>
        <w:gridCol w:w="841"/>
        <w:gridCol w:w="895"/>
        <w:gridCol w:w="536"/>
        <w:gridCol w:w="1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28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部门项目支出绩效自评表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（ 2020年度）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项目名称</w:t>
            </w:r>
          </w:p>
        </w:tc>
        <w:tc>
          <w:tcPr>
            <w:tcW w:w="77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盐池县人民医院惠安堡镇分院旧楼维修改造项目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主管部门及代码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盐池县卫生健康局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实施单位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盐池县惠安堡镇中心卫生院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项目资金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（万元）</w:t>
            </w: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年初预算数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全年执行数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年度资金总额：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100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138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   其中：财政拨款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100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138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        其他资金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年度总体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目标</w:t>
            </w:r>
          </w:p>
        </w:tc>
        <w:tc>
          <w:tcPr>
            <w:tcW w:w="43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合理分配资金，把资金用在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卫生院的旧楼维修项目中，用以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促进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我院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业务发展和提高上，确保卫生院的医疗、公共卫生等业务健康运转，促进当地的医疗、公共卫生服务发展，提高居民的健康水平。保障基层，以服务群众的看病就医、逐步提高群众的健康水平，促进卫生与健康工作的不断提高和发展为目的。</w:t>
            </w:r>
          </w:p>
        </w:tc>
        <w:tc>
          <w:tcPr>
            <w:tcW w:w="4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年度总体目标完成率大概百分之九十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绩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标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指标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二级指标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三级指标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分值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指标值（A）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全年实际值（B）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得分计算方法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得分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标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（40分）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数量指标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指标1：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维修新的门诊楼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栋</w:t>
            </w:r>
          </w:p>
        </w:tc>
        <w:tc>
          <w:tcPr>
            <w:tcW w:w="17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完成值达到指标值，记满分；未达到指标值，按B/A或A/B×该指标分值记分。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指标2：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打造标准化数字化门诊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所</w:t>
            </w: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质量指标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指标1：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旧门诊楼的翻新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率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≧90%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%</w:t>
            </w:r>
          </w:p>
        </w:tc>
        <w:tc>
          <w:tcPr>
            <w:tcW w:w="17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指标2：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数字化门诊标准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率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≧90%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%</w:t>
            </w: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效益指标（40分）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社会效益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指标1：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就诊病人的舒适率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90%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90%</w:t>
            </w:r>
          </w:p>
        </w:tc>
        <w:tc>
          <w:tcPr>
            <w:tcW w:w="17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3.若为定量指标，完成值达到指标值，记满分；未达到指标值，按B/A或A/B×该指标分值记分。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可持续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影响指标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指标1：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旧门诊楼及数字化门诊服务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年限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≧30年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≧30年</w:t>
            </w: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满意度指标（20分）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服务对象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满意度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指标1：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就诊病人及工作人员满意度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≧90%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≧90%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同效益指标得分计算方式。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总 　　　 分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28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注：1.得分一档最高不能超过该指标分值上限。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　　3.定量指标若为正向指标（即指标值为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**），则得分计算方法：全年实际值（B）/年度指标值（A）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该指标分值；若定量指标为反向指标（即指标值为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**），则得分计算方法：年度指标值（A）/全年实际值（B）×该指标分值。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　　4.请在“未完成原因分析”一栏中简要说明偏离目标、不能完成目标的原因及今后改进的措施。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797" w:bottom="1985" w:left="158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217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15"/>
        <w:gridCol w:w="645"/>
        <w:gridCol w:w="840"/>
        <w:gridCol w:w="1245"/>
        <w:gridCol w:w="720"/>
        <w:gridCol w:w="660"/>
        <w:gridCol w:w="1035"/>
        <w:gridCol w:w="840"/>
        <w:gridCol w:w="1140"/>
        <w:gridCol w:w="990"/>
        <w:gridCol w:w="1118"/>
        <w:gridCol w:w="1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2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盐池县本级部门项目支出绩效评价统计表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72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（2020年度）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单位名称：盐池县惠安堡镇中心卫生院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4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6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项目总数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列入绩效自评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列入绩效重点评价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预算数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执行数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列入绩效自评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列入绩效重点评价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百分率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百分率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资金额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百分率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资金额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百分率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盐池县惠安堡镇中心卫生院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2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注：“百分率”指列入绩效评价的项目数量或资金额占预算数的百分率（%），资金执行数为绩效评价中需要统计纳入的金额。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587" w:right="2098" w:bottom="1797" w:left="1985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4625340</wp:posOffset>
              </wp:positionH>
              <wp:positionV relativeFrom="paragraph">
                <wp:posOffset>-205105</wp:posOffset>
              </wp:positionV>
              <wp:extent cx="7753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2pt;margin-top:-16.15pt;height:18.15pt;width:61.05pt;mso-position-horizontal-relative:margin;z-index:251658240;mso-width-relative:page;mso-height-relative:page;" filled="f" stroked="f" coordsize="21600,21600" o:gfxdata="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saCH2AAAAAkBAAAPAAAAAAAAAAEAIAAAACIAAABkcnMv&#10;ZG93bnJldi54bWxQSwECFAAUAAAACACHTuJAxib/68oBAACZAwAADgAAAAAAAAABACAAAAAn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192405</wp:posOffset>
              </wp:positionH>
              <wp:positionV relativeFrom="paragraph">
                <wp:posOffset>-281305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15pt;margin-top:-22.15pt;height:18.15pt;width:49.05pt;mso-position-horizontal-relative:margin;mso-wrap-style:none;z-index:251659264;mso-width-relative:page;mso-height-relative:page;" filled="f" stroked="f" coordsize="21600,21600" o:gfxdata="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Ql9bTUAAAACQEAAA8AAAAAAAAAAQAgAAAAIgAA&#10;AGRycy9kb3ducmV2LnhtbFBLAQIUABQAAAAIAIdO4kDSVkzU0wEAAKUDAAAOAAAAAAAAAAEAIAAA&#10;ACM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C2CA"/>
    <w:multiLevelType w:val="singleLevel"/>
    <w:tmpl w:val="1662C2CA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firstLine="0"/>
      </w:pPr>
    </w:lvl>
  </w:abstractNum>
  <w:abstractNum w:abstractNumId="1">
    <w:nsid w:val="5C73A794"/>
    <w:multiLevelType w:val="singleLevel"/>
    <w:tmpl w:val="5C73A7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C2E77"/>
    <w:rsid w:val="0EC6465D"/>
    <w:rsid w:val="1EAB4E67"/>
    <w:rsid w:val="453D1D8D"/>
    <w:rsid w:val="47AC2E77"/>
    <w:rsid w:val="6A97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6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2021-04-09T01:24:00Z</dcterms:created>
  <dc:creator>Administrator</dc:creator>
  <cp:lastModifiedBy>Administrator</cp:lastModifiedBy>
  <dcterms:modified xsi:type="dcterms:W3CDTF">2021-04-09T02:29:52Z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