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</w:rPr>
      </w:pPr>
      <w:r>
        <w:rPr>
          <w:rFonts w:hint="eastAsia" w:ascii="小标宋体" w:hAnsi="小标宋体" w:eastAsia="小标宋体" w:cs="小标宋体"/>
          <w:b/>
          <w:bCs/>
          <w:sz w:val="44"/>
          <w:szCs w:val="44"/>
          <w:lang w:val="en-US" w:eastAsia="zh-CN"/>
        </w:rPr>
        <w:t>修建小型公共停车场</w:t>
      </w:r>
      <w:r>
        <w:rPr>
          <w:rFonts w:hint="eastAsia" w:ascii="小标宋体" w:hAnsi="小标宋体" w:eastAsia="小标宋体" w:cs="小标宋体"/>
          <w:b/>
          <w:bCs/>
          <w:sz w:val="44"/>
          <w:szCs w:val="44"/>
          <w:lang w:eastAsia="zh-CN"/>
        </w:rPr>
        <w:t>经费</w:t>
      </w:r>
      <w:r>
        <w:rPr>
          <w:rFonts w:hint="eastAsia" w:ascii="小标宋体" w:hAnsi="小标宋体" w:eastAsia="小标宋体" w:cs="小标宋体"/>
          <w:b/>
          <w:bCs/>
          <w:sz w:val="44"/>
          <w:szCs w:val="44"/>
        </w:rPr>
        <w:t>资金绩效自评总结报告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本级经费</w:t>
      </w:r>
      <w:r>
        <w:rPr>
          <w:rFonts w:hint="eastAsia" w:ascii="仿宋" w:hAnsi="仿宋" w:eastAsia="仿宋" w:cs="仿宋"/>
          <w:sz w:val="32"/>
          <w:szCs w:val="32"/>
        </w:rPr>
        <w:t>资金下达预算及项目情况。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2020年本级经费拨款下达预算30万元。主要用于修建小型公共停车场推进项目。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修建小型公共停车场经费资金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项目本级经费资金绩效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目标设定情况。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具体建设内容指标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(1)围墙工程: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医院外围透视围墙162.5米、停车场围墙护板210米。(2)硬化工程: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卫生院、市场、步行街及沿街拆除空地面包砖硬化合计1761.75平方米，裕民南街两侧停车场硬化1260平方米，农行东侧停车场硬化240平方米，总硬化面积3261.75平方米。(3)牌楼亮化: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卫生院、市场、步行街及沿街牌楼亮化。壁灯4套、洗墙对70套、瓦楞灯210套、 线条灯66米、电气配管60米、电气配线190米。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绩效自评工作开展情况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修建小型停车场项目。(1)围墙工程: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医院外围透视围墙162.5米、停车场围墙护板210米。(2)硬化工程: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卫生院、市场、步行街及沿街拆除空地面包砖硬化合计1761.75平方米，裕民南街两侧停车场硬化1260平方米，农行东侧停车场硬化240平方米，总硬化面积3261.75平方米。(3)牌楼亮化: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卫生院、市场、步行街及沿街牌楼亮化。壁灯4套、洗墙对70套、瓦楞灯210套、 线条灯66米、电气配管60米、电气配线190米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项目办工作人员全程按程序进行跟进，要求监理严格按照图纸范围要求进行管理，发现问题及时提出，保证工程质量。施工单位严格按照图纸规范要求施工。并组织了镇村干部对该项目进行竣工验收。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绩效目标自评完成情况分析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2020年我镇修建小型公共停车场经费本级经费资金30万元，于2020年本级经费拨款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下达指标30万元，资金到位率100%。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2.项目资金执行情况分析。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资金全部用于修建小型停车场等建设方面的经费及各项相关支出。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我镇盐池县修建小型停车场资金严格按照盐政办发[2015]13号文件</w:t>
      </w: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《盐池县专项资金监督管理办法》，严格执行财经纪律，在资金用途、支付条件、支付计划等方面，按照分级责任制，费用分管领导和财务人员分别审核签字，主要领导最终确认签字制，会计核算准确、财务资料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产出指标完成情况分析。包括产出数量、质量、时效、以及成本指标完成情况。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(1)数量指标。总硬化面积3261.75平方米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，停车场硬化1260平方米，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改善居民生活环境与出行。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(2)质量指标。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各村做为基层工作的最前沿，是党和政府与群众联系的桥梁和纽带。年初计划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该工程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建设合格率达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100%以上，实际实施中合格率达到了100%。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(3)时效指标。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工程完成及时率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计划指标100％，实际完成100%。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效益指标完成情况分析。包括项目所产生的经济效益、社会效益、生态效益、可持续影响等。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）社会效益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环境卫生得以提升改善；农户出行便捷，节约出行时间。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生态效益指标：居民生活方便率提升60％，通过宣传提高群众环保意识。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（3）可持续影响：环境管理机制健全，保洁员巡护，最大化提高居民生活水平与幸福感。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满意度指标完成情况分析。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我镇对居民和整体社会效益及满意度等各项指标进行调查，群众对大水坑政府的满意度为90%，达到了预期效果。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（一）我单位根据项目绩效评价指标对各项目量化评价，自评指标得90分。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（二）项目主管领导将对绩效自评结果进行抽查，将绩效自评结果与下一年度项目预算安排挂钩，作为以后年度项目立项和经费支持的重要依据。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（三）按照财政部门的统一要求，对绩效评价情况进行公开。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五、绩效自评结果拟应用和公开情况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1.我单位根据专项绩效评定指标对该项目量化评价，自评指标得分90分。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2.将项目支出后的实际状况与项目申报的绩效目标进行对比分析。按项目实际支出和项目申报绩效目标进行对比分析自评得分90分，该项目均与批复下达相符。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3.项目通过中国采购与招标网、中国招标投标公共服务平台公示公开。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附件：</w:t>
      </w:r>
      <w:bookmarkStart w:id="0" w:name="_GoBack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修建小型停车场本级经费</w:t>
      </w:r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绩效目标自评表</w:t>
      </w: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9554CF"/>
    <w:multiLevelType w:val="singleLevel"/>
    <w:tmpl w:val="D39554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599BA7"/>
    <w:multiLevelType w:val="singleLevel"/>
    <w:tmpl w:val="06599BA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C292112"/>
    <w:multiLevelType w:val="singleLevel"/>
    <w:tmpl w:val="5C29211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C1F2B"/>
    <w:rsid w:val="04A116FF"/>
    <w:rsid w:val="04F16813"/>
    <w:rsid w:val="05216F00"/>
    <w:rsid w:val="05445BC9"/>
    <w:rsid w:val="06B514DD"/>
    <w:rsid w:val="07E3767F"/>
    <w:rsid w:val="07FF5342"/>
    <w:rsid w:val="087C6B95"/>
    <w:rsid w:val="09494B95"/>
    <w:rsid w:val="09D31B36"/>
    <w:rsid w:val="0C0B3D2C"/>
    <w:rsid w:val="0C870F54"/>
    <w:rsid w:val="0F6F397E"/>
    <w:rsid w:val="0FA37F4D"/>
    <w:rsid w:val="100B7BE6"/>
    <w:rsid w:val="13CD5CC0"/>
    <w:rsid w:val="140E6674"/>
    <w:rsid w:val="191E3C71"/>
    <w:rsid w:val="1A7E71A9"/>
    <w:rsid w:val="1AA03573"/>
    <w:rsid w:val="1B002A91"/>
    <w:rsid w:val="1B9578F9"/>
    <w:rsid w:val="1C776A4C"/>
    <w:rsid w:val="1F113FB2"/>
    <w:rsid w:val="1F392B67"/>
    <w:rsid w:val="203F0BDA"/>
    <w:rsid w:val="213F61E6"/>
    <w:rsid w:val="24484545"/>
    <w:rsid w:val="25115500"/>
    <w:rsid w:val="254E625D"/>
    <w:rsid w:val="25855238"/>
    <w:rsid w:val="28551719"/>
    <w:rsid w:val="28BF76C0"/>
    <w:rsid w:val="2DCC0456"/>
    <w:rsid w:val="2E0D3D5B"/>
    <w:rsid w:val="303E38DF"/>
    <w:rsid w:val="30EA559B"/>
    <w:rsid w:val="31BB21A9"/>
    <w:rsid w:val="375524C1"/>
    <w:rsid w:val="3AEA24E7"/>
    <w:rsid w:val="3D766F2F"/>
    <w:rsid w:val="3DB9308D"/>
    <w:rsid w:val="3E6B79C0"/>
    <w:rsid w:val="3F052771"/>
    <w:rsid w:val="40043565"/>
    <w:rsid w:val="41B505AA"/>
    <w:rsid w:val="44CA1902"/>
    <w:rsid w:val="45D13014"/>
    <w:rsid w:val="47BC3E6F"/>
    <w:rsid w:val="47CC6775"/>
    <w:rsid w:val="4956406F"/>
    <w:rsid w:val="4C552BF9"/>
    <w:rsid w:val="4D2071B1"/>
    <w:rsid w:val="4F386D0A"/>
    <w:rsid w:val="54855F6D"/>
    <w:rsid w:val="54E0372B"/>
    <w:rsid w:val="58813077"/>
    <w:rsid w:val="59C71F91"/>
    <w:rsid w:val="5B924B1B"/>
    <w:rsid w:val="5C596A23"/>
    <w:rsid w:val="5D51143E"/>
    <w:rsid w:val="5E98664F"/>
    <w:rsid w:val="5F65533D"/>
    <w:rsid w:val="5F9A1573"/>
    <w:rsid w:val="60D87FD0"/>
    <w:rsid w:val="61FA4995"/>
    <w:rsid w:val="63B14B46"/>
    <w:rsid w:val="642F70E5"/>
    <w:rsid w:val="64541275"/>
    <w:rsid w:val="655D3D4B"/>
    <w:rsid w:val="673B5116"/>
    <w:rsid w:val="69A968F1"/>
    <w:rsid w:val="6BDB4766"/>
    <w:rsid w:val="6D154C9A"/>
    <w:rsid w:val="6E8F5327"/>
    <w:rsid w:val="77D44843"/>
    <w:rsid w:val="78686E06"/>
    <w:rsid w:val="79690BD2"/>
    <w:rsid w:val="798B2CFE"/>
    <w:rsid w:val="7A4656CF"/>
    <w:rsid w:val="7AB2634C"/>
    <w:rsid w:val="7AF33E5D"/>
    <w:rsid w:val="7F1C5B21"/>
    <w:rsid w:val="7FFA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2021-03-10T07:56:00Z</dcterms:created>
  <dc:creator>Administrator</dc:creator>
  <cp:lastModifiedBy>Administrator</cp:lastModifiedBy>
  <dcterms:modified xsi:type="dcterms:W3CDTF">2021-04-08T12:48:19Z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