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</w:rPr>
      </w:pPr>
      <w:r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  <w:lang w:eastAsia="zh-CN"/>
        </w:rPr>
        <w:t>宁夏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kern w:val="16"/>
          <w:sz w:val="72"/>
          <w:szCs w:val="72"/>
          <w:u w:val="double"/>
        </w:rPr>
        <w:t>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z w:val="80"/>
          <w:szCs w:val="8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宁夏盐池工业园区管理委员会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原恒瑞生物科技有限公司土壤修复风险评估及水文地质调查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项目2020年度绩效自评报告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县财政局：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根据《盐池县财政局关于开展2020年部门项目支出绩效自评的通知》（盐财发〔2021〕20号）文件要求，对照绩效自评内容和方法，我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开展了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原恒瑞生物科技有限公司土壤修复风险评估及水文地质调查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项目资金绩效自评工作。现报告如下：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绩效目标下达情况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2020年县财政局下达我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委原恒瑞生物科技有限公司土壤修复风险评估及水文地质调查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项目资金共一批，金额为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97.5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资金投入情况分析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项目资金到位情况分析。(2020）盐财预（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基金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字第01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1号文件，指标金额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97.5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项目资金执行情况分析。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原恒瑞生物科技有限公司土壤修复风险评估及水文地质调查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97.5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万元，支付资金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97.5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项目资金管理情况分析。财务严格执行资金相关管理办法进行账务处理，使项目资金合理使用。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</w:rPr>
        <w:t>总体绩效目标完成情况分析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原恒瑞生物科技有限公司土壤修复风险评估及水文地质调查项目。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1、产出指标完成情况分析。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（1）数量指标。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聘请第三方公司对该区域实施环境初步调查、详细调查、风险评估及原恒瑞生物场地水文地质调查。土壤修复初步调查、详细调查及风险评估费用79万元，原恒瑞生物场地水文地质调查费用18.5万元。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（2）质量指标。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调查报告合格率100%。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（3）时效指标。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调查期限2019年11月至完成报告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（4）成本指标。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初步调查、详细调查及风险评估79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万元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eastAsia="zh-CN"/>
        </w:rPr>
        <w:t>；水文地质调查18.5万元。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 2、效益指标完成情况分析。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社会效益指标。对可能造成的污染进行详细调查。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）可持续影响指标。充分保护园区生态环境。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 xml:space="preserve">    3、满意度指标完成情况分析。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园区入驻企业满意度达到9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</w:rPr>
        <w:t>下一步改进措施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2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kern w:val="2"/>
        </w:rPr>
        <w:t xml:space="preserve">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通过此次绩效自评，我们在下一步工作中，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充分保护园区生态环境。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  <w:r>
        <w:rPr>
          <w:rFonts w:hint="default" w:ascii="Times New Roman" w:hAnsi="Times New Roman" w:eastAsia="仿宋_GB2312" w:cs="Times New Roman"/>
          <w:kern w:val="2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</w:rPr>
        <w:t>附件：部门项目支出绩效自评表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Chars="160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宁夏盐池工业园区管理委员会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Chars="1600"/>
        <w:jc w:val="center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2021年3月6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日</w:t>
      </w:r>
    </w:p>
    <w:tbl>
      <w:tblPr>
        <w:tblStyle w:val="7"/>
        <w:tblW w:w="92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708"/>
        <w:gridCol w:w="251"/>
        <w:gridCol w:w="458"/>
        <w:gridCol w:w="1257"/>
        <w:gridCol w:w="586"/>
        <w:gridCol w:w="283"/>
        <w:gridCol w:w="993"/>
        <w:gridCol w:w="850"/>
        <w:gridCol w:w="568"/>
        <w:gridCol w:w="1983"/>
        <w:gridCol w:w="426"/>
        <w:gridCol w:w="4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部门项目支出绩效自评表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 2020年度）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项目名称</w:t>
            </w:r>
          </w:p>
        </w:tc>
        <w:tc>
          <w:tcPr>
            <w:tcW w:w="78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lang w:val="en-US" w:eastAsia="zh-CN"/>
              </w:rPr>
              <w:t>原恒瑞生物科技有限公司土壤修复风险评估及水文地质调查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</w:rPr>
              <w:t>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主管部门及代码</w:t>
            </w:r>
          </w:p>
        </w:tc>
        <w:tc>
          <w:tcPr>
            <w:tcW w:w="35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  <w:t>宁夏盐池工业园区管理委员会126421260647605007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实施单位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宁夏盐池工业园区管理委员会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项目资金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（万元）</w:t>
            </w: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年初预算数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全年执行数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年度资金总额：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97.5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97.5</w:t>
            </w: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97.5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4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       其他资金</w:t>
            </w:r>
          </w:p>
        </w:tc>
        <w:tc>
          <w:tcPr>
            <w:tcW w:w="18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年度总体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目标</w:t>
            </w:r>
          </w:p>
        </w:tc>
        <w:tc>
          <w:tcPr>
            <w:tcW w:w="45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为全面修复原宁夏恒瑞生物科技有限公司厂区土壤，我委根据土壤修复治理要求，聘请第三方公司对该区域实施环境初步调查、详细调查、风险评估及原恒瑞生物场地水文地质调查。土壤修复初步调查、详细调查及风险评估费用79万元，原恒瑞生物场地水文地质调查费用18.5万元。为下一步土壤修复治理提供必要的依据。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 xml:space="preserve">  为全面修复原宁夏恒瑞生物科技有限公司厂区土壤，我委根据土壤修复治理要求，聘请第三方公司对该区域实施环境初步调查、详细调查、风险评估及原恒瑞生物场地水文地质调查。土壤修复初步调查、详细调查及风险评估费用79万元，原恒瑞生物场地水文地质调查费用18.5万元。为下一步土壤修复治理提供必要的依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绩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效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一级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二级指标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三级指标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分值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指标值（A）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全年实际值（B）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得分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未完成原因分析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产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出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标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（40分）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数量指标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初步调查、详细调查及风险评估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水文地质调查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10份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完成值达到指标值，记满分；未达到指标值，按B/A或A/B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质量指标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ind w:firstLine="320" w:firstLineChars="200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调查报告合格率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时效指标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2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调查期限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2019年11月至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全部完成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成本指标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初步调查、详细调查及风险评估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  <w:lang w:eastAsia="zh-CN"/>
              </w:rPr>
              <w:t>，水文地质调查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97.5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万元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全部支付</w:t>
            </w:r>
          </w:p>
        </w:tc>
        <w:tc>
          <w:tcPr>
            <w:tcW w:w="255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社会效益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3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6"/>
                <w:szCs w:val="16"/>
              </w:rPr>
              <w:t>对可能造成的污染进行详细调查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符合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可持续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影响指标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充分保护园区生态环境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中长期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服务对象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满意度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指标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16"/>
                <w:szCs w:val="16"/>
              </w:rPr>
              <w:t>园区入驻企业满意度</w:t>
            </w:r>
          </w:p>
        </w:tc>
        <w:tc>
          <w:tcPr>
            <w:tcW w:w="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≥9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达到预期目标</w:t>
            </w:r>
          </w:p>
        </w:tc>
        <w:tc>
          <w:tcPr>
            <w:tcW w:w="25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80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6"/>
                <w:szCs w:val="16"/>
              </w:rPr>
              <w:t>总 　　　 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92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注：1.得分一档最高不能超过该指标分值上限。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3.定量指标若为正向指标（即指标值为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≥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×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该指标分值；若定量指标为反向指标（即指标值为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</w:rPr>
              <w:t>≤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 w:val="16"/>
                <w:szCs w:val="16"/>
              </w:rPr>
              <w:t>　　4.请在“未完成原因分析”一栏中简要说明偏离目标、不能完成目标的原因及今后改进的措施。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9030F"/>
    <w:multiLevelType w:val="singleLevel"/>
    <w:tmpl w:val="02D9030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040D3C"/>
    <w:multiLevelType w:val="singleLevel"/>
    <w:tmpl w:val="30040D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0ED536C"/>
    <w:multiLevelType w:val="singleLevel"/>
    <w:tmpl w:val="60ED536C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7AE69997"/>
    <w:multiLevelType w:val="singleLevel"/>
    <w:tmpl w:val="7AE699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E4C56"/>
    <w:rsid w:val="000123D8"/>
    <w:rsid w:val="00021A4F"/>
    <w:rsid w:val="000654F2"/>
    <w:rsid w:val="00091DF9"/>
    <w:rsid w:val="001D034A"/>
    <w:rsid w:val="001E1F93"/>
    <w:rsid w:val="00220AF9"/>
    <w:rsid w:val="00253ED3"/>
    <w:rsid w:val="00273D3F"/>
    <w:rsid w:val="00296D3A"/>
    <w:rsid w:val="002B4098"/>
    <w:rsid w:val="002D326D"/>
    <w:rsid w:val="002E169A"/>
    <w:rsid w:val="004A6DA0"/>
    <w:rsid w:val="00504205"/>
    <w:rsid w:val="005B066C"/>
    <w:rsid w:val="0061236F"/>
    <w:rsid w:val="00613F74"/>
    <w:rsid w:val="00622728"/>
    <w:rsid w:val="0066470D"/>
    <w:rsid w:val="006B4184"/>
    <w:rsid w:val="006B7E72"/>
    <w:rsid w:val="006B7F60"/>
    <w:rsid w:val="006C7121"/>
    <w:rsid w:val="006E2A22"/>
    <w:rsid w:val="00737EF9"/>
    <w:rsid w:val="00747C96"/>
    <w:rsid w:val="00750238"/>
    <w:rsid w:val="00752ECF"/>
    <w:rsid w:val="00787C29"/>
    <w:rsid w:val="007D4F29"/>
    <w:rsid w:val="007E1EC3"/>
    <w:rsid w:val="007E6382"/>
    <w:rsid w:val="00836F28"/>
    <w:rsid w:val="008747EB"/>
    <w:rsid w:val="008D4AE2"/>
    <w:rsid w:val="009161B8"/>
    <w:rsid w:val="00943815"/>
    <w:rsid w:val="009B052C"/>
    <w:rsid w:val="009C156E"/>
    <w:rsid w:val="009C6412"/>
    <w:rsid w:val="00A3647C"/>
    <w:rsid w:val="00A465F9"/>
    <w:rsid w:val="00A52C1D"/>
    <w:rsid w:val="00A74A71"/>
    <w:rsid w:val="00AD30E2"/>
    <w:rsid w:val="00AD770F"/>
    <w:rsid w:val="00B6446B"/>
    <w:rsid w:val="00BD1ED4"/>
    <w:rsid w:val="00BE3D14"/>
    <w:rsid w:val="00C12012"/>
    <w:rsid w:val="00C120E6"/>
    <w:rsid w:val="00C8587E"/>
    <w:rsid w:val="00C97A8A"/>
    <w:rsid w:val="00D63952"/>
    <w:rsid w:val="00D63C3B"/>
    <w:rsid w:val="00E05E22"/>
    <w:rsid w:val="00E447D1"/>
    <w:rsid w:val="00E52C7F"/>
    <w:rsid w:val="00EA0F38"/>
    <w:rsid w:val="00EB6F9F"/>
    <w:rsid w:val="00ED365C"/>
    <w:rsid w:val="00EE10BB"/>
    <w:rsid w:val="00F2106F"/>
    <w:rsid w:val="00F3160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9C4CCA"/>
    <w:rsid w:val="06AE311F"/>
    <w:rsid w:val="06F619AC"/>
    <w:rsid w:val="07262E9F"/>
    <w:rsid w:val="078911FF"/>
    <w:rsid w:val="095F41FA"/>
    <w:rsid w:val="09EC206E"/>
    <w:rsid w:val="0A974F1C"/>
    <w:rsid w:val="0C821BE8"/>
    <w:rsid w:val="0EDC245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0E4769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7661D37"/>
    <w:rsid w:val="28DB571A"/>
    <w:rsid w:val="29BB6422"/>
    <w:rsid w:val="2A465E17"/>
    <w:rsid w:val="2C2E7659"/>
    <w:rsid w:val="2C922B86"/>
    <w:rsid w:val="2CA966E2"/>
    <w:rsid w:val="2CE17246"/>
    <w:rsid w:val="2EAE072E"/>
    <w:rsid w:val="30744C79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CEA34C2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65644BA"/>
    <w:rsid w:val="6839385A"/>
    <w:rsid w:val="69C25EC3"/>
    <w:rsid w:val="69C65AA7"/>
    <w:rsid w:val="6AED1438"/>
    <w:rsid w:val="6BE046AA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A53B6F"/>
    <w:rsid w:val="79E032DA"/>
    <w:rsid w:val="7A4D0383"/>
    <w:rsid w:val="7AC81005"/>
    <w:rsid w:val="7AED1098"/>
    <w:rsid w:val="7B220B14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微软雅黑" w:asciiTheme="minorHAnsi" w:hAnsiTheme="minorHAnsi" w:eastAsiaTheme="majorEastAsia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Date"/>
    <w:basedOn w:val="1"/>
    <w:next w:val="1"/>
    <w:link w:val="19"/>
    <w:qFormat/>
    <w:uiPriority w:val="0"/>
    <w:pPr>
      <w:ind w:left="100" w:leftChars="2500"/>
    </w:p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9">
    <w:name w:val="font6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0">
    <w:name w:val="font7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3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14">
    <w:name w:val="font11"/>
    <w:basedOn w:val="8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5">
    <w:name w:val="font01"/>
    <w:basedOn w:val="8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页眉 Char"/>
    <w:basedOn w:val="8"/>
    <w:link w:val="5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8">
    <w:name w:val="页脚 Char"/>
    <w:basedOn w:val="8"/>
    <w:link w:val="4"/>
    <w:qFormat/>
    <w:uiPriority w:val="0"/>
    <w:rPr>
      <w:rFonts w:cs="微软雅黑" w:asciiTheme="minorHAnsi" w:hAnsiTheme="minorHAnsi" w:eastAsiaTheme="majorEastAsia"/>
      <w:color w:val="000000" w:themeColor="text1"/>
      <w:sz w:val="18"/>
      <w:szCs w:val="18"/>
      <w14:textFill>
        <w14:solidFill>
          <w14:schemeClr w14:val="tx1"/>
        </w14:solidFill>
      </w14:textFill>
    </w:rPr>
  </w:style>
  <w:style w:type="character" w:customStyle="1" w:styleId="19">
    <w:name w:val="日期 Char"/>
    <w:basedOn w:val="8"/>
    <w:link w:val="3"/>
    <w:qFormat/>
    <w:uiPriority w:val="0"/>
    <w:rPr>
      <w:rFonts w:cs="微软雅黑" w:asciiTheme="minorHAnsi" w:hAnsiTheme="minorHAnsi" w:eastAsiaTheme="majorEastAsia"/>
      <w:color w:val="000000" w:themeColor="text1"/>
      <w:sz w:val="21"/>
      <w:szCs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288</Words>
  <Characters>1644</Characters>
  <Lines>13</Lines>
  <Paragraphs>3</Paragraphs>
  <TotalTime>3</TotalTime>
  <ScaleCrop>false</ScaleCrop>
  <LinksUpToDate>false</LinksUpToDate>
  <CharactersWithSpaces>1929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2020-05-28T09:48:00Z</dcterms:created>
  <dc:creator>焦清红</dc:creator>
  <cp:lastModifiedBy>Administrator</cp:lastModifiedBy>
  <dcterms:modified xsi:type="dcterms:W3CDTF">2021-04-01T02:01:22Z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BAA2C55C1A7C40069C28C57C2ABFE759</vt:lpwstr>
  </property>
</Properties>
</file>