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694690</wp:posOffset>
                </wp:positionV>
                <wp:extent cx="5600065" cy="0"/>
                <wp:effectExtent l="0" t="28575" r="63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06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5pt;margin-top:54.7pt;height:0pt;width:440.95pt;z-index:251658240;mso-width-relative:page;mso-height-relative:page;" filled="f" stroked="t" coordsize="21600,21600" o:gfxdata="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56yHNQAAAAJAQAADwAAAAAAAAAB&#10;ACAAAAAiAAAAZHJzL2Rvd25yZXYueG1sUEsBAhQAFAAAAAgAh07iQGK5DTvbAQAAnwMAAA4AAAAA&#10;AAAAAQAgAAAAIwEAAGRycy9lMm9Eb2MueG1sUEsFBgAAAAAGAAYAWQEAAHA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宋体"/>
          <w:color w:val="FF0000"/>
          <w:kern w:val="0"/>
          <w:sz w:val="70"/>
          <w:szCs w:val="32"/>
        </w:rPr>
        <w:t>盐  池  县  财  政  局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盐池县财政局关于预算绩效评价2020年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方正仿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贯彻《盐池县全面实施预算绩效管理的实施方案（盐党办发〔2019〕75号），推进落实我单位绩效主体责任，根据《盐池县财政局关于2020年部门项目支出绩效自评的通知》（盐财发〔2021〕20号）文件精神，我单位对预算绩效评价项目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一、绩效目标批复下达情况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根据盐财（预）指标〔2020〕1号文件要求，预算绩效评价项目资金下达45万元，全部为财政拨款。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年度中由县级资金安排下达资金27.4万元。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tabs>
          <w:tab w:val="left" w:pos="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预算绩效评价项目资金实际到位72.4万元，资金到位率100%。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2、项目资金执行情况分析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按照使用要求和支付进度全部落实到位。截至目前实际总支出为72.4万元，其中对县级重点项目及重大资金支出开展绩效评价56.4万元；试点开展部门整体支出绩效评价与社会保险基金绩效评价8万元；开展政府债券资金项目绩效评价8万元；开展绩效培训两期及印制宣传材料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3、项目资金管理情况分析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资金纳入财政一体化系统管理，按照合同要求付款，保证资金的合理使用，便于上级主管部门检查、监督。财务管理制度健全、机构设置明确、会计核算及账务处理符合相关要求。按照项目资金管理办法，项目严格执行了财务管理制度、财务处理及时、会计核算规范。项目资金实际支出72.4万元，年初安排资金45万元，年度中追加资金27.4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tabs>
          <w:tab w:val="left" w:pos="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1、产出指标完成情况分析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数量指标：对县级重点项目及重大资金支出开展绩效评价28个；试点开展部门整体支出绩效评价1个；开展社会保险基金绩效评价1个；开展政府债券资金项目绩效评价2个；开展绩效培训两期及印制宣传材料300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（2）质量指标：对2020年项目支出绩效评价的准确性较高，当年绩效评价完成率100%。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（3）时效指标：在2020年及时开展项目支出绩效评价。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（4）成本指标：根据评估项目计算相应金额，不超过72.4万元。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2、效益指标完成情况分析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(1)经济效益：该项目无经济效益。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（2）社会效益：根据此次预算绩效评价，邀请第三方公司评价2020年部门项目支出绩效，提高财政对重点项目了解程度，提高财政资源配置效率，为今后预算编制绩效目标做基础。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（3）生态效益：该项目无生态效益。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（4）可持续影响：通过此次预算绩效评价，绩效评价结果适用期限为3年。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3、满意度指标完成情况分析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被绩效评价单位满意度大于85%。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年初部门预算的编制过程当中，预算绩效评价项目资金不够准确，导致年中追加资金，故而在以后年度编制部门预算时，应当多结合以前年度项目资金的使用额度，编制合理的预算绩效目标，对于出现的问题应当及时进行整改，减少偏离绩效目标的风险，并把预算绩效评价的结果应用到部门预算编制当中，为以后使用财政资金做参考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（一）我单位根据项目绩效评价指标对各项目量化评价，自评指标得分94分。</w:t>
      </w:r>
    </w:p>
    <w:p>
      <w:pPr>
        <w:keepNext w:val="0"/>
        <w:keepLines w:val="0"/>
        <w:pageBreakBefore w:val="0"/>
        <w:widowControl w:val="0"/>
        <w:tabs>
          <w:tab w:val="left" w:pos="3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盐池县财政局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Theme="minorEastAsia" w:hAnsiTheme="minorEastAsia" w:eastAsiaTheme="minorEastAsia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2021年3月30日</w:t>
      </w:r>
    </w:p>
    <w:p>
      <w:pPr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br w:type="page"/>
      </w:r>
    </w:p>
    <w:tbl>
      <w:tblPr>
        <w:tblW w:w="10540" w:type="dxa"/>
        <w:jc w:val="center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482"/>
        <w:gridCol w:w="677"/>
        <w:gridCol w:w="1776"/>
        <w:gridCol w:w="1775"/>
        <w:gridCol w:w="880"/>
        <w:gridCol w:w="843"/>
        <w:gridCol w:w="821"/>
        <w:gridCol w:w="1006"/>
        <w:gridCol w:w="405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540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0540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 2020年度）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预算绩效评价项目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4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1164212601015584X3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81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6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其中：财政拨款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6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</w:t>
            </w:r>
          </w:p>
        </w:tc>
        <w:tc>
          <w:tcPr>
            <w:tcW w:w="55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对县级重点项目及重大资金支出开展绩评；试点开展部门整体支出绩效评价；开展政府债券基金项目绩效评价；开展社会保险基金绩效评价；开展绩效培训两期及印制宣传材料</w:t>
            </w:r>
          </w:p>
        </w:tc>
        <w:tc>
          <w:tcPr>
            <w:tcW w:w="4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对县级重点项目及重大资金支出开展绩评28个；试点开展部门整体支出绩效评价1个；开展政府债券基金项目绩效评价2个；开展社会保险基金绩效评价1个；开展绩效培训两期及印制宣传材料300份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指标值（A）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全年实际值（B）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得分计算方法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未完成原因分析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对县级重点项目及重大资金支出开展绩评；试点开展部门整体支出绩效评价；开展绩效培训两期及印制宣传材料。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45万元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72.4万元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完成值达到指标值，记满分；未达到指标值，按B/A或A/B</w:t>
            </w:r>
            <w:r>
              <w:rPr>
                <w:rStyle w:val="13"/>
                <w:rFonts w:eastAsia="宋体"/>
                <w:lang w:val="en-US" w:eastAsia="zh-CN" w:bidi="ar"/>
              </w:rPr>
              <w:t>×</w:t>
            </w:r>
            <w:r>
              <w:rPr>
                <w:rStyle w:val="12"/>
                <w:lang w:val="en-US" w:eastAsia="zh-CN" w:bidi="ar"/>
              </w:rPr>
              <w:t>该指标分值记分。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年初预算较低，年度中追加资金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评价的准确性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1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2020年内项目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</w:t>
            </w:r>
          </w:p>
        </w:tc>
        <w:tc>
          <w:tcPr>
            <w:tcW w:w="1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根据评估项目计算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98%</w:t>
            </w:r>
          </w:p>
        </w:tc>
        <w:tc>
          <w:tcPr>
            <w:tcW w:w="1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为今后预算做基础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全县各部门各预算单位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全县各部门各预算单位</w:t>
            </w:r>
          </w:p>
        </w:tc>
        <w:tc>
          <w:tcPr>
            <w:tcW w:w="1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为今后预算提供依据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3年内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年内</w:t>
            </w:r>
          </w:p>
        </w:tc>
        <w:tc>
          <w:tcPr>
            <w:tcW w:w="1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满意度指标（20分）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评价结果准确适用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96%</w:t>
            </w: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同效益指标得分计算方式。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913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　　　 分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  <w:jc w:val="center"/>
        </w:trPr>
        <w:tc>
          <w:tcPr>
            <w:tcW w:w="10540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2"/>
                <w:lang w:val="en-US" w:eastAsia="zh-CN" w:bidi="ar"/>
              </w:rPr>
              <w:t>注：1.得分一档最高不能超过该指标分值上限。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　　3.定量指标若为正向指标（即指标值为</w:t>
            </w:r>
            <w:r>
              <w:rPr>
                <w:rStyle w:val="14"/>
                <w:rFonts w:hAnsi="宋体"/>
                <w:lang w:val="en-US" w:eastAsia="zh-CN" w:bidi="ar"/>
              </w:rPr>
              <w:t>≥</w:t>
            </w:r>
            <w:r>
              <w:rPr>
                <w:rStyle w:val="12"/>
                <w:lang w:val="en-US" w:eastAsia="zh-CN" w:bidi="ar"/>
              </w:rPr>
              <w:t>**），则得分计算方法：全年实际值（B）/年度指标值（A）</w:t>
            </w:r>
            <w:r>
              <w:rPr>
                <w:rStyle w:val="13"/>
                <w:rFonts w:eastAsia="宋体"/>
                <w:lang w:val="en-US" w:eastAsia="zh-CN" w:bidi="ar"/>
              </w:rPr>
              <w:t>×</w:t>
            </w:r>
            <w:r>
              <w:rPr>
                <w:rStyle w:val="12"/>
                <w:lang w:val="en-US" w:eastAsia="zh-CN" w:bidi="ar"/>
              </w:rPr>
              <w:t>该指标分值；若定量指标为反向指标（即指标值为</w:t>
            </w:r>
            <w:r>
              <w:rPr>
                <w:rStyle w:val="14"/>
                <w:rFonts w:hAnsi="宋体"/>
                <w:lang w:val="en-US" w:eastAsia="zh-CN" w:bidi="ar"/>
              </w:rPr>
              <w:t>≤</w:t>
            </w:r>
            <w:r>
              <w:rPr>
                <w:rStyle w:val="12"/>
                <w:lang w:val="en-US" w:eastAsia="zh-CN" w:bidi="ar"/>
              </w:rPr>
              <w:t>**），则得分计算方法：年度指标值（A）/全年实际值（B）×该指标分值。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36"/>
    <w:rsid w:val="000E0BF5"/>
    <w:rsid w:val="001372C7"/>
    <w:rsid w:val="002A6204"/>
    <w:rsid w:val="002D3CCE"/>
    <w:rsid w:val="0032726C"/>
    <w:rsid w:val="003D4BCD"/>
    <w:rsid w:val="00431D79"/>
    <w:rsid w:val="00495F05"/>
    <w:rsid w:val="006C21FA"/>
    <w:rsid w:val="00765673"/>
    <w:rsid w:val="007F4BFA"/>
    <w:rsid w:val="00823E12"/>
    <w:rsid w:val="008D0568"/>
    <w:rsid w:val="009B1F45"/>
    <w:rsid w:val="00AC40E0"/>
    <w:rsid w:val="00C220CA"/>
    <w:rsid w:val="00C33E81"/>
    <w:rsid w:val="00C51BB3"/>
    <w:rsid w:val="00CC598C"/>
    <w:rsid w:val="00CE7B70"/>
    <w:rsid w:val="00D77C36"/>
    <w:rsid w:val="00E549E1"/>
    <w:rsid w:val="00E95806"/>
    <w:rsid w:val="00F77830"/>
    <w:rsid w:val="16A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Char"/>
    <w:basedOn w:val="6"/>
    <w:link w:val="2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51"/>
    <w:basedOn w:val="6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11"/>
    <w:basedOn w:val="6"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4">
    <w:name w:val="font01"/>
    <w:basedOn w:val="6"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701</Words>
  <Characters>772</Characters>
  <Lines>45</Lines>
  <Paragraphs>32</Paragraphs>
  <TotalTime>6</TotalTime>
  <ScaleCrop>false</ScaleCrop>
  <LinksUpToDate>false</LinksUpToDate>
  <CharactersWithSpaces>1441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2021-03-29T06:09:00Z</dcterms:created>
  <dc:creator>1122</dc:creator>
  <cp:lastModifiedBy>Administrator</cp:lastModifiedBy>
  <cp:lastPrinted>2021-03-30T07:11:00Z</cp:lastPrinted>
  <dcterms:modified xsi:type="dcterms:W3CDTF">2021-04-01T06:52:33Z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