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于建档立卡贫困户人均可支配收入抽样调查项目绩效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根据《盐池县财政局关于开展2020年部门项目支出绩效自评的通知》（盐财发〔2021〕20号）文件要求，对照绩效自评内容和方法，我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2020年建档立卡贫困户人均可支配收入抽样调查项目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2020年县财政局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年初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局建档立卡贫困户人均可支配收入抽样调查项目经费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40.1万元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项目资金到位情况分析。盐财预（暂存款）指标【2020】32号文件，指标金额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40.1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项目资金执行情况分析。2020年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度建档立卡贫困户人均可支配收入抽样调查项目40.1万元，实际支出40.1万元。支出40.1万元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主要用于补贴及劳务费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29.27万元，慰问品10.83万元。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建档立卡贫困户人均可支配收入抽样调查项目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default" w:ascii="仿宋_GB2312" w:hAnsi="Calibri" w:eastAsia="仿宋_GB2312" w:cs="宋体"/>
          <w:b w:val="0"/>
          <w:bCs w:val="0"/>
          <w:kern w:val="2"/>
          <w:lang w:val="en-US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（1）数量指标。调查对象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350户，全年实际调查344户，有6户因个人原因没有记账。发布数据产品1个。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（2）质量指标。原始数据采集完成预定要求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100%，主要数据产品达到预期要求100%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（3）时效指标。原始数据采集按期完成并报告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，数据产品按期生产并报告，分析研究按期完成并报告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（4）成本指标。项目支出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百分之百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符合国家或部门相关支出标准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left="-10" w:leftChars="0" w:firstLine="640" w:firstLineChars="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经济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项目支出低于国内市场机构可比支出，项目支出低于国际统计机构可比支出。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left="-10" w:leftChars="0" w:firstLine="640" w:firstLineChars="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主要数据产品未受到质疑，没有产生不良影响，分析研究产品得到运用，政策咨询建议对党政决策有积极影响。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left="-10" w:leftChars="0" w:firstLine="640" w:firstLineChars="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可持续影响指标。项目有益于提高统计数据质量，项目有益于提高政府统计公信力。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被调查住户认可度大于70%，被调查贫困村认可度大于70%。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2021年3月26日</w:t>
      </w:r>
    </w:p>
    <w:p>
      <w:bookmarkStart w:id="0" w:name="_GoBack"/>
      <w:bookmarkEnd w:id="0"/>
    </w:p>
    <w:p/>
    <w:tbl>
      <w:tblPr>
        <w:tblStyle w:val="7"/>
        <w:tblW w:w="5000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36"/>
        <w:gridCol w:w="674"/>
        <w:gridCol w:w="1526"/>
        <w:gridCol w:w="376"/>
        <w:gridCol w:w="920"/>
        <w:gridCol w:w="1047"/>
        <w:gridCol w:w="787"/>
        <w:gridCol w:w="688"/>
        <w:gridCol w:w="377"/>
        <w:gridCol w:w="164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部门项目支出绩效自评表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2020年度）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02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盐池县2020年建档立卡贫困户人均可支配收入抽样调查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主管部门及代码</w:t>
            </w:r>
          </w:p>
        </w:tc>
        <w:tc>
          <w:tcPr>
            <w:tcW w:w="15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【403】盐池县统计局</w:t>
            </w: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【403001】盐池县统计局本级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年度资金总额：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40.1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其中：财政拨款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40.1</w:t>
            </w: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75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其他资金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21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目标1：对8个乡镇的74个脱贫出列村抽样35个村，从每个村随机选出若干个建档立卡贫困户，共选出350户作为调查样本户。对样本户的收入、支出情况进行科学评估和对比分析，来测算全县建档立卡贫困户农民人均可支配收入。</w:t>
            </w:r>
          </w:p>
        </w:tc>
        <w:tc>
          <w:tcPr>
            <w:tcW w:w="24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目标1：对8个乡镇的74个脱贫出列村抽样35个村，从每个村随机选出若干个建档立卡贫困户，共选出350户作为调查样本户。对样本户的收入、支出情况进行科学评估和对比分析，来测算全县建档立卡贫困户农民人均可支配收入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指标值（A）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全年实际值（B）</w:t>
            </w:r>
          </w:p>
        </w:tc>
        <w:tc>
          <w:tcPr>
            <w:tcW w:w="8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得分计算方法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指标1：调查对象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344户</w:t>
            </w:r>
          </w:p>
        </w:tc>
        <w:tc>
          <w:tcPr>
            <w:tcW w:w="8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完成值达到指标值，记满分；未达到指标值，按B/A或A/B</w:t>
            </w:r>
            <w:r>
              <w:rPr>
                <w:rFonts w:ascii="Arial" w:hAnsi="Arial" w:eastAsia="宋体" w:cs="Arial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该指标分值记分。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6户因个人原因未记账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指标2：数据产品（发布数据）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1期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1期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指标1：原始数据采集完成预定要求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指标2：主要数据产品达到预期要求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指标1：原始数据采集是否按期完成并报告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指标2：数据产品是否按期生产并报告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指标3：分析研究是否按期完成并报告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指标1：项目支出是否符合国家或部门相关支出标准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指标1：项目支出是否低于国内市场机构可比支出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指标2：项目支出是否低于国际统计机构可比支出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指标1：主要数据产品未受到质疑，没有产生不良影响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指标2：分析研究产品是否得到运用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指标3：政策咨询建议是否对党政决策有积极影响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指标1：项目是否有益于提高统计数据质量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指标2：项目是否有益于提高政府统计公信力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满意度指标（20分）</w:t>
            </w: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指标1：被调查住户认可度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81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同效益指标得分计算方式。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指标2：被调查贫困村认可度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81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09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 　　　 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3.定量指标若为正向指标（即指标值为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**），则得分计算方法：全年实际值（B）/年度指标值（A）</w:t>
            </w:r>
            <w:r>
              <w:rPr>
                <w:rFonts w:ascii="Arial" w:hAnsi="Arial" w:eastAsia="宋体" w:cs="Arial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该指标分值；若定量指标为反向指标（即指标值为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  <w:pPr>
        <w:ind w:left="-1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741233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165580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391</Words>
  <Characters>2235</Characters>
  <Lines>18</Lines>
  <Paragraphs>5</Paragraphs>
  <TotalTime>16</TotalTime>
  <ScaleCrop>false</ScaleCrop>
  <LinksUpToDate>false</LinksUpToDate>
  <CharactersWithSpaces>2621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请叫我背锅侠</cp:lastModifiedBy>
  <dcterms:modified xsi:type="dcterms:W3CDTF">2021-04-01T07:49:38Z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C3988B70E89946DC9CC6F533DF510E10</vt:lpwstr>
  </property>
</Properties>
</file>