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2"/>
        </w:tabs>
        <w:jc w:val="center"/>
        <w:rPr>
          <w:rFonts w:hint="eastAsia"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20</w:t>
      </w:r>
      <w:r>
        <w:rPr>
          <w:rFonts w:hint="eastAsia" w:ascii="方正小标宋简体" w:hAnsi="方正小标宋简体" w:eastAsia="方正小标宋简体" w:cs="方正小标宋简体"/>
          <w:sz w:val="44"/>
          <w:szCs w:val="44"/>
          <w:lang w:val="en-US" w:eastAsia="zh-CN"/>
        </w:rPr>
        <w:t>20</w:t>
      </w:r>
      <w:r>
        <w:rPr>
          <w:rFonts w:hint="eastAsia" w:ascii="方正小标宋简体" w:hAnsi="方正小标宋简体" w:eastAsia="方正小标宋简体" w:cs="方正小标宋简体"/>
          <w:sz w:val="44"/>
          <w:szCs w:val="44"/>
        </w:rPr>
        <w:t>年度食品监管补助资金区域绩效</w:t>
      </w:r>
    </w:p>
    <w:p>
      <w:pPr>
        <w:tabs>
          <w:tab w:val="left" w:pos="312"/>
        </w:tabs>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目标自评报告</w:t>
      </w:r>
    </w:p>
    <w:p>
      <w:pPr>
        <w:tabs>
          <w:tab w:val="left" w:pos="312"/>
        </w:tabs>
        <w:ind w:firstLine="758" w:firstLineChars="236"/>
        <w:jc w:val="left"/>
        <w:rPr>
          <w:rFonts w:hint="eastAsia" w:ascii="黑体" w:hAnsi="黑体" w:eastAsia="黑体" w:cs="黑体"/>
          <w:b/>
          <w:bCs/>
          <w:sz w:val="32"/>
          <w:szCs w:val="32"/>
        </w:rPr>
      </w:pPr>
      <w:r>
        <w:rPr>
          <w:rFonts w:hint="eastAsia" w:ascii="黑体" w:hAnsi="黑体" w:eastAsia="黑体" w:cs="黑体"/>
          <w:b/>
          <w:bCs/>
          <w:sz w:val="32"/>
          <w:szCs w:val="32"/>
        </w:rPr>
        <w:t>一、绩效目标分解下达情况</w:t>
      </w:r>
    </w:p>
    <w:p>
      <w:pPr>
        <w:tabs>
          <w:tab w:val="left" w:pos="312"/>
        </w:tabs>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（一）中央下达食品监管补助资金预算和绩效目标情况</w:t>
      </w:r>
      <w:r>
        <w:rPr>
          <w:rFonts w:hint="eastAsia" w:ascii="仿宋_GB2312" w:hAnsi="仿宋_GB2312" w:eastAsia="仿宋_GB2312" w:cs="仿宋_GB2312"/>
          <w:sz w:val="32"/>
          <w:szCs w:val="32"/>
        </w:rPr>
        <w:t>。</w:t>
      </w:r>
    </w:p>
    <w:p>
      <w:pPr>
        <w:keepNext w:val="0"/>
        <w:keepLines w:val="0"/>
        <w:pageBreakBefore w:val="0"/>
        <w:widowControl w:val="0"/>
        <w:tabs>
          <w:tab w:val="left" w:pos="312"/>
        </w:tabs>
        <w:kinsoku/>
        <w:wordWrap/>
        <w:overflowPunct/>
        <w:topLinePunct w:val="0"/>
        <w:autoSpaceDE/>
        <w:autoSpaceDN/>
        <w:bidi w:val="0"/>
        <w:adjustRightInd/>
        <w:snapToGrid/>
        <w:spacing w:line="580" w:lineRule="exact"/>
        <w:ind w:left="0" w:leftChars="0"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sz w:val="32"/>
          <w:szCs w:val="32"/>
          <w:lang w:val="en-US" w:eastAsia="zh-CN"/>
        </w:rPr>
        <w:t>盐池县财政局（盐财（预）指标〔2020〕1号）文件形式向盐池县市场监督管理局下达市场监督管理食品安全监管事务专项经费52万元。</w:t>
      </w:r>
    </w:p>
    <w:p>
      <w:pPr>
        <w:tabs>
          <w:tab w:val="left" w:pos="312"/>
        </w:tabs>
        <w:ind w:firstLine="758" w:firstLineChars="236"/>
        <w:jc w:val="left"/>
        <w:rPr>
          <w:rFonts w:hint="eastAsia" w:ascii="黑体" w:hAnsi="黑体" w:eastAsia="黑体" w:cs="黑体"/>
          <w:b/>
          <w:bCs/>
          <w:sz w:val="32"/>
          <w:szCs w:val="32"/>
        </w:rPr>
      </w:pPr>
      <w:r>
        <w:rPr>
          <w:rFonts w:hint="eastAsia" w:ascii="黑体" w:hAnsi="黑体" w:eastAsia="黑体" w:cs="黑体"/>
          <w:b/>
          <w:bCs/>
          <w:sz w:val="32"/>
          <w:szCs w:val="32"/>
        </w:rPr>
        <w:t>二、绩效目标完成情况分析</w:t>
      </w:r>
    </w:p>
    <w:p>
      <w:pPr>
        <w:tabs>
          <w:tab w:val="left" w:pos="312"/>
        </w:tabs>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（一）资金投入情况分析</w:t>
      </w:r>
    </w:p>
    <w:p>
      <w:pPr>
        <w:tabs>
          <w:tab w:val="left" w:pos="312"/>
        </w:tabs>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1.项目资金到位情况分析</w:t>
      </w:r>
    </w:p>
    <w:p>
      <w:pPr>
        <w:keepNext w:val="0"/>
        <w:keepLines w:val="0"/>
        <w:pageBreakBefore w:val="0"/>
        <w:widowControl w:val="0"/>
        <w:tabs>
          <w:tab w:val="left" w:pos="312"/>
        </w:tabs>
        <w:kinsoku/>
        <w:wordWrap/>
        <w:overflowPunct/>
        <w:topLinePunct w:val="0"/>
        <w:autoSpaceDE/>
        <w:autoSpaceDN/>
        <w:bidi w:val="0"/>
        <w:adjustRightInd/>
        <w:snapToGrid/>
        <w:spacing w:line="580" w:lineRule="exact"/>
        <w:ind w:left="0" w:leftChars="0" w:right="0" w:righ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iCs w:val="0"/>
          <w:sz w:val="32"/>
          <w:szCs w:val="32"/>
          <w:lang w:val="en-US" w:eastAsia="zh-CN"/>
        </w:rPr>
        <w:t>2020年1月盐池县市场监管局根据盐池县财政局（盐财（预）指标〔2020〕1号）文件收到县级财政局划拨的2020年市场监督管理食品安全监管事务专项资金52万元。</w:t>
      </w:r>
    </w:p>
    <w:p>
      <w:pPr>
        <w:tabs>
          <w:tab w:val="left" w:pos="312"/>
        </w:tabs>
        <w:ind w:firstLine="643" w:firstLineChars="200"/>
        <w:jc w:val="left"/>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2.项目资金执行情况分析</w:t>
      </w:r>
    </w:p>
    <w:p>
      <w:pPr>
        <w:keepNext w:val="0"/>
        <w:keepLines w:val="0"/>
        <w:pageBreakBefore w:val="0"/>
        <w:widowControl w:val="0"/>
        <w:tabs>
          <w:tab w:val="left" w:pos="312"/>
        </w:tabs>
        <w:kinsoku/>
        <w:wordWrap/>
        <w:overflowPunct/>
        <w:topLinePunct w:val="0"/>
        <w:autoSpaceDE/>
        <w:autoSpaceDN/>
        <w:bidi w:val="0"/>
        <w:adjustRightInd/>
        <w:snapToGrid/>
        <w:spacing w:line="580" w:lineRule="exact"/>
        <w:ind w:left="0" w:leftChars="0" w:right="0" w:rightChars="0"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iCs w:val="0"/>
          <w:sz w:val="32"/>
          <w:szCs w:val="32"/>
          <w:lang w:val="en-US" w:eastAsia="zh-CN"/>
        </w:rPr>
        <w:t>2020年1月盐池县市场监管局根据盐池县财政局（盐财（预）指标〔2020〕1号）文件收到县级财政局划拨的2020年市场监督管理食品安全监管事务专项资金52万元,截止2021年12月31日，支出52万元，支出率100%。</w:t>
      </w:r>
    </w:p>
    <w:p>
      <w:pPr>
        <w:numPr>
          <w:numId w:val="0"/>
        </w:numPr>
        <w:ind w:firstLine="643" w:firstLineChars="200"/>
        <w:jc w:val="left"/>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rPr>
        <w:t>项目资金管理情况分析</w:t>
      </w:r>
    </w:p>
    <w:p>
      <w:pPr>
        <w:keepNext w:val="0"/>
        <w:keepLines w:val="0"/>
        <w:pageBreakBefore w:val="0"/>
        <w:tabs>
          <w:tab w:val="left" w:pos="312"/>
        </w:tabs>
        <w:kinsoku/>
        <w:wordWrap/>
        <w:overflowPunct/>
        <w:topLinePunct w:val="0"/>
        <w:bidi w:val="0"/>
        <w:adjustRightInd/>
        <w:snapToGrid/>
        <w:spacing w:line="580" w:lineRule="exact"/>
        <w:ind w:left="0" w:leftChars="0" w:right="0" w:rightChars="0" w:firstLine="640" w:firstLineChars="200"/>
        <w:jc w:val="left"/>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盐池县市场监督管理局严格按照</w:t>
      </w:r>
      <w:r>
        <w:rPr>
          <w:rFonts w:hint="eastAsia" w:ascii="仿宋_GB2312" w:hAnsi="仿宋_GB2312" w:eastAsia="仿宋_GB2312" w:cs="仿宋_GB2312"/>
          <w:sz w:val="32"/>
          <w:szCs w:val="32"/>
          <w:highlight w:val="none"/>
          <w:lang w:val="en-US" w:eastAsia="zh-CN"/>
        </w:rPr>
        <w:t>本单位内控制度</w:t>
      </w:r>
      <w:r>
        <w:rPr>
          <w:rFonts w:hint="eastAsia" w:ascii="仿宋_GB2312" w:hAnsi="仿宋_GB2312" w:eastAsia="仿宋_GB2312" w:cs="仿宋_GB2312"/>
          <w:kern w:val="0"/>
          <w:sz w:val="32"/>
          <w:szCs w:val="32"/>
          <w:highlight w:val="none"/>
        </w:rPr>
        <w:t>食品监管资金的管理</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对</w:t>
      </w:r>
      <w:r>
        <w:rPr>
          <w:rFonts w:hint="eastAsia" w:ascii="仿宋_GB2312" w:hAnsi="仿宋_GB2312" w:eastAsia="仿宋_GB2312" w:cs="仿宋_GB2312"/>
          <w:kern w:val="0"/>
          <w:sz w:val="32"/>
          <w:szCs w:val="32"/>
          <w:highlight w:val="none"/>
          <w:lang w:eastAsia="zh-CN"/>
        </w:rPr>
        <w:t>食品安全</w:t>
      </w:r>
      <w:r>
        <w:rPr>
          <w:rFonts w:hint="eastAsia" w:ascii="仿宋_GB2312" w:hAnsi="仿宋_GB2312" w:eastAsia="仿宋_GB2312" w:cs="仿宋_GB2312"/>
          <w:kern w:val="0"/>
          <w:sz w:val="32"/>
          <w:szCs w:val="32"/>
          <w:highlight w:val="none"/>
        </w:rPr>
        <w:t>资金进行通盘考虑，规范资金使用和管理，确保监管任务与经费预算相互衔接。专款专用，杜绝专项资金挪用、截留和随意扩大开支范围</w:t>
      </w:r>
      <w:r>
        <w:rPr>
          <w:rFonts w:hint="eastAsia" w:ascii="仿宋_GB2312" w:hAnsi="仿宋_GB2312" w:eastAsia="仿宋_GB2312" w:cs="仿宋_GB2312"/>
          <w:kern w:val="0"/>
          <w:sz w:val="32"/>
          <w:szCs w:val="32"/>
          <w:highlight w:val="none"/>
          <w:lang w:eastAsia="zh-CN"/>
        </w:rPr>
        <w:t>。</w:t>
      </w:r>
    </w:p>
    <w:p>
      <w:pPr>
        <w:tabs>
          <w:tab w:val="left" w:pos="312"/>
        </w:tabs>
        <w:ind w:firstLine="643" w:firstLineChars="200"/>
        <w:jc w:val="left"/>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eastAsia="zh-CN"/>
        </w:rPr>
        <w:t>二</w:t>
      </w:r>
      <w:r>
        <w:rPr>
          <w:rFonts w:hint="eastAsia" w:ascii="仿宋_GB2312" w:hAnsi="仿宋_GB2312" w:eastAsia="仿宋_GB2312" w:cs="仿宋_GB2312"/>
          <w:b/>
          <w:bCs/>
          <w:sz w:val="32"/>
          <w:szCs w:val="32"/>
          <w:highlight w:val="none"/>
        </w:rPr>
        <w:t>）绩效目标完成情况分析</w:t>
      </w:r>
    </w:p>
    <w:p>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default" w:ascii="Times New Roman" w:hAnsi="Times New Roman" w:eastAsia="仿宋_GB2312" w:cs="Times New Roman"/>
          <w:sz w:val="32"/>
          <w:szCs w:val="32"/>
          <w:lang w:val="en-US" w:eastAsia="zh-CN"/>
        </w:rPr>
        <w:t>2020</w:t>
      </w:r>
      <w:r>
        <w:rPr>
          <w:rFonts w:hint="eastAsia" w:ascii="仿宋_GB2312" w:hAnsi="仿宋_GB2312" w:eastAsia="仿宋_GB2312" w:cs="仿宋_GB2312"/>
          <w:sz w:val="32"/>
          <w:szCs w:val="32"/>
        </w:rPr>
        <w:t>年，盐池县食</w:t>
      </w:r>
      <w:r>
        <w:rPr>
          <w:rFonts w:hint="eastAsia" w:ascii="仿宋_GB2312" w:hAnsi="仿宋_GB2312" w:eastAsia="仿宋_GB2312" w:cs="仿宋_GB2312"/>
          <w:sz w:val="32"/>
          <w:szCs w:val="32"/>
          <w:lang w:eastAsia="zh-CN"/>
        </w:rPr>
        <w:t>品药品</w:t>
      </w:r>
      <w:r>
        <w:rPr>
          <w:rFonts w:hint="eastAsia" w:ascii="仿宋_GB2312" w:hAnsi="仿宋_GB2312" w:eastAsia="仿宋_GB2312" w:cs="仿宋_GB2312"/>
          <w:sz w:val="32"/>
          <w:szCs w:val="32"/>
        </w:rPr>
        <w:t>安委</w:t>
      </w:r>
      <w:r>
        <w:rPr>
          <w:rFonts w:hint="eastAsia" w:ascii="仿宋_GB2312" w:hAnsi="仿宋_GB2312" w:eastAsia="仿宋_GB2312" w:cs="仿宋_GB2312"/>
          <w:sz w:val="32"/>
          <w:szCs w:val="32"/>
          <w:lang w:eastAsia="zh-CN"/>
        </w:rPr>
        <w:t>会</w:t>
      </w:r>
      <w:r>
        <w:rPr>
          <w:rFonts w:hint="eastAsia" w:ascii="仿宋_GB2312" w:hAnsi="仿宋_GB2312" w:eastAsia="仿宋_GB2312" w:cs="仿宋_GB2312"/>
          <w:sz w:val="32"/>
          <w:szCs w:val="32"/>
        </w:rPr>
        <w:t>成员单位紧紧围绕区市党委、政府中心工作，严格落实“四个最严”“四有两责”</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要求，严防、严管、严控各类风险隐患，食品安全保障水平不断提升、安全形势整体稳定向好，截至目前，</w:t>
      </w:r>
      <w:r>
        <w:rPr>
          <w:rFonts w:hint="eastAsia" w:ascii="仿宋_GB2312" w:hAnsi="仿宋_GB2312" w:eastAsia="仿宋_GB2312" w:cs="仿宋_GB2312"/>
          <w:sz w:val="32"/>
          <w:szCs w:val="32"/>
          <w:lang w:val="zh-CN"/>
        </w:rPr>
        <w:t>全县有登记注册</w:t>
      </w:r>
      <w:r>
        <w:rPr>
          <w:rFonts w:hint="eastAsia" w:ascii="仿宋_GB2312" w:hAnsi="仿宋_GB2312" w:eastAsia="仿宋_GB2312" w:cs="仿宋_GB2312"/>
          <w:sz w:val="32"/>
          <w:szCs w:val="32"/>
        </w:rPr>
        <w:t>食品生产经营单位</w:t>
      </w:r>
      <w:r>
        <w:rPr>
          <w:rFonts w:hint="eastAsia" w:ascii="Times New Roman" w:hAnsi="Times New Roman" w:eastAsia="仿宋_GB2312" w:cs="Times New Roman"/>
          <w:sz w:val="32"/>
          <w:szCs w:val="32"/>
          <w:lang w:val="en-US" w:eastAsia="zh-CN"/>
        </w:rPr>
        <w:t>3799</w:t>
      </w:r>
      <w:r>
        <w:rPr>
          <w:rFonts w:hint="eastAsia" w:ascii="仿宋_GB2312" w:hAnsi="仿宋_GB2312" w:eastAsia="仿宋_GB2312" w:cs="仿宋_GB2312"/>
          <w:sz w:val="32"/>
          <w:szCs w:val="32"/>
        </w:rPr>
        <w:t>家，其中：食品销售单位</w:t>
      </w:r>
      <w:r>
        <w:rPr>
          <w:rFonts w:hint="eastAsia" w:ascii="Times New Roman" w:hAnsi="Times New Roman" w:eastAsia="仿宋_GB2312" w:cs="Times New Roman"/>
          <w:sz w:val="32"/>
          <w:szCs w:val="32"/>
          <w:lang w:val="en-US" w:eastAsia="zh-CN"/>
        </w:rPr>
        <w:t>1782</w:t>
      </w:r>
      <w:r>
        <w:rPr>
          <w:rFonts w:hint="eastAsia" w:ascii="仿宋_GB2312" w:hAnsi="仿宋_GB2312" w:eastAsia="仿宋_GB2312" w:cs="仿宋_GB2312"/>
          <w:sz w:val="32"/>
          <w:szCs w:val="32"/>
        </w:rPr>
        <w:t>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餐饮服务单位</w:t>
      </w:r>
      <w:r>
        <w:rPr>
          <w:rFonts w:hint="eastAsia" w:ascii="Times New Roman" w:hAnsi="Times New Roman" w:eastAsia="仿宋_GB2312" w:cs="Times New Roman"/>
          <w:sz w:val="32"/>
          <w:szCs w:val="32"/>
          <w:lang w:val="en-US" w:eastAsia="zh-CN"/>
        </w:rPr>
        <w:t>1756</w:t>
      </w:r>
      <w:r>
        <w:rPr>
          <w:rFonts w:hint="eastAsia" w:ascii="仿宋_GB2312" w:hAnsi="仿宋_GB2312" w:eastAsia="仿宋_GB2312" w:cs="仿宋_GB2312"/>
          <w:sz w:val="32"/>
          <w:szCs w:val="32"/>
        </w:rPr>
        <w:t>家</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食堂</w:t>
      </w:r>
      <w:r>
        <w:rPr>
          <w:rFonts w:hint="eastAsia" w:ascii="Times New Roman" w:hAnsi="Times New Roman" w:eastAsia="仿宋_GB2312" w:cs="Times New Roman"/>
          <w:sz w:val="32"/>
          <w:szCs w:val="32"/>
          <w:lang w:val="en-US" w:eastAsia="zh-CN"/>
        </w:rPr>
        <w:t>108</w:t>
      </w:r>
      <w:r>
        <w:rPr>
          <w:rFonts w:hint="eastAsia" w:ascii="仿宋_GB2312" w:hAnsi="仿宋_GB2312" w:eastAsia="仿宋_GB2312" w:cs="仿宋_GB2312"/>
          <w:sz w:val="32"/>
          <w:szCs w:val="32"/>
        </w:rPr>
        <w:t>家（</w:t>
      </w:r>
      <w:r>
        <w:rPr>
          <w:rFonts w:hint="eastAsia" w:ascii="仿宋_GB2312" w:hAnsi="仿宋_GB2312" w:eastAsia="仿宋_GB2312" w:cs="仿宋_GB2312"/>
          <w:color w:val="auto"/>
          <w:sz w:val="32"/>
          <w:szCs w:val="32"/>
        </w:rPr>
        <w:t>含学校食堂</w:t>
      </w:r>
      <w:r>
        <w:rPr>
          <w:rFonts w:hint="eastAsia" w:ascii="Times New Roman" w:hAnsi="Times New Roman" w:eastAsia="仿宋_GB2312" w:cs="Times New Roman"/>
          <w:sz w:val="32"/>
          <w:szCs w:val="32"/>
          <w:lang w:val="en-US" w:eastAsia="zh-CN"/>
        </w:rPr>
        <w:t>47</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食品生产企业</w:t>
      </w:r>
      <w:r>
        <w:rPr>
          <w:rFonts w:hint="eastAsia" w:ascii="Times New Roman" w:hAnsi="Times New Roman" w:eastAsia="仿宋_GB2312" w:cs="Times New Roman"/>
          <w:sz w:val="32"/>
          <w:szCs w:val="32"/>
          <w:lang w:val="en-US" w:eastAsia="zh-CN"/>
        </w:rPr>
        <w:t>32</w:t>
      </w:r>
      <w:r>
        <w:rPr>
          <w:rFonts w:hint="eastAsia" w:ascii="仿宋_GB2312" w:hAnsi="仿宋_GB2312" w:eastAsia="仿宋_GB2312" w:cs="仿宋_GB2312"/>
          <w:sz w:val="32"/>
          <w:szCs w:val="32"/>
        </w:rPr>
        <w:t>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食品加工小作坊</w:t>
      </w:r>
      <w:r>
        <w:rPr>
          <w:rFonts w:hint="eastAsia" w:ascii="Times New Roman" w:hAnsi="Times New Roman" w:eastAsia="仿宋_GB2312" w:cs="Times New Roman"/>
          <w:sz w:val="32"/>
          <w:szCs w:val="32"/>
          <w:lang w:val="en-US" w:eastAsia="zh-CN"/>
        </w:rPr>
        <w:t>121</w:t>
      </w:r>
      <w:r>
        <w:rPr>
          <w:rFonts w:hint="eastAsia" w:ascii="仿宋_GB2312" w:hAnsi="仿宋_GB2312" w:eastAsia="仿宋_GB2312" w:cs="仿宋_GB2312"/>
          <w:sz w:val="32"/>
          <w:szCs w:val="32"/>
        </w:rPr>
        <w:t>家</w:t>
      </w:r>
      <w:r>
        <w:rPr>
          <w:rFonts w:hint="eastAsia" w:ascii="仿宋_GB2312" w:hAnsi="仿宋_GB2312" w:eastAsia="仿宋_GB2312" w:cs="仿宋_GB2312"/>
          <w:color w:val="auto"/>
          <w:sz w:val="32"/>
          <w:szCs w:val="32"/>
        </w:rPr>
        <w:t>。有畜禽规模养殖场</w:t>
      </w:r>
      <w:r>
        <w:rPr>
          <w:rFonts w:hint="eastAsia" w:ascii="Times New Roman" w:hAnsi="Times New Roman" w:eastAsia="仿宋_GB2312" w:cs="Times New Roman"/>
          <w:sz w:val="32"/>
          <w:szCs w:val="32"/>
          <w:lang w:val="en-US" w:eastAsia="zh-CN"/>
        </w:rPr>
        <w:t>288</w:t>
      </w:r>
      <w:r>
        <w:rPr>
          <w:rFonts w:hint="eastAsia" w:ascii="仿宋_GB2312" w:hAnsi="仿宋_GB2312" w:eastAsia="仿宋_GB2312" w:cs="仿宋_GB2312"/>
          <w:color w:val="auto"/>
          <w:sz w:val="32"/>
          <w:szCs w:val="32"/>
        </w:rPr>
        <w:t>家、蛋鸡养殖场</w:t>
      </w:r>
      <w:r>
        <w:rPr>
          <w:rFonts w:hint="eastAsia" w:ascii="Times New Roman" w:hAnsi="Times New Roman" w:eastAsia="仿宋_GB2312" w:cs="Times New Roman"/>
          <w:sz w:val="32"/>
          <w:szCs w:val="32"/>
          <w:lang w:val="en-US" w:eastAsia="zh-CN"/>
        </w:rPr>
        <w:t>2</w:t>
      </w:r>
      <w:r>
        <w:rPr>
          <w:rFonts w:hint="eastAsia" w:ascii="仿宋_GB2312" w:hAnsi="仿宋_GB2312" w:eastAsia="仿宋_GB2312" w:cs="仿宋_GB2312"/>
          <w:color w:val="auto"/>
          <w:sz w:val="32"/>
          <w:szCs w:val="32"/>
        </w:rPr>
        <w:t>家、休闲渔业垂钓点</w:t>
      </w:r>
      <w:r>
        <w:rPr>
          <w:rFonts w:hint="eastAsia" w:ascii="Times New Roman" w:hAnsi="Times New Roman" w:eastAsia="仿宋_GB2312" w:cs="Times New Roman"/>
          <w:sz w:val="32"/>
          <w:szCs w:val="32"/>
          <w:lang w:val="en-US" w:eastAsia="zh-CN"/>
        </w:rPr>
        <w:t>6</w:t>
      </w:r>
      <w:r>
        <w:rPr>
          <w:rFonts w:hint="eastAsia" w:ascii="仿宋_GB2312" w:hAnsi="仿宋_GB2312" w:eastAsia="仿宋_GB2312" w:cs="仿宋_GB2312"/>
          <w:color w:val="auto"/>
          <w:sz w:val="32"/>
          <w:szCs w:val="32"/>
        </w:rPr>
        <w:t>家、定点屠宰场</w:t>
      </w:r>
      <w:r>
        <w:rPr>
          <w:rFonts w:hint="eastAsia" w:ascii="Times New Roman" w:hAnsi="Times New Roman" w:eastAsia="仿宋_GB2312" w:cs="Times New Roman"/>
          <w:sz w:val="32"/>
          <w:szCs w:val="32"/>
          <w:lang w:val="en-US" w:eastAsia="zh-CN"/>
        </w:rPr>
        <w:t>5</w:t>
      </w:r>
      <w:r>
        <w:rPr>
          <w:rFonts w:hint="eastAsia" w:ascii="仿宋_GB2312" w:hAnsi="仿宋_GB2312" w:eastAsia="仿宋_GB2312" w:cs="仿宋_GB2312"/>
          <w:color w:val="auto"/>
          <w:sz w:val="32"/>
          <w:szCs w:val="32"/>
        </w:rPr>
        <w:t>家、农资经销店</w:t>
      </w:r>
      <w:r>
        <w:rPr>
          <w:rFonts w:hint="eastAsia" w:ascii="Times New Roman" w:hAnsi="Times New Roman" w:eastAsia="仿宋_GB2312" w:cs="Times New Roman"/>
          <w:sz w:val="32"/>
          <w:szCs w:val="32"/>
          <w:lang w:val="en-US" w:eastAsia="zh-CN"/>
        </w:rPr>
        <w:t>42家</w:t>
      </w:r>
      <w:r>
        <w:rPr>
          <w:rFonts w:hint="eastAsia" w:ascii="仿宋_GB2312" w:hAnsi="仿宋_GB2312" w:eastAsia="仿宋_GB2312" w:cs="仿宋_GB2312"/>
          <w:color w:val="auto"/>
          <w:sz w:val="32"/>
          <w:szCs w:val="32"/>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color w:val="auto"/>
          <w:sz w:val="32"/>
          <w:szCs w:val="32"/>
          <w:lang w:eastAsia="zh-CN"/>
        </w:rPr>
        <w:t>市场监督管理局</w:t>
      </w:r>
      <w:r>
        <w:rPr>
          <w:rFonts w:hint="eastAsia" w:ascii="仿宋_GB2312" w:hAnsi="仿宋_GB2312" w:eastAsia="仿宋_GB2312" w:cs="仿宋_GB2312"/>
          <w:b w:val="0"/>
          <w:bCs w:val="0"/>
          <w:kern w:val="2"/>
          <w:sz w:val="32"/>
          <w:szCs w:val="32"/>
          <w:lang w:val="en-US" w:eastAsia="zh-CN" w:bidi="ar-SA"/>
        </w:rPr>
        <w:t>严格落实食品生产经营风险等级分级管理制度、学校食品安全校（园长）责任制度。</w:t>
      </w:r>
      <w:r>
        <w:rPr>
          <w:rFonts w:hint="eastAsia" w:ascii="仿宋_GB2312" w:hAnsi="仿宋_GB2312" w:eastAsia="仿宋_GB2312" w:cs="仿宋_GB2312"/>
          <w:b w:val="0"/>
          <w:bCs w:val="0"/>
          <w:kern w:val="2"/>
          <w:sz w:val="32"/>
          <w:szCs w:val="32"/>
          <w:lang w:val="zh-TW" w:eastAsia="zh-CN" w:bidi="ar-SA"/>
        </w:rPr>
        <w:t>组织开展了“两节”食品市场、白酒市场、农村食品、</w:t>
      </w:r>
      <w:r>
        <w:rPr>
          <w:rFonts w:hint="eastAsia" w:ascii="仿宋_GB2312" w:hAnsi="仿宋_GB2312" w:eastAsia="仿宋_GB2312" w:cs="仿宋_GB2312"/>
          <w:b w:val="0"/>
          <w:bCs w:val="0"/>
          <w:kern w:val="2"/>
          <w:sz w:val="32"/>
          <w:szCs w:val="32"/>
          <w:lang w:val="zh-CN" w:eastAsia="zh-CN" w:bidi="ar-SA"/>
        </w:rPr>
        <w:t>食盐市场、</w:t>
      </w:r>
      <w:r>
        <w:rPr>
          <w:rFonts w:hint="eastAsia" w:ascii="仿宋_GB2312" w:hAnsi="仿宋_GB2312" w:eastAsia="仿宋_GB2312" w:cs="仿宋_GB2312"/>
          <w:b w:val="0"/>
          <w:bCs w:val="0"/>
          <w:kern w:val="2"/>
          <w:sz w:val="32"/>
          <w:szCs w:val="32"/>
          <w:lang w:val="en-US" w:eastAsia="zh-CN" w:bidi="ar-SA"/>
        </w:rPr>
        <w:t>冷藏冷冻食品质量安全专项整治行动18场，检查食品生产经营户1.16万余户次，立案查处违法案件23起，罚没款7.87万元，有力消除了食品安全隐患。</w:t>
      </w:r>
    </w:p>
    <w:p>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color w:val="000000"/>
          <w:sz w:val="32"/>
          <w:szCs w:val="32"/>
          <w:lang w:eastAsia="zh-CN"/>
        </w:rPr>
        <w:t>采取视频</w:t>
      </w:r>
      <w:r>
        <w:rPr>
          <w:rFonts w:hint="eastAsia" w:ascii="仿宋_GB2312" w:hAnsi="仿宋_GB2312" w:eastAsia="仿宋_GB2312" w:cs="仿宋_GB2312"/>
          <w:color w:val="000000"/>
          <w:sz w:val="32"/>
          <w:szCs w:val="32"/>
          <w:lang w:val="en-US" w:eastAsia="zh-CN"/>
        </w:rPr>
        <w:t>+橱窗方式，推行“明厨亮灶”工程，实现了阳光操作、透明化管理。截至</w:t>
      </w:r>
      <w:r>
        <w:rPr>
          <w:rFonts w:hint="eastAsia" w:ascii="Times New Roman" w:hAnsi="Times New Roman" w:eastAsia="仿宋_GB2312" w:cs="Times New Roman"/>
          <w:color w:val="auto"/>
          <w:sz w:val="32"/>
          <w:szCs w:val="32"/>
          <w:lang w:val="en-US" w:eastAsia="zh-CN"/>
        </w:rPr>
        <w:t>2020</w:t>
      </w:r>
      <w:r>
        <w:rPr>
          <w:rFonts w:hint="eastAsia" w:ascii="仿宋_GB2312" w:hAnsi="仿宋_GB2312" w:eastAsia="仿宋_GB2312" w:cs="仿宋_GB2312"/>
          <w:color w:val="000000"/>
          <w:sz w:val="32"/>
          <w:szCs w:val="32"/>
          <w:lang w:val="en-US" w:eastAsia="zh-CN"/>
        </w:rPr>
        <w:t>年底，全县餐饮服务单位</w:t>
      </w:r>
      <w:r>
        <w:rPr>
          <w:rFonts w:hint="eastAsia" w:ascii="仿宋_GB2312" w:hAnsi="仿宋_GB2312" w:eastAsia="仿宋_GB2312" w:cs="仿宋_GB2312"/>
          <w:color w:val="000000"/>
          <w:sz w:val="32"/>
          <w:szCs w:val="32"/>
          <w:lang w:val="zh-TW"/>
        </w:rPr>
        <w:t>“明厨亮灶”推行率</w:t>
      </w:r>
      <w:r>
        <w:rPr>
          <w:rFonts w:hint="eastAsia" w:ascii="Times New Roman" w:hAnsi="Times New Roman" w:eastAsia="仿宋_GB2312" w:cs="Times New Roman"/>
          <w:color w:val="auto"/>
          <w:sz w:val="32"/>
          <w:szCs w:val="32"/>
          <w:lang w:val="zh-TW" w:eastAsia="zh-CN"/>
        </w:rPr>
        <w:t>98%</w:t>
      </w:r>
      <w:r>
        <w:rPr>
          <w:rFonts w:hint="eastAsia" w:ascii="仿宋_GB2312" w:hAnsi="仿宋_GB2312" w:eastAsia="仿宋_GB2312" w:cs="仿宋_GB2312"/>
          <w:color w:val="000000"/>
          <w:sz w:val="32"/>
          <w:szCs w:val="32"/>
          <w:lang w:val="zh-TW" w:eastAsia="zh-CN"/>
        </w:rPr>
        <w:t>以上；学校</w:t>
      </w:r>
      <w:r>
        <w:rPr>
          <w:rFonts w:hint="eastAsia" w:ascii="仿宋_GB2312" w:hAnsi="仿宋_GB2312" w:eastAsia="仿宋_GB2312" w:cs="仿宋_GB2312"/>
          <w:color w:val="000000"/>
          <w:sz w:val="32"/>
          <w:szCs w:val="32"/>
          <w:lang w:val="zh-TW"/>
        </w:rPr>
        <w:t>量化动态评定率</w:t>
      </w:r>
      <w:r>
        <w:rPr>
          <w:rFonts w:hint="eastAsia" w:ascii="Times New Roman" w:hAnsi="Times New Roman" w:eastAsia="仿宋_GB2312" w:cs="Times New Roman"/>
          <w:color w:val="auto"/>
          <w:sz w:val="32"/>
          <w:szCs w:val="32"/>
          <w:lang w:val="zh-TW" w:eastAsia="zh-CN"/>
        </w:rPr>
        <w:t>91.34%</w:t>
      </w:r>
      <w:r>
        <w:rPr>
          <w:rFonts w:hint="eastAsia" w:ascii="仿宋_GB2312" w:hAnsi="仿宋_GB2312" w:eastAsia="仿宋_GB2312" w:cs="仿宋_GB2312"/>
          <w:strike w:val="0"/>
          <w:color w:val="auto"/>
          <w:sz w:val="32"/>
          <w:szCs w:val="32"/>
          <w:lang w:val="zh-TW" w:eastAsia="zh-CN"/>
        </w:rPr>
        <w:t>；</w:t>
      </w:r>
      <w:r>
        <w:rPr>
          <w:rFonts w:hint="eastAsia" w:ascii="仿宋_GB2312" w:hAnsi="仿宋_GB2312" w:eastAsia="仿宋_GB2312" w:cs="仿宋_GB2312"/>
          <w:color w:val="000000"/>
          <w:sz w:val="32"/>
          <w:szCs w:val="32"/>
          <w:lang w:val="zh-TW" w:eastAsia="zh-CN"/>
        </w:rPr>
        <w:t>小学</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val="zh-TW" w:eastAsia="zh-CN"/>
        </w:rPr>
        <w:t>幼儿园</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val="zh-TW" w:eastAsia="zh-CN"/>
        </w:rPr>
        <w:t>食堂“互联网+明厨亮灶”全部上线。通过集中宣传、张贴标语等形式，引导全县</w:t>
      </w:r>
      <w:r>
        <w:rPr>
          <w:rFonts w:hint="eastAsia" w:ascii="Times New Roman" w:hAnsi="Times New Roman" w:eastAsia="仿宋_GB2312" w:cs="Times New Roman"/>
          <w:color w:val="auto"/>
          <w:sz w:val="32"/>
          <w:szCs w:val="32"/>
          <w:lang w:val="en-US" w:eastAsia="zh-CN"/>
        </w:rPr>
        <w:t>1200</w:t>
      </w:r>
      <w:r>
        <w:rPr>
          <w:rFonts w:hint="eastAsia" w:ascii="仿宋_GB2312" w:hAnsi="仿宋_GB2312" w:eastAsia="仿宋_GB2312" w:cs="仿宋_GB2312"/>
          <w:color w:val="000000"/>
          <w:sz w:val="32"/>
          <w:szCs w:val="32"/>
          <w:lang w:val="en-US" w:eastAsia="zh-CN"/>
        </w:rPr>
        <w:t>余家餐饮服务单位和学校食堂</w:t>
      </w:r>
      <w:r>
        <w:rPr>
          <w:rFonts w:hint="eastAsia" w:ascii="仿宋_GB2312" w:hAnsi="仿宋_GB2312" w:eastAsia="仿宋_GB2312" w:cs="仿宋_GB2312"/>
          <w:sz w:val="32"/>
          <w:szCs w:val="32"/>
        </w:rPr>
        <w:t>推进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文明餐桌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lang w:eastAsia="zh-CN"/>
        </w:rPr>
        <w:t>形成了社会共同参与的舆论氛围。</w:t>
      </w:r>
    </w:p>
    <w:p>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zh-CN"/>
        </w:rPr>
        <w:t>完成“两会”</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5·18国际博物馆日</w:t>
      </w:r>
      <w:r>
        <w:rPr>
          <w:rFonts w:hint="eastAsia" w:ascii="仿宋_GB2312" w:hAnsi="仿宋_GB2312" w:eastAsia="仿宋_GB2312" w:cs="仿宋_GB2312"/>
          <w:color w:val="auto"/>
          <w:sz w:val="32"/>
          <w:szCs w:val="32"/>
        </w:rPr>
        <w:t>”</w:t>
      </w:r>
      <w:r>
        <w:rPr>
          <w:rFonts w:hint="eastAsia" w:ascii="Times New Roman" w:hAnsi="Times New Roman" w:eastAsia="仿宋_GB2312" w:cs="Times New Roman"/>
          <w:color w:val="auto"/>
          <w:sz w:val="32"/>
          <w:szCs w:val="32"/>
          <w:lang w:val="en-US" w:eastAsia="zh-CN"/>
        </w:rPr>
        <w:t>“5·19</w:t>
      </w:r>
      <w:r>
        <w:rPr>
          <w:rFonts w:hint="eastAsia" w:ascii="仿宋_GB2312" w:hAnsi="仿宋_GB2312" w:eastAsia="仿宋_GB2312" w:cs="仿宋_GB2312"/>
          <w:color w:val="auto"/>
          <w:sz w:val="32"/>
          <w:szCs w:val="32"/>
          <w:lang w:val="en-US" w:eastAsia="zh-CN"/>
        </w:rPr>
        <w:t>中国旅游日</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暨</w:t>
      </w:r>
      <w:r>
        <w:rPr>
          <w:rFonts w:hint="eastAsia" w:ascii="仿宋_GB2312" w:hAnsi="仿宋_GB2312" w:eastAsia="仿宋_GB2312" w:cs="仿宋_GB2312"/>
          <w:color w:val="auto"/>
          <w:sz w:val="32"/>
          <w:szCs w:val="32"/>
          <w:lang w:val="en-US" w:eastAsia="zh-CN"/>
        </w:rPr>
        <w:t>2020第二届“烽火长城”文化旅游体育系列活动、</w:t>
      </w:r>
      <w:r>
        <w:rPr>
          <w:rFonts w:hint="eastAsia" w:ascii="仿宋_GB2312" w:hAnsi="仿宋_GB2312" w:eastAsia="仿宋_GB2312" w:cs="仿宋_GB2312"/>
          <w:color w:val="auto"/>
          <w:sz w:val="32"/>
          <w:szCs w:val="32"/>
          <w:lang w:eastAsia="zh-CN"/>
        </w:rPr>
        <w:t>花马湖房车营地电音节、</w:t>
      </w:r>
      <w:r>
        <w:rPr>
          <w:rFonts w:hint="eastAsia" w:ascii="Times New Roman" w:hAnsi="Times New Roman" w:eastAsia="仿宋_GB2312" w:cs="Times New Roman"/>
          <w:color w:val="auto"/>
          <w:sz w:val="32"/>
          <w:szCs w:val="32"/>
          <w:lang w:val="zh-CN" w:eastAsia="zh-CN"/>
        </w:rPr>
        <w:t>2020</w:t>
      </w:r>
      <w:r>
        <w:rPr>
          <w:rFonts w:hint="eastAsia" w:ascii="仿宋_GB2312" w:hAnsi="仿宋_GB2312" w:eastAsia="仿宋_GB2312" w:cs="仿宋_GB2312"/>
          <w:color w:val="auto"/>
          <w:sz w:val="32"/>
          <w:szCs w:val="32"/>
          <w:lang w:val="zh-CN" w:eastAsia="zh-CN"/>
        </w:rPr>
        <w:t>年中高考</w:t>
      </w:r>
      <w:r>
        <w:rPr>
          <w:rFonts w:hint="eastAsia" w:ascii="仿宋_GB2312" w:hAnsi="仿宋_GB2312" w:eastAsia="仿宋_GB2312" w:cs="仿宋_GB2312"/>
          <w:color w:val="auto"/>
          <w:sz w:val="32"/>
          <w:szCs w:val="32"/>
        </w:rPr>
        <w:t>等食品安全保障工作</w:t>
      </w:r>
      <w:r>
        <w:rPr>
          <w:rFonts w:hint="eastAsia" w:ascii="Times New Roman" w:hAnsi="Times New Roman" w:eastAsia="仿宋_GB2312" w:cs="Times New Roman"/>
          <w:color w:val="auto"/>
          <w:sz w:val="32"/>
          <w:szCs w:val="32"/>
          <w:lang w:val="en-US" w:eastAsia="zh-CN"/>
        </w:rPr>
        <w:t>12</w:t>
      </w:r>
      <w:r>
        <w:rPr>
          <w:rFonts w:hint="eastAsia" w:ascii="仿宋_GB2312" w:hAnsi="仿宋_GB2312" w:eastAsia="仿宋_GB2312" w:cs="仿宋_GB2312"/>
          <w:color w:val="auto"/>
          <w:sz w:val="32"/>
          <w:szCs w:val="32"/>
          <w:lang w:eastAsia="zh-CN"/>
        </w:rPr>
        <w:t>场</w:t>
      </w:r>
      <w:r>
        <w:rPr>
          <w:rStyle w:val="9"/>
          <w:rFonts w:hint="eastAsia" w:ascii="仿宋_GB2312" w:hAnsi="仿宋_GB2312" w:eastAsia="仿宋_GB2312" w:cs="仿宋_GB2312"/>
          <w:color w:val="auto"/>
          <w:sz w:val="32"/>
          <w:szCs w:val="32"/>
        </w:rPr>
        <w:t>次</w:t>
      </w:r>
      <w:r>
        <w:rPr>
          <w:rFonts w:hint="eastAsia" w:ascii="仿宋_GB2312" w:hAnsi="仿宋_GB2312" w:eastAsia="仿宋_GB2312" w:cs="仿宋_GB2312"/>
          <w:sz w:val="32"/>
          <w:szCs w:val="32"/>
        </w:rPr>
        <w:t>，保障就餐人数</w:t>
      </w:r>
      <w:r>
        <w:rPr>
          <w:rFonts w:hint="eastAsia" w:ascii="Times New Roman" w:hAnsi="Times New Roman" w:eastAsia="仿宋_GB2312" w:cs="Times New Roman"/>
          <w:color w:val="auto"/>
          <w:sz w:val="32"/>
          <w:szCs w:val="32"/>
          <w:lang w:val="en-US" w:eastAsia="zh-CN"/>
        </w:rPr>
        <w:t>1.7</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余人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依托“盐池县农村集体聚餐备案管理网络平台”，登记备案农村集体聚餐</w:t>
      </w:r>
      <w:r>
        <w:rPr>
          <w:rFonts w:hint="eastAsia" w:ascii="Times New Roman" w:hAnsi="Times New Roman" w:eastAsia="仿宋_GB2312" w:cs="Times New Roman"/>
          <w:color w:val="000000"/>
          <w:sz w:val="32"/>
          <w:szCs w:val="32"/>
          <w:lang w:val="en-US" w:eastAsia="zh-CN"/>
        </w:rPr>
        <w:t>282</w:t>
      </w:r>
      <w:r>
        <w:rPr>
          <w:rFonts w:hint="eastAsia" w:ascii="仿宋_GB2312" w:hAnsi="仿宋_GB2312" w:eastAsia="仿宋_GB2312" w:cs="仿宋_GB2312"/>
          <w:color w:val="auto"/>
          <w:sz w:val="32"/>
          <w:szCs w:val="32"/>
        </w:rPr>
        <w:t>户次，保障就餐人数</w:t>
      </w:r>
      <w:r>
        <w:rPr>
          <w:rFonts w:hint="eastAsia" w:ascii="Times New Roman" w:hAnsi="Times New Roman" w:eastAsia="仿宋_GB2312" w:cs="Times New Roman"/>
          <w:color w:val="auto"/>
          <w:sz w:val="32"/>
          <w:szCs w:val="32"/>
          <w:lang w:val="en-US" w:eastAsia="zh-CN"/>
        </w:rPr>
        <w:t>2</w:t>
      </w:r>
      <w:r>
        <w:rPr>
          <w:rFonts w:hint="eastAsia" w:ascii="仿宋_GB2312" w:hAnsi="仿宋_GB2312" w:eastAsia="仿宋_GB2312" w:cs="仿宋_GB2312"/>
          <w:color w:val="auto"/>
          <w:sz w:val="32"/>
          <w:szCs w:val="32"/>
        </w:rPr>
        <w:t>万余人，食品安全零事故</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sz w:val="32"/>
          <w:szCs w:val="32"/>
        </w:rPr>
        <w:t>市场监管</w:t>
      </w:r>
      <w:r>
        <w:rPr>
          <w:rFonts w:hint="eastAsia" w:ascii="仿宋_GB2312" w:hAnsi="仿宋_GB2312" w:eastAsia="仿宋_GB2312" w:cs="仿宋_GB2312"/>
          <w:color w:val="000000"/>
          <w:sz w:val="32"/>
          <w:szCs w:val="32"/>
          <w:lang w:eastAsia="zh-CN"/>
        </w:rPr>
        <w:t>局</w:t>
      </w:r>
      <w:r>
        <w:rPr>
          <w:rFonts w:hint="eastAsia" w:ascii="仿宋_GB2312" w:hAnsi="仿宋_GB2312" w:eastAsia="仿宋_GB2312" w:cs="仿宋_GB2312"/>
          <w:color w:val="000000"/>
          <w:sz w:val="32"/>
          <w:szCs w:val="32"/>
        </w:rPr>
        <w:t>、农业农村</w:t>
      </w:r>
      <w:r>
        <w:rPr>
          <w:rFonts w:hint="eastAsia" w:ascii="仿宋_GB2312" w:hAnsi="仿宋_GB2312" w:eastAsia="仿宋_GB2312" w:cs="仿宋_GB2312"/>
          <w:color w:val="000000"/>
          <w:sz w:val="32"/>
          <w:szCs w:val="32"/>
          <w:lang w:eastAsia="zh-CN"/>
        </w:rPr>
        <w:t>局</w:t>
      </w:r>
      <w:r>
        <w:rPr>
          <w:rFonts w:hint="eastAsia" w:ascii="仿宋_GB2312" w:hAnsi="仿宋_GB2312" w:eastAsia="仿宋_GB2312" w:cs="仿宋_GB2312"/>
          <w:color w:val="000000"/>
          <w:sz w:val="32"/>
          <w:szCs w:val="32"/>
        </w:rPr>
        <w:t>全年快速检测各类食品</w:t>
      </w:r>
      <w:r>
        <w:rPr>
          <w:rFonts w:hint="default" w:ascii="Times New Roman" w:hAnsi="Times New Roman" w:eastAsia="仿宋_GB2312" w:cs="Times New Roman"/>
          <w:color w:val="auto"/>
          <w:sz w:val="32"/>
          <w:szCs w:val="32"/>
          <w:lang w:val="en-US" w:eastAsia="zh-CN"/>
        </w:rPr>
        <w:t>2150</w:t>
      </w:r>
      <w:r>
        <w:rPr>
          <w:rFonts w:hint="eastAsia" w:ascii="仿宋_GB2312" w:hAnsi="仿宋_GB2312" w:eastAsia="仿宋_GB2312" w:cs="仿宋_GB2312"/>
          <w:color w:val="000000"/>
          <w:sz w:val="32"/>
          <w:szCs w:val="32"/>
        </w:rPr>
        <w:t>批次</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完成食品监督抽检</w:t>
      </w:r>
      <w:r>
        <w:rPr>
          <w:rFonts w:hint="eastAsia" w:ascii="仿宋_GB2312" w:hAnsi="仿宋_GB2312" w:eastAsia="仿宋_GB2312" w:cs="仿宋_GB2312"/>
          <w:color w:val="000000"/>
          <w:sz w:val="32"/>
          <w:szCs w:val="32"/>
          <w:lang w:val="en-US" w:eastAsia="zh-CN"/>
        </w:rPr>
        <w:t>854</w:t>
      </w:r>
      <w:r>
        <w:rPr>
          <w:rFonts w:hint="eastAsia" w:ascii="仿宋_GB2312" w:hAnsi="仿宋_GB2312" w:eastAsia="仿宋_GB2312" w:cs="仿宋_GB2312"/>
          <w:color w:val="000000"/>
          <w:sz w:val="32"/>
          <w:szCs w:val="32"/>
        </w:rPr>
        <w:t>批次，其中：</w:t>
      </w:r>
      <w:r>
        <w:rPr>
          <w:rFonts w:hint="eastAsia" w:ascii="仿宋_GB2312" w:hAnsi="仿宋_GB2312" w:eastAsia="仿宋_GB2312" w:cs="仿宋_GB2312"/>
          <w:color w:val="000000"/>
          <w:sz w:val="32"/>
          <w:szCs w:val="32"/>
          <w:lang w:eastAsia="zh-CN"/>
        </w:rPr>
        <w:t>国抽</w:t>
      </w:r>
      <w:r>
        <w:rPr>
          <w:rFonts w:hint="eastAsia" w:ascii="Times New Roman" w:hAnsi="Times New Roman" w:eastAsia="仿宋_GB2312" w:cs="Times New Roman"/>
          <w:color w:val="auto"/>
          <w:sz w:val="32"/>
          <w:szCs w:val="32"/>
          <w:lang w:val="en-US" w:eastAsia="zh-CN"/>
        </w:rPr>
        <w:t>91</w:t>
      </w:r>
      <w:r>
        <w:rPr>
          <w:rFonts w:hint="eastAsia" w:ascii="仿宋_GB2312" w:hAnsi="仿宋_GB2312" w:eastAsia="仿宋_GB2312" w:cs="仿宋_GB2312"/>
          <w:color w:val="000000"/>
          <w:sz w:val="32"/>
          <w:szCs w:val="32"/>
          <w:lang w:val="en-US" w:eastAsia="zh-CN"/>
        </w:rPr>
        <w:t>批次、省抽</w:t>
      </w:r>
      <w:r>
        <w:rPr>
          <w:rFonts w:hint="eastAsia" w:ascii="Times New Roman" w:hAnsi="Times New Roman" w:eastAsia="仿宋_GB2312" w:cs="Times New Roman"/>
          <w:color w:val="000000"/>
          <w:sz w:val="32"/>
          <w:szCs w:val="32"/>
          <w:lang w:val="en-US" w:eastAsia="zh-CN"/>
        </w:rPr>
        <w:t>143</w:t>
      </w:r>
      <w:r>
        <w:rPr>
          <w:rFonts w:hint="eastAsia" w:ascii="仿宋_GB2312" w:hAnsi="仿宋_GB2312" w:eastAsia="仿宋_GB2312" w:cs="仿宋_GB2312"/>
          <w:color w:val="000000"/>
          <w:sz w:val="32"/>
          <w:szCs w:val="32"/>
          <w:lang w:val="en-US" w:eastAsia="zh-CN"/>
        </w:rPr>
        <w:t>批次、风险监测</w:t>
      </w:r>
      <w:r>
        <w:rPr>
          <w:rFonts w:hint="eastAsia" w:ascii="Times New Roman" w:hAnsi="Times New Roman" w:eastAsia="仿宋_GB2312" w:cs="Times New Roman"/>
          <w:color w:val="000000"/>
          <w:sz w:val="32"/>
          <w:szCs w:val="32"/>
          <w:lang w:val="en-US" w:eastAsia="zh-CN"/>
        </w:rPr>
        <w:t>59</w:t>
      </w:r>
      <w:r>
        <w:rPr>
          <w:rFonts w:hint="eastAsia" w:ascii="仿宋_GB2312" w:hAnsi="仿宋_GB2312" w:eastAsia="仿宋_GB2312" w:cs="仿宋_GB2312"/>
          <w:color w:val="000000"/>
          <w:sz w:val="32"/>
          <w:szCs w:val="32"/>
          <w:lang w:val="en-US" w:eastAsia="zh-CN"/>
        </w:rPr>
        <w:t>批次、评价性抽检</w:t>
      </w:r>
      <w:r>
        <w:rPr>
          <w:rFonts w:hint="eastAsia" w:ascii="Times New Roman" w:hAnsi="Times New Roman" w:eastAsia="仿宋_GB2312" w:cs="Times New Roman"/>
          <w:color w:val="000000"/>
          <w:sz w:val="32"/>
          <w:szCs w:val="32"/>
          <w:lang w:val="en-US" w:eastAsia="zh-CN"/>
        </w:rPr>
        <w:t>100</w:t>
      </w:r>
      <w:r>
        <w:rPr>
          <w:rFonts w:hint="eastAsia" w:ascii="仿宋_GB2312" w:hAnsi="仿宋_GB2312" w:eastAsia="仿宋_GB2312" w:cs="仿宋_GB2312"/>
          <w:color w:val="000000"/>
          <w:sz w:val="32"/>
          <w:szCs w:val="32"/>
          <w:lang w:val="en-US" w:eastAsia="zh-CN"/>
        </w:rPr>
        <w:t>批次、</w:t>
      </w:r>
      <w:r>
        <w:rPr>
          <w:rFonts w:hint="eastAsia" w:ascii="仿宋_GB2312" w:hAnsi="仿宋_GB2312" w:eastAsia="仿宋_GB2312" w:cs="仿宋_GB2312"/>
          <w:color w:val="000000"/>
          <w:sz w:val="32"/>
          <w:szCs w:val="32"/>
        </w:rPr>
        <w:t>食用农产品240批次、市抽</w:t>
      </w:r>
      <w:r>
        <w:rPr>
          <w:rFonts w:hint="eastAsia" w:ascii="Times New Roman" w:hAnsi="Times New Roman" w:eastAsia="仿宋_GB2312" w:cs="Times New Roman"/>
          <w:color w:val="000000"/>
          <w:sz w:val="32"/>
          <w:szCs w:val="32"/>
          <w:lang w:val="en-US" w:eastAsia="zh-CN"/>
        </w:rPr>
        <w:t>31</w:t>
      </w:r>
      <w:r>
        <w:rPr>
          <w:rFonts w:hint="eastAsia" w:ascii="仿宋_GB2312" w:hAnsi="仿宋_GB2312" w:eastAsia="仿宋_GB2312" w:cs="仿宋_GB2312"/>
          <w:color w:val="000000"/>
          <w:sz w:val="32"/>
          <w:szCs w:val="32"/>
        </w:rPr>
        <w:t>批次、自主抽检</w:t>
      </w:r>
      <w:r>
        <w:rPr>
          <w:rFonts w:hint="eastAsia" w:ascii="Times New Roman" w:hAnsi="Times New Roman" w:eastAsia="仿宋_GB2312" w:cs="Times New Roman"/>
          <w:color w:val="000000"/>
          <w:sz w:val="32"/>
          <w:szCs w:val="32"/>
          <w:lang w:val="en-US" w:eastAsia="zh-CN"/>
        </w:rPr>
        <w:t>190</w:t>
      </w:r>
      <w:r>
        <w:rPr>
          <w:rFonts w:hint="eastAsia" w:ascii="仿宋_GB2312" w:hAnsi="仿宋_GB2312" w:eastAsia="仿宋_GB2312" w:cs="仿宋_GB2312"/>
          <w:color w:val="000000"/>
          <w:sz w:val="32"/>
          <w:szCs w:val="32"/>
        </w:rPr>
        <w:t>批次，合格率</w:t>
      </w:r>
      <w:r>
        <w:rPr>
          <w:rFonts w:hint="eastAsia" w:ascii="Times New Roman" w:hAnsi="Times New Roman" w:eastAsia="仿宋_GB2312" w:cs="Times New Roman"/>
          <w:color w:val="000000"/>
          <w:sz w:val="32"/>
          <w:szCs w:val="32"/>
          <w:lang w:val="en-US" w:eastAsia="zh-CN"/>
        </w:rPr>
        <w:t>99.76%</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对</w:t>
      </w:r>
      <w:r>
        <w:rPr>
          <w:rFonts w:hint="eastAsia" w:ascii="Times New Roman" w:hAnsi="Times New Roman" w:eastAsia="仿宋_GB2312" w:cs="Times New Roman"/>
          <w:color w:val="000000"/>
          <w:sz w:val="32"/>
          <w:szCs w:val="32"/>
          <w:lang w:val="en-US" w:eastAsia="zh-CN"/>
        </w:rPr>
        <w:t>2</w:t>
      </w:r>
      <w:r>
        <w:rPr>
          <w:rFonts w:hint="eastAsia" w:ascii="仿宋_GB2312" w:hAnsi="仿宋_GB2312" w:eastAsia="仿宋_GB2312" w:cs="仿宋_GB2312"/>
          <w:color w:val="000000"/>
          <w:sz w:val="32"/>
          <w:szCs w:val="32"/>
        </w:rPr>
        <w:t>批次不合格样品全部启动核查处置。</w:t>
      </w:r>
      <w:r>
        <w:rPr>
          <w:rFonts w:hint="eastAsia" w:ascii="仿宋_GB2312" w:hAnsi="仿宋_GB2312" w:eastAsia="仿宋_GB2312" w:cs="仿宋_GB2312"/>
          <w:color w:val="auto"/>
          <w:sz w:val="32"/>
          <w:szCs w:val="32"/>
        </w:rPr>
        <w:t>抽检“瘦肉精”</w:t>
      </w:r>
      <w:r>
        <w:rPr>
          <w:rFonts w:hint="default" w:ascii="Times New Roman" w:hAnsi="Times New Roman" w:eastAsia="仿宋_GB2312" w:cs="Times New Roman"/>
          <w:color w:val="auto"/>
          <w:sz w:val="32"/>
          <w:szCs w:val="32"/>
          <w:lang w:val="en-US" w:eastAsia="zh-CN"/>
        </w:rPr>
        <w:t>15440</w:t>
      </w:r>
      <w:r>
        <w:rPr>
          <w:rFonts w:hint="eastAsia" w:ascii="仿宋_GB2312" w:hAnsi="仿宋_GB2312" w:eastAsia="仿宋_GB2312" w:cs="仿宋_GB2312"/>
          <w:color w:val="auto"/>
          <w:sz w:val="32"/>
          <w:szCs w:val="32"/>
        </w:rPr>
        <w:t>份，无一例阳性。</w:t>
      </w:r>
      <w:r>
        <w:rPr>
          <w:rFonts w:hint="eastAsia" w:ascii="仿宋_GB2312" w:hAnsi="仿宋_GB2312" w:eastAsia="仿宋_GB2312" w:cs="仿宋_GB2312"/>
          <w:color w:val="000000"/>
          <w:sz w:val="32"/>
          <w:szCs w:val="32"/>
        </w:rPr>
        <w:t>“双随机”抽查校园周边食品经营户、网络餐饮服务单位</w:t>
      </w:r>
      <w:r>
        <w:rPr>
          <w:rFonts w:hint="eastAsia" w:ascii="仿宋_GB2312" w:hAnsi="仿宋_GB2312" w:eastAsia="仿宋_GB2312" w:cs="仿宋_GB2312"/>
          <w:color w:val="000000"/>
          <w:sz w:val="32"/>
          <w:szCs w:val="32"/>
          <w:lang w:eastAsia="zh-CN"/>
        </w:rPr>
        <w:t>、学校食堂</w:t>
      </w:r>
      <w:r>
        <w:rPr>
          <w:rFonts w:hint="default" w:ascii="Times New Roman" w:hAnsi="Times New Roman" w:eastAsia="仿宋_GB2312" w:cs="Times New Roman"/>
          <w:color w:val="000000"/>
          <w:sz w:val="32"/>
          <w:szCs w:val="32"/>
          <w:lang w:val="en-US" w:eastAsia="zh-CN"/>
        </w:rPr>
        <w:t>83</w:t>
      </w:r>
      <w:r>
        <w:rPr>
          <w:rFonts w:hint="eastAsia" w:ascii="仿宋_GB2312" w:hAnsi="仿宋_GB2312" w:eastAsia="仿宋_GB2312" w:cs="仿宋_GB2312"/>
          <w:color w:val="000000"/>
          <w:sz w:val="32"/>
          <w:szCs w:val="32"/>
        </w:rPr>
        <w:t>家，抽查结果及时向社会</w:t>
      </w:r>
      <w:r>
        <w:rPr>
          <w:rFonts w:hint="eastAsia" w:ascii="仿宋_GB2312" w:hAnsi="仿宋_GB2312" w:eastAsia="仿宋_GB2312" w:cs="仿宋_GB2312"/>
          <w:color w:val="auto"/>
          <w:sz w:val="32"/>
          <w:szCs w:val="32"/>
          <w:lang w:val="en-US" w:eastAsia="zh-CN"/>
        </w:rPr>
        <w:t>公开。</w:t>
      </w:r>
    </w:p>
    <w:p>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firstLine="640" w:firstLineChars="200"/>
        <w:textAlignment w:val="auto"/>
        <w:rPr>
          <w:rFonts w:hint="eastAsia"/>
        </w:rPr>
      </w:pPr>
      <w:r>
        <w:rPr>
          <w:rStyle w:val="9"/>
          <w:rFonts w:hint="eastAsia" w:ascii="仿宋_GB2312" w:hAnsi="仿宋_GB2312" w:eastAsia="仿宋_GB2312" w:cs="仿宋_GB2312"/>
          <w:b w:val="0"/>
          <w:bCs/>
          <w:sz w:val="32"/>
          <w:szCs w:val="32"/>
        </w:rPr>
        <w:t>“制止餐饮浪费</w:t>
      </w:r>
      <w:r>
        <w:rPr>
          <w:rStyle w:val="9"/>
          <w:rFonts w:hint="eastAsia" w:ascii="仿宋_GB2312" w:hAnsi="仿宋_GB2312" w:eastAsia="仿宋_GB2312" w:cs="仿宋_GB2312"/>
          <w:b w:val="0"/>
          <w:bCs/>
          <w:sz w:val="32"/>
          <w:szCs w:val="32"/>
          <w:lang w:val="en-US"/>
        </w:rPr>
        <w:t xml:space="preserve"> 倡导公筷公勺”推进会</w:t>
      </w:r>
      <w:r>
        <w:rPr>
          <w:rFonts w:hint="eastAsia" w:ascii="仿宋_GB2312" w:hAnsi="仿宋_GB2312" w:eastAsia="仿宋_GB2312" w:cs="仿宋_GB2312"/>
          <w:kern w:val="0"/>
          <w:sz w:val="32"/>
          <w:szCs w:val="32"/>
        </w:rPr>
        <w:t>等培训约谈会议</w:t>
      </w:r>
      <w:r>
        <w:rPr>
          <w:rFonts w:hint="eastAsia" w:ascii="Times New Roman" w:hAnsi="Times New Roman" w:eastAsia="仿宋_GB2312" w:cs="Times New Roman"/>
          <w:sz w:val="32"/>
          <w:szCs w:val="32"/>
          <w:lang w:val="en-US" w:eastAsia="zh-CN"/>
        </w:rPr>
        <w:t>8</w:t>
      </w:r>
      <w:r>
        <w:rPr>
          <w:rFonts w:hint="eastAsia" w:ascii="仿宋_GB2312" w:hAnsi="仿宋_GB2312" w:eastAsia="仿宋_GB2312" w:cs="仿宋_GB2312"/>
          <w:color w:val="auto"/>
          <w:kern w:val="0"/>
          <w:sz w:val="32"/>
          <w:szCs w:val="32"/>
        </w:rPr>
        <w:t>场</w:t>
      </w:r>
      <w:r>
        <w:rPr>
          <w:rFonts w:hint="eastAsia" w:ascii="仿宋_GB2312" w:hAnsi="仿宋_GB2312" w:eastAsia="仿宋_GB2312" w:cs="仿宋_GB2312"/>
          <w:kern w:val="0"/>
          <w:sz w:val="32"/>
          <w:szCs w:val="32"/>
        </w:rPr>
        <w:t>次，培训从业人员及监管人员</w:t>
      </w:r>
      <w:r>
        <w:rPr>
          <w:rFonts w:hint="eastAsia" w:ascii="Times New Roman" w:hAnsi="Times New Roman" w:eastAsia="仿宋_GB2312" w:cs="Times New Roman"/>
          <w:sz w:val="32"/>
          <w:szCs w:val="32"/>
          <w:lang w:val="en-US" w:eastAsia="zh-CN"/>
        </w:rPr>
        <w:t>1000</w:t>
      </w:r>
      <w:r>
        <w:rPr>
          <w:rFonts w:hint="eastAsia" w:ascii="仿宋_GB2312" w:hAnsi="仿宋_GB2312" w:eastAsia="仿宋_GB2312" w:cs="仿宋_GB2312"/>
          <w:kern w:val="0"/>
          <w:sz w:val="32"/>
          <w:szCs w:val="32"/>
        </w:rPr>
        <w:t>余人次，</w:t>
      </w:r>
      <w:r>
        <w:rPr>
          <w:rFonts w:hint="eastAsia" w:ascii="仿宋_GB2312" w:hAnsi="仿宋_GB2312" w:eastAsia="仿宋_GB2312" w:cs="仿宋_GB2312"/>
          <w:kern w:val="0"/>
          <w:sz w:val="32"/>
          <w:szCs w:val="32"/>
          <w:lang w:eastAsia="zh-CN"/>
        </w:rPr>
        <w:t>有效</w:t>
      </w:r>
      <w:r>
        <w:rPr>
          <w:rFonts w:hint="eastAsia" w:ascii="仿宋_GB2312" w:hAnsi="仿宋_GB2312" w:eastAsia="仿宋_GB2312" w:cs="仿宋_GB2312"/>
          <w:kern w:val="0"/>
          <w:sz w:val="32"/>
          <w:szCs w:val="32"/>
        </w:rPr>
        <w:t>提升</w:t>
      </w:r>
      <w:r>
        <w:rPr>
          <w:rFonts w:hint="eastAsia" w:ascii="仿宋_GB2312" w:hAnsi="仿宋_GB2312" w:eastAsia="仿宋_GB2312" w:cs="仿宋_GB2312"/>
          <w:kern w:val="0"/>
          <w:sz w:val="32"/>
          <w:szCs w:val="32"/>
          <w:lang w:eastAsia="zh-CN"/>
        </w:rPr>
        <w:t>了</w:t>
      </w:r>
      <w:r>
        <w:rPr>
          <w:rFonts w:hint="eastAsia" w:ascii="仿宋_GB2312" w:hAnsi="仿宋_GB2312" w:eastAsia="仿宋_GB2312" w:cs="仿宋_GB2312"/>
          <w:kern w:val="0"/>
          <w:sz w:val="32"/>
          <w:szCs w:val="32"/>
        </w:rPr>
        <w:t>经营者食品安全意识</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b w:val="0"/>
          <w:bCs/>
          <w:kern w:val="0"/>
          <w:sz w:val="32"/>
          <w:szCs w:val="32"/>
          <w:lang w:eastAsia="zh-CN"/>
        </w:rPr>
        <w:t>组织</w:t>
      </w:r>
      <w:r>
        <w:rPr>
          <w:rFonts w:hint="eastAsia" w:ascii="仿宋_GB2312" w:hAnsi="仿宋_GB2312" w:eastAsia="仿宋_GB2312" w:cs="仿宋_GB2312"/>
          <w:b w:val="0"/>
          <w:bCs/>
          <w:color w:val="000000"/>
          <w:kern w:val="0"/>
          <w:sz w:val="32"/>
          <w:szCs w:val="32"/>
          <w:lang w:val="zh-TW"/>
        </w:rPr>
        <w:t>开展食品安全进农村、进校园、进企业、进社区、进机关宣传活动，</w:t>
      </w:r>
      <w:r>
        <w:rPr>
          <w:rFonts w:hint="eastAsia" w:ascii="仿宋_GB2312" w:hAnsi="仿宋_GB2312" w:eastAsia="仿宋_GB2312" w:cs="仿宋_GB2312"/>
          <w:kern w:val="0"/>
          <w:sz w:val="32"/>
          <w:szCs w:val="32"/>
        </w:rPr>
        <w:t>印发宣传折页及读本资料</w:t>
      </w:r>
      <w:r>
        <w:rPr>
          <w:rFonts w:hint="eastAsia" w:ascii="Times New Roman" w:hAnsi="Times New Roman" w:eastAsia="仿宋_GB2312" w:cs="Times New Roman"/>
          <w:sz w:val="32"/>
          <w:szCs w:val="32"/>
          <w:lang w:val="en-US" w:eastAsia="zh-CN"/>
        </w:rPr>
        <w:t>5000</w:t>
      </w:r>
      <w:r>
        <w:rPr>
          <w:rFonts w:hint="eastAsia" w:ascii="仿宋_GB2312" w:hAnsi="仿宋_GB2312" w:eastAsia="仿宋_GB2312" w:cs="仿宋_GB2312"/>
          <w:kern w:val="0"/>
          <w:sz w:val="32"/>
          <w:szCs w:val="32"/>
        </w:rPr>
        <w:t>余份</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b w:val="0"/>
          <w:bCs/>
          <w:color w:val="000000"/>
          <w:kern w:val="0"/>
          <w:sz w:val="32"/>
          <w:szCs w:val="32"/>
          <w:lang w:val="zh-TW"/>
        </w:rPr>
        <w:t>印发《食品生产经营单位迎接国家卫生县城复审食品安全知识宣传单</w:t>
      </w:r>
      <w:r>
        <w:rPr>
          <w:rFonts w:hint="eastAsia" w:ascii="Times New Roman" w:hAnsi="Times New Roman" w:eastAsia="仿宋_GB2312" w:cs="Times New Roman"/>
          <w:sz w:val="32"/>
          <w:szCs w:val="32"/>
          <w:lang w:val="zh-TW" w:eastAsia="zh-CN"/>
        </w:rPr>
        <w:t>》3000</w:t>
      </w:r>
      <w:r>
        <w:rPr>
          <w:rFonts w:hint="eastAsia" w:ascii="仿宋_GB2312" w:hAnsi="仿宋_GB2312" w:eastAsia="仿宋_GB2312" w:cs="仿宋_GB2312"/>
          <w:b w:val="0"/>
          <w:bCs/>
          <w:color w:val="000000"/>
          <w:kern w:val="0"/>
          <w:sz w:val="32"/>
          <w:szCs w:val="32"/>
          <w:lang w:val="zh-TW"/>
        </w:rPr>
        <w:t>余份</w:t>
      </w:r>
      <w:r>
        <w:rPr>
          <w:rFonts w:hint="eastAsia" w:ascii="仿宋_GB2312" w:hAnsi="仿宋_GB2312" w:eastAsia="仿宋_GB2312" w:cs="仿宋_GB2312"/>
          <w:b w:val="0"/>
          <w:bCs/>
          <w:color w:val="000000"/>
          <w:kern w:val="0"/>
          <w:sz w:val="32"/>
          <w:szCs w:val="32"/>
          <w:lang w:val="zh-TW" w:eastAsia="zh-CN"/>
        </w:rPr>
        <w:t>、</w:t>
      </w:r>
      <w:r>
        <w:rPr>
          <w:rFonts w:hint="eastAsia" w:ascii="仿宋_GB2312" w:hAnsi="仿宋_GB2312" w:eastAsia="仿宋_GB2312" w:cs="仿宋_GB2312"/>
          <w:sz w:val="32"/>
          <w:szCs w:val="32"/>
        </w:rPr>
        <w:t>在汽车站设立的创卫大型户外广告牌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color w:val="000000"/>
          <w:kern w:val="0"/>
          <w:sz w:val="32"/>
          <w:szCs w:val="32"/>
          <w:lang w:val="zh-TW"/>
        </w:rPr>
        <w:t>进一步扩大创卫工作知晓率</w:t>
      </w:r>
      <w:r>
        <w:rPr>
          <w:rFonts w:hint="eastAsia" w:ascii="仿宋_GB2312" w:hAnsi="仿宋_GB2312" w:eastAsia="仿宋_GB2312" w:cs="仿宋_GB2312"/>
          <w:b w:val="0"/>
          <w:bCs/>
          <w:color w:val="000000"/>
          <w:kern w:val="0"/>
          <w:sz w:val="32"/>
          <w:szCs w:val="32"/>
          <w:lang w:val="zh-TW" w:eastAsia="zh-CN"/>
        </w:rPr>
        <w:t>；</w:t>
      </w:r>
      <w:r>
        <w:rPr>
          <w:rFonts w:hint="eastAsia" w:ascii="仿宋_GB2312" w:hAnsi="仿宋_GB2312" w:eastAsia="仿宋_GB2312" w:cs="仿宋_GB2312"/>
          <w:color w:val="000000"/>
          <w:sz w:val="32"/>
          <w:szCs w:val="32"/>
        </w:rPr>
        <w:t>通过</w:t>
      </w:r>
      <w:r>
        <w:rPr>
          <w:rFonts w:hint="eastAsia" w:ascii="仿宋_GB2312" w:hAnsi="仿宋_GB2312" w:eastAsia="仿宋_GB2312" w:cs="仿宋_GB2312"/>
          <w:color w:val="000000"/>
          <w:sz w:val="32"/>
          <w:szCs w:val="32"/>
          <w:lang w:eastAsia="zh-CN"/>
        </w:rPr>
        <w:t>国家食品安全抽检系统、盐池县</w:t>
      </w:r>
      <w:r>
        <w:rPr>
          <w:rFonts w:hint="eastAsia" w:ascii="仿宋_GB2312" w:hAnsi="仿宋_GB2312" w:eastAsia="仿宋_GB2312" w:cs="仿宋_GB2312"/>
          <w:color w:val="000000"/>
          <w:sz w:val="32"/>
          <w:szCs w:val="32"/>
        </w:rPr>
        <w:t>政府门户网站</w:t>
      </w:r>
      <w:r>
        <w:rPr>
          <w:rFonts w:hint="eastAsia" w:ascii="仿宋_GB2312" w:hAnsi="仿宋_GB2312" w:eastAsia="仿宋_GB2312" w:cs="仿宋_GB2312"/>
          <w:color w:val="000000"/>
          <w:sz w:val="32"/>
          <w:szCs w:val="32"/>
          <w:lang w:eastAsia="zh-CN"/>
        </w:rPr>
        <w:t>和</w:t>
      </w:r>
      <w:r>
        <w:rPr>
          <w:rFonts w:hint="eastAsia" w:ascii="仿宋_GB2312" w:hAnsi="仿宋_GB2312" w:eastAsia="仿宋_GB2312" w:cs="仿宋_GB2312"/>
          <w:color w:val="000000"/>
          <w:sz w:val="32"/>
          <w:szCs w:val="32"/>
        </w:rPr>
        <w:t>微信公众号公布食品监督抽检信息</w:t>
      </w:r>
      <w:r>
        <w:rPr>
          <w:rFonts w:hint="eastAsia" w:ascii="Times New Roman" w:hAnsi="Times New Roman" w:eastAsia="仿宋_GB2312" w:cs="Times New Roman"/>
          <w:sz w:val="32"/>
          <w:szCs w:val="32"/>
          <w:lang w:val="en-US" w:eastAsia="zh-CN"/>
        </w:rPr>
        <w:t>15</w:t>
      </w:r>
      <w:r>
        <w:rPr>
          <w:rFonts w:hint="eastAsia" w:ascii="仿宋_GB2312" w:hAnsi="仿宋_GB2312" w:eastAsia="仿宋_GB2312" w:cs="仿宋_GB2312"/>
          <w:color w:val="000000"/>
          <w:sz w:val="32"/>
          <w:szCs w:val="32"/>
        </w:rPr>
        <w:t>期，公示率</w:t>
      </w:r>
      <w:r>
        <w:rPr>
          <w:rFonts w:hint="eastAsia" w:ascii="Times New Roman" w:hAnsi="Times New Roman" w:eastAsia="仿宋_GB2312" w:cs="Times New Roman"/>
          <w:sz w:val="32"/>
          <w:szCs w:val="32"/>
          <w:lang w:val="en-US" w:eastAsia="zh-CN"/>
        </w:rPr>
        <w:t>100%</w:t>
      </w:r>
      <w:r>
        <w:rPr>
          <w:rFonts w:hint="eastAsia" w:ascii="仿宋_GB2312" w:hAnsi="仿宋_GB2312" w:eastAsia="仿宋_GB2312" w:cs="仿宋_GB2312"/>
          <w:color w:val="000000"/>
          <w:sz w:val="32"/>
          <w:szCs w:val="32"/>
        </w:rPr>
        <w:t>；受理食品消费投诉</w:t>
      </w:r>
      <w:r>
        <w:rPr>
          <w:rFonts w:hint="eastAsia" w:ascii="Times New Roman" w:hAnsi="Times New Roman" w:eastAsia="仿宋_GB2312" w:cs="Times New Roman"/>
          <w:sz w:val="32"/>
          <w:szCs w:val="32"/>
          <w:lang w:val="en-US" w:eastAsia="zh-CN"/>
        </w:rPr>
        <w:t>38</w:t>
      </w:r>
      <w:r>
        <w:rPr>
          <w:rFonts w:hint="eastAsia" w:ascii="仿宋_GB2312" w:hAnsi="仿宋_GB2312" w:eastAsia="仿宋_GB2312" w:cs="仿宋_GB2312"/>
          <w:color w:val="000000"/>
          <w:sz w:val="32"/>
          <w:szCs w:val="32"/>
        </w:rPr>
        <w:t>件，调解成功率</w:t>
      </w:r>
      <w:r>
        <w:rPr>
          <w:rFonts w:hint="eastAsia" w:ascii="Times New Roman" w:hAnsi="Times New Roman" w:eastAsia="仿宋_GB2312" w:cs="Times New Roman"/>
          <w:sz w:val="32"/>
          <w:szCs w:val="32"/>
          <w:lang w:val="en-US" w:eastAsia="zh-CN"/>
        </w:rPr>
        <w:t>95</w:t>
      </w:r>
      <w:r>
        <w:rPr>
          <w:rFonts w:hint="eastAsia" w:ascii="Times New Roman" w:hAnsi="Times New Roman" w:eastAsia="仿宋_GB2312" w:cs="Times New Roman"/>
          <w:sz w:val="32"/>
          <w:szCs w:val="32"/>
        </w:rPr>
        <w:t>%</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sz w:val="32"/>
          <w:szCs w:val="32"/>
        </w:rPr>
        <w:t>印制了</w:t>
      </w:r>
      <w:r>
        <w:rPr>
          <w:rFonts w:hint="default" w:ascii="Times New Roman" w:hAnsi="Times New Roman" w:eastAsia="仿宋_GB2312" w:cs="Times New Roman"/>
          <w:sz w:val="32"/>
          <w:szCs w:val="32"/>
        </w:rPr>
        <w:t>1500</w:t>
      </w:r>
      <w:r>
        <w:rPr>
          <w:rFonts w:hint="eastAsia" w:ascii="仿宋_GB2312" w:hAnsi="仿宋_GB2312" w:eastAsia="仿宋_GB2312" w:cs="仿宋_GB2312"/>
          <w:sz w:val="32"/>
          <w:szCs w:val="32"/>
        </w:rPr>
        <w:t>个“文明餐桌、公筷公勺”提示牌，要求餐厅饭店将提示牌摆放在用餐场所。宣传引导经营户积极倡导顾客自觉使用公筷公勺，增强卫生健康意识，形成文明就餐新“食”尚。</w:t>
      </w:r>
    </w:p>
    <w:p>
      <w:pPr>
        <w:tabs>
          <w:tab w:val="left" w:pos="312"/>
        </w:tabs>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全年未发生一般及以上食品安全事故，有力保障了人民群众的饮食安全。</w:t>
      </w:r>
    </w:p>
    <w:p>
      <w:pPr>
        <w:tabs>
          <w:tab w:val="left" w:pos="312"/>
        </w:tabs>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1.产出指标完成情况分析</w:t>
      </w:r>
    </w:p>
    <w:p>
      <w:pPr>
        <w:tabs>
          <w:tab w:val="left" w:pos="312"/>
        </w:tabs>
        <w:ind w:firstLine="643"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（1）数量指标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完成检查次数</w:t>
      </w:r>
      <w:r>
        <w:rPr>
          <w:rFonts w:hint="eastAsia" w:ascii="仿宋_GB2312" w:hAnsi="仿宋_GB2312" w:eastAsia="仿宋_GB2312" w:cs="仿宋_GB2312"/>
          <w:sz w:val="32"/>
          <w:szCs w:val="32"/>
          <w:lang w:val="en-US" w:eastAsia="zh-CN"/>
        </w:rPr>
        <w:t>300余次/月，已完成；完成检查经营单位30000余家次，检查30000余家次，已完成；食品快速检测1020批次，已完成；宣传单宣传品等印刷20000余份，已完成；对学校食堂进行两轮复学复课安全评估44家，已完成；培训约谈会议30余场次，已完成；培训从业人员及监管人员5000余人次，已完成；公布食品抽检信息15期，已完成；受理食品消费投诉38件；印制“文明餐桌、公勺公筷”提示牌1500个，已完成；完成小作坊升级改造33家，已完成；大中型食品安全保障工作18场，已完成；登记备案农村集体聚餐282户次，已完成；双随机抽查83家，已完成；小学幼儿园食堂“互联网+明厨亮灶”44家，已完成；食品质量安全专项整治18场，已完成；立案查处违法案件23起，已完成；。</w:t>
      </w:r>
    </w:p>
    <w:p>
      <w:pPr>
        <w:tabs>
          <w:tab w:val="left" w:pos="312"/>
        </w:tabs>
        <w:ind w:firstLine="643"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（2）质量指标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食品经营风险等级评定率</w:t>
      </w:r>
      <w:r>
        <w:rPr>
          <w:rFonts w:hint="eastAsia" w:ascii="仿宋_GB2312" w:hAnsi="仿宋_GB2312" w:eastAsia="仿宋_GB2312" w:cs="仿宋_GB2312"/>
          <w:sz w:val="32"/>
          <w:szCs w:val="32"/>
          <w:lang w:val="en-US" w:eastAsia="zh-CN"/>
        </w:rPr>
        <w:t>100%，已完成；</w:t>
      </w:r>
      <w:r>
        <w:rPr>
          <w:rFonts w:hint="eastAsia" w:ascii="仿宋_GB2312" w:hAnsi="仿宋_GB2312" w:eastAsia="仿宋_GB2312" w:cs="仿宋_GB2312"/>
          <w:sz w:val="32"/>
          <w:szCs w:val="32"/>
          <w:lang w:eastAsia="zh-CN"/>
        </w:rPr>
        <w:t>抽检不合格食品核查处置率</w:t>
      </w:r>
      <w:r>
        <w:rPr>
          <w:rFonts w:hint="eastAsia" w:ascii="仿宋_GB2312" w:hAnsi="仿宋_GB2312" w:eastAsia="仿宋_GB2312" w:cs="仿宋_GB2312"/>
          <w:sz w:val="32"/>
          <w:szCs w:val="32"/>
          <w:lang w:val="en-US" w:eastAsia="zh-CN"/>
        </w:rPr>
        <w:t>100%；食品安全投诉举报处置率100%；食品抽检应公布信息的公布率100%；抽检检测结果系统录入率100%。</w:t>
      </w:r>
    </w:p>
    <w:p>
      <w:pPr>
        <w:tabs>
          <w:tab w:val="left" w:pos="312"/>
        </w:tabs>
        <w:ind w:firstLine="643"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（3）时效指标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已按目标全部按时完成。</w:t>
      </w:r>
    </w:p>
    <w:p>
      <w:pPr>
        <w:tabs>
          <w:tab w:val="left" w:pos="312"/>
        </w:tabs>
        <w:ind w:firstLine="643"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（4）成本指标</w:t>
      </w:r>
      <w:r>
        <w:rPr>
          <w:rFonts w:hint="eastAsia" w:ascii="仿宋_GB2312" w:hAnsi="仿宋_GB2312" w:eastAsia="仿宋_GB2312" w:cs="仿宋_GB2312"/>
          <w:sz w:val="32"/>
          <w:szCs w:val="32"/>
          <w:lang w:eastAsia="zh-CN"/>
        </w:rPr>
        <w:t>。食品抽检费平均每批次费用目标不高于</w:t>
      </w:r>
      <w:r>
        <w:rPr>
          <w:rFonts w:hint="eastAsia" w:ascii="仿宋_GB2312" w:hAnsi="仿宋_GB2312" w:eastAsia="仿宋_GB2312" w:cs="仿宋_GB2312"/>
          <w:sz w:val="32"/>
          <w:szCs w:val="32"/>
          <w:lang w:val="en-US" w:eastAsia="zh-CN"/>
        </w:rPr>
        <w:t>2500元/批次，完成每次490元，未超标。</w:t>
      </w:r>
    </w:p>
    <w:p>
      <w:pPr>
        <w:tabs>
          <w:tab w:val="left" w:pos="312"/>
        </w:tabs>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2.效益指标完成情况分析</w:t>
      </w:r>
    </w:p>
    <w:p>
      <w:pPr>
        <w:tabs>
          <w:tab w:val="left" w:pos="312"/>
        </w:tabs>
        <w:ind w:firstLine="643"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（1）社会效益指标。</w:t>
      </w:r>
      <w:r>
        <w:rPr>
          <w:rFonts w:hint="eastAsia" w:ascii="仿宋_GB2312" w:hAnsi="仿宋_GB2312" w:eastAsia="仿宋_GB2312" w:cs="仿宋_GB2312"/>
          <w:sz w:val="32"/>
          <w:szCs w:val="32"/>
          <w:lang w:val="en-US" w:eastAsia="zh-CN"/>
        </w:rPr>
        <w:t>未发生重大食品安全事故。</w:t>
      </w:r>
    </w:p>
    <w:p>
      <w:pPr>
        <w:tabs>
          <w:tab w:val="left" w:pos="312"/>
        </w:tabs>
        <w:ind w:firstLine="643"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（2）可持续影响指标。</w:t>
      </w:r>
      <w:r>
        <w:rPr>
          <w:rFonts w:hint="eastAsia" w:ascii="仿宋_GB2312" w:hAnsi="仿宋_GB2312" w:eastAsia="仿宋_GB2312" w:cs="仿宋_GB2312"/>
          <w:sz w:val="32"/>
          <w:szCs w:val="32"/>
          <w:lang w:val="en-US" w:eastAsia="zh-CN"/>
        </w:rPr>
        <w:t>为科学制定食品安全监管措施提供依据，提高食品生产行业自律能力，保障食品安全。</w:t>
      </w:r>
    </w:p>
    <w:p>
      <w:pPr>
        <w:tabs>
          <w:tab w:val="left" w:pos="312"/>
        </w:tabs>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3.满意度指标完成情况分析</w:t>
      </w:r>
    </w:p>
    <w:p>
      <w:pPr>
        <w:tabs>
          <w:tab w:val="left" w:pos="312"/>
        </w:tabs>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目标服务对象满意度逐年提升，通过宣传群众对食品安全满意度逐年提升。</w:t>
      </w:r>
    </w:p>
    <w:p>
      <w:pPr>
        <w:numPr>
          <w:ilvl w:val="0"/>
          <w:numId w:val="1"/>
        </w:numPr>
        <w:tabs>
          <w:tab w:val="left" w:pos="312"/>
        </w:tabs>
        <w:ind w:firstLine="755" w:firstLineChars="236"/>
        <w:jc w:val="left"/>
        <w:rPr>
          <w:rFonts w:hint="eastAsia" w:ascii="黑体" w:hAnsi="黑体" w:eastAsia="黑体" w:cs="黑体"/>
          <w:sz w:val="32"/>
          <w:szCs w:val="32"/>
        </w:rPr>
      </w:pPr>
      <w:r>
        <w:rPr>
          <w:rFonts w:hint="eastAsia" w:ascii="黑体" w:hAnsi="黑体" w:eastAsia="黑体" w:cs="黑体"/>
          <w:sz w:val="32"/>
          <w:szCs w:val="32"/>
        </w:rPr>
        <w:t>偏离绩效目标的原因和下一步改进措施</w:t>
      </w:r>
    </w:p>
    <w:p>
      <w:pPr>
        <w:tabs>
          <w:tab w:val="left" w:pos="312"/>
        </w:tabs>
        <w:ind w:firstLine="758" w:firstLineChars="236"/>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（一）偏离绩效目标的原因</w:t>
      </w:r>
    </w:p>
    <w:p>
      <w:pPr>
        <w:keepNext w:val="0"/>
        <w:keepLines w:val="0"/>
        <w:pageBreakBefore w:val="0"/>
        <w:widowControl w:val="0"/>
        <w:kinsoku/>
        <w:wordWrap/>
        <w:overflowPunct/>
        <w:topLinePunct w:val="0"/>
        <w:autoSpaceDN w:val="0"/>
        <w:bidi w:val="0"/>
        <w:adjustRightInd/>
        <w:snapToGrid/>
        <w:spacing w:line="600" w:lineRule="exact"/>
        <w:ind w:left="0" w:firstLine="951" w:firstLineChars="296"/>
        <w:textAlignment w:val="auto"/>
        <w:rPr>
          <w:rFonts w:hint="eastAsia" w:ascii="仿宋_GB2312" w:hAnsi="仿宋_GB2312" w:eastAsia="仿宋_GB2312" w:cs="仿宋_GB2312"/>
          <w:color w:val="000000"/>
          <w:sz w:val="32"/>
          <w:szCs w:val="32"/>
          <w:lang w:val="zh-CN"/>
        </w:rPr>
      </w:pPr>
      <w:r>
        <w:rPr>
          <w:rFonts w:hint="eastAsia" w:ascii="楷体_GB2312" w:hAnsi="楷体_GB2312" w:eastAsia="楷体_GB2312" w:cs="楷体_GB2312"/>
          <w:b/>
          <w:kern w:val="0"/>
          <w:sz w:val="32"/>
          <w:szCs w:val="32"/>
        </w:rPr>
        <w:t>一是</w:t>
      </w:r>
      <w:r>
        <w:rPr>
          <w:rFonts w:hint="eastAsia" w:ascii="仿宋_GB2312" w:hAnsi="仿宋_GB2312" w:eastAsia="仿宋_GB2312" w:cs="仿宋_GB2312"/>
          <w:kern w:val="0"/>
          <w:sz w:val="32"/>
          <w:szCs w:val="32"/>
        </w:rPr>
        <w:t>部分</w:t>
      </w:r>
      <w:r>
        <w:rPr>
          <w:rFonts w:hint="eastAsia" w:ascii="仿宋_GB2312" w:hAnsi="仿宋_GB2312" w:eastAsia="仿宋_GB2312" w:cs="仿宋_GB2312"/>
          <w:bCs/>
          <w:kern w:val="0"/>
          <w:sz w:val="32"/>
          <w:szCs w:val="32"/>
        </w:rPr>
        <w:t>食品生产经营者</w:t>
      </w:r>
      <w:r>
        <w:rPr>
          <w:rFonts w:hint="eastAsia" w:ascii="仿宋_GB2312" w:hAnsi="仿宋_GB2312" w:eastAsia="仿宋_GB2312" w:cs="仿宋_GB2312"/>
          <w:kern w:val="0"/>
          <w:sz w:val="32"/>
          <w:szCs w:val="32"/>
        </w:rPr>
        <w:t>主体责任意识和安全意识不强，</w:t>
      </w:r>
      <w:r>
        <w:rPr>
          <w:rFonts w:hint="eastAsia" w:ascii="仿宋_GB2312" w:hAnsi="仿宋_GB2312" w:eastAsia="仿宋_GB2312" w:cs="仿宋_GB2312"/>
          <w:bCs/>
          <w:kern w:val="0"/>
          <w:sz w:val="32"/>
          <w:szCs w:val="32"/>
        </w:rPr>
        <w:t>自律意识和质量控制能力有待提高。</w:t>
      </w:r>
      <w:r>
        <w:rPr>
          <w:rFonts w:hint="eastAsia" w:ascii="楷体_GB2312" w:hAnsi="楷体_GB2312" w:eastAsia="楷体_GB2312" w:cs="楷体_GB2312"/>
          <w:b/>
          <w:kern w:val="0"/>
          <w:sz w:val="32"/>
          <w:szCs w:val="32"/>
        </w:rPr>
        <w:t>二是</w:t>
      </w:r>
      <w:r>
        <w:rPr>
          <w:rFonts w:hint="eastAsia" w:ascii="仿宋_GB2312" w:hAnsi="仿宋_GB2312" w:eastAsia="仿宋_GB2312" w:cs="仿宋_GB2312"/>
          <w:sz w:val="32"/>
          <w:szCs w:val="32"/>
        </w:rPr>
        <w:t>监管范围广，跨度大、任务重，</w:t>
      </w:r>
      <w:r>
        <w:rPr>
          <w:rFonts w:hint="eastAsia" w:ascii="仿宋_GB2312" w:hAnsi="仿宋_GB2312" w:eastAsia="仿宋_GB2312" w:cs="仿宋_GB2312"/>
          <w:bCs/>
          <w:kern w:val="0"/>
          <w:sz w:val="32"/>
          <w:szCs w:val="32"/>
        </w:rPr>
        <w:t>监管力量不足</w:t>
      </w:r>
      <w:r>
        <w:rPr>
          <w:rFonts w:hint="eastAsia" w:ascii="仿宋_GB2312" w:hAnsi="仿宋_GB2312" w:eastAsia="仿宋_GB2312" w:cs="仿宋_GB2312"/>
          <w:bCs/>
          <w:kern w:val="0"/>
          <w:sz w:val="32"/>
          <w:szCs w:val="32"/>
          <w:lang w:eastAsia="zh-CN"/>
        </w:rPr>
        <w:t>。</w:t>
      </w:r>
      <w:r>
        <w:rPr>
          <w:rFonts w:hint="eastAsia" w:ascii="楷体_GB2312" w:hAnsi="楷体_GB2312" w:eastAsia="楷体_GB2312" w:cs="楷体_GB2312"/>
          <w:b/>
          <w:kern w:val="0"/>
          <w:sz w:val="32"/>
          <w:szCs w:val="32"/>
          <w:lang w:eastAsia="zh-CN"/>
        </w:rPr>
        <w:t>三</w:t>
      </w:r>
      <w:r>
        <w:rPr>
          <w:rFonts w:hint="eastAsia" w:ascii="楷体_GB2312" w:hAnsi="楷体_GB2312" w:eastAsia="楷体_GB2312" w:cs="楷体_GB2312"/>
          <w:b/>
          <w:kern w:val="0"/>
          <w:sz w:val="32"/>
          <w:szCs w:val="32"/>
          <w:lang w:val="zh-CN"/>
        </w:rPr>
        <w:t>是</w:t>
      </w:r>
      <w:r>
        <w:rPr>
          <w:rFonts w:hint="eastAsia" w:ascii="仿宋_GB2312" w:hAnsi="仿宋_GB2312" w:eastAsia="仿宋_GB2312" w:cs="仿宋_GB2312"/>
          <w:sz w:val="32"/>
          <w:szCs w:val="32"/>
          <w:lang w:val="zh-CN"/>
        </w:rPr>
        <w:t>食品侵权假冒行为屡禁不绝，农村食品市场销售“三无“食品、过期食品、“山寨”食品行为仍然存在。</w:t>
      </w:r>
    </w:p>
    <w:p>
      <w:pPr>
        <w:numPr>
          <w:ilvl w:val="0"/>
          <w:numId w:val="0"/>
        </w:numPr>
        <w:tabs>
          <w:tab w:val="left" w:pos="312"/>
        </w:tabs>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eastAsia="zh-CN"/>
        </w:rPr>
        <w:t>（</w:t>
      </w:r>
      <w:r>
        <w:rPr>
          <w:rFonts w:hint="eastAsia" w:ascii="仿宋_GB2312" w:hAnsi="仿宋_GB2312" w:eastAsia="仿宋_GB2312" w:cs="仿宋_GB2312"/>
          <w:b/>
          <w:bCs/>
          <w:sz w:val="32"/>
          <w:szCs w:val="32"/>
          <w:lang w:val="en-US" w:eastAsia="zh-CN"/>
        </w:rPr>
        <w:t>二）下一步改进措施</w:t>
      </w:r>
    </w:p>
    <w:p>
      <w:pPr>
        <w:tabs>
          <w:tab w:val="left" w:pos="312"/>
        </w:tabs>
        <w:ind w:firstLine="755" w:firstLineChars="236"/>
        <w:jc w:val="left"/>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eastAsia="zh-CN"/>
        </w:rPr>
        <w:t>下一步，</w:t>
      </w:r>
      <w:r>
        <w:rPr>
          <w:rFonts w:hint="eastAsia" w:ascii="仿宋_GB2312" w:hAnsi="仿宋_GB2312" w:eastAsia="仿宋_GB2312" w:cs="仿宋_GB2312"/>
          <w:color w:val="000000"/>
          <w:sz w:val="32"/>
          <w:szCs w:val="32"/>
        </w:rPr>
        <w:t>我县将</w:t>
      </w:r>
      <w:r>
        <w:rPr>
          <w:rFonts w:hint="eastAsia" w:ascii="仿宋_GB2312" w:hAnsi="仿宋_GB2312" w:eastAsia="仿宋_GB2312" w:cs="仿宋_GB2312"/>
          <w:color w:val="000000"/>
          <w:sz w:val="32"/>
          <w:szCs w:val="32"/>
          <w:lang w:eastAsia="zh-CN"/>
        </w:rPr>
        <w:t>结合全域创建“食品药品安全区”工作要求，</w:t>
      </w:r>
      <w:r>
        <w:rPr>
          <w:rFonts w:hint="eastAsia" w:ascii="仿宋_GB2312" w:hAnsi="仿宋_GB2312" w:eastAsia="仿宋_GB2312" w:cs="仿宋_GB2312"/>
          <w:color w:val="000000"/>
          <w:sz w:val="32"/>
          <w:szCs w:val="32"/>
        </w:rPr>
        <w:t>进一</w:t>
      </w:r>
      <w:bookmarkStart w:id="0" w:name="_GoBack"/>
      <w:bookmarkEnd w:id="0"/>
      <w:r>
        <w:rPr>
          <w:rFonts w:hint="eastAsia" w:ascii="仿宋_GB2312" w:hAnsi="仿宋_GB2312" w:eastAsia="仿宋_GB2312" w:cs="仿宋_GB2312"/>
          <w:color w:val="000000"/>
          <w:sz w:val="32"/>
          <w:szCs w:val="32"/>
        </w:rPr>
        <w:t>步提升食品安全治理能力和水平，坚决防控食品安全风险，确保人民群众的饮食安全。</w:t>
      </w:r>
      <w:r>
        <w:rPr>
          <w:rFonts w:hint="eastAsia" w:ascii="楷体_GB2312" w:hAnsi="楷体_GB2312" w:eastAsia="楷体_GB2312" w:cs="楷体_GB2312"/>
          <w:b/>
          <w:kern w:val="0"/>
          <w:sz w:val="32"/>
          <w:szCs w:val="32"/>
          <w:lang w:eastAsia="zh-CN"/>
        </w:rPr>
        <w:t>一是加强安全监管。</w:t>
      </w:r>
      <w:r>
        <w:rPr>
          <w:rFonts w:hint="eastAsia" w:ascii="仿宋_GB2312" w:hAnsi="仿宋_GB2312" w:eastAsia="仿宋_GB2312" w:cs="仿宋_GB2312"/>
          <w:color w:val="000000"/>
          <w:sz w:val="32"/>
          <w:szCs w:val="32"/>
        </w:rPr>
        <w:t>扎实推进食品加工小作坊</w:t>
      </w:r>
      <w:r>
        <w:rPr>
          <w:rFonts w:hint="eastAsia" w:ascii="仿宋_GB2312" w:hAnsi="仿宋_GB2312" w:eastAsia="仿宋_GB2312" w:cs="仿宋_GB2312"/>
          <w:color w:val="000000"/>
          <w:sz w:val="32"/>
          <w:szCs w:val="32"/>
          <w:lang w:eastAsia="zh-CN"/>
        </w:rPr>
        <w:t>提档升级</w:t>
      </w:r>
      <w:r>
        <w:rPr>
          <w:rFonts w:hint="eastAsia" w:ascii="仿宋_GB2312" w:hAnsi="仿宋_GB2312" w:eastAsia="仿宋_GB2312" w:cs="仿宋_GB2312"/>
          <w:color w:val="000000"/>
          <w:sz w:val="32"/>
          <w:szCs w:val="32"/>
        </w:rPr>
        <w:t>行动，抓好“一老一少”（保健食品、婴幼儿配方乳粉）、“一特二大三小”（地方特色食品，大食品企业、大宗食品，小作坊、小摊点、小餐饮）食品安全监管，集中开展校园食品安全守护行动、农村</w:t>
      </w:r>
      <w:r>
        <w:rPr>
          <w:rFonts w:hint="eastAsia"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HYPERLINK "https://wiki.antpedia.com/guojiazhijianzongjuzhaokaidajijiamaobaohumingyouzuotanhui-106786-news"</w:instrText>
      </w:r>
      <w:r>
        <w:rPr>
          <w:rFonts w:hint="eastAsia"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t>假冒伪劣</w:t>
      </w:r>
      <w:r>
        <w:rPr>
          <w:rFonts w:hint="eastAsia" w:ascii="仿宋_GB2312" w:hAnsi="仿宋_GB2312" w:eastAsia="仿宋_GB2312" w:cs="仿宋_GB2312"/>
          <w:color w:val="000000"/>
          <w:sz w:val="32"/>
          <w:szCs w:val="32"/>
        </w:rPr>
        <w:fldChar w:fldCharType="end"/>
      </w:r>
      <w:r>
        <w:rPr>
          <w:rFonts w:hint="eastAsia" w:ascii="仿宋_GB2312" w:hAnsi="仿宋_GB2312" w:eastAsia="仿宋_GB2312" w:cs="仿宋_GB2312"/>
          <w:color w:val="000000"/>
          <w:sz w:val="32"/>
          <w:szCs w:val="32"/>
        </w:rPr>
        <w:t>食品治理行动、餐饮质量安全提升行动、</w:t>
      </w:r>
      <w:r>
        <w:rPr>
          <w:rFonts w:hint="eastAsia"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HYPERLINK "https://wiki.antpedia.com/guojiayaojianjunijiaqiangduibaojianshipinderichangjianguan-65164-news"</w:instrText>
      </w:r>
      <w:r>
        <w:rPr>
          <w:rFonts w:hint="eastAsia" w:ascii="仿宋_GB2312" w:hAnsi="仿宋_GB2312" w:eastAsia="仿宋_GB2312" w:cs="仿宋_GB2312"/>
          <w:color w:val="000000"/>
          <w:sz w:val="32"/>
          <w:szCs w:val="32"/>
        </w:rPr>
        <w:fldChar w:fldCharType="separate"/>
      </w:r>
      <w:r>
        <w:rPr>
          <w:rFonts w:hint="eastAsia" w:ascii="仿宋_GB2312" w:hAnsi="仿宋_GB2312" w:eastAsia="仿宋_GB2312" w:cs="仿宋_GB2312"/>
          <w:color w:val="000000"/>
          <w:sz w:val="32"/>
          <w:szCs w:val="32"/>
        </w:rPr>
        <w:t>保健食品</w:t>
      </w:r>
      <w:r>
        <w:rPr>
          <w:rFonts w:hint="eastAsia" w:ascii="仿宋_GB2312" w:hAnsi="仿宋_GB2312" w:eastAsia="仿宋_GB2312" w:cs="仿宋_GB2312"/>
          <w:color w:val="000000"/>
          <w:sz w:val="32"/>
          <w:szCs w:val="32"/>
        </w:rPr>
        <w:fldChar w:fldCharType="end"/>
      </w:r>
      <w:r>
        <w:rPr>
          <w:rFonts w:hint="eastAsia" w:ascii="仿宋_GB2312" w:hAnsi="仿宋_GB2312" w:eastAsia="仿宋_GB2312" w:cs="仿宋_GB2312"/>
          <w:color w:val="000000"/>
          <w:sz w:val="32"/>
          <w:szCs w:val="32"/>
        </w:rPr>
        <w:t>行业专项清理整治行动、重大活动食品安全保障行动、问题食品集中整治行动等专项行动，有效防范和遏制安全事故发生。</w:t>
      </w:r>
      <w:r>
        <w:rPr>
          <w:rFonts w:hint="eastAsia" w:ascii="楷体_GB2312" w:hAnsi="楷体_GB2312" w:eastAsia="楷体_GB2312" w:cs="楷体_GB2312"/>
          <w:b/>
          <w:kern w:val="0"/>
          <w:sz w:val="32"/>
          <w:szCs w:val="32"/>
          <w:lang w:eastAsia="zh-CN"/>
        </w:rPr>
        <w:t>二是强化部门协作。</w:t>
      </w:r>
      <w:r>
        <w:rPr>
          <w:rFonts w:hint="eastAsia" w:ascii="仿宋_GB2312" w:hAnsi="仿宋_GB2312" w:eastAsia="仿宋_GB2312" w:cs="仿宋_GB2312"/>
          <w:color w:val="000000"/>
          <w:sz w:val="32"/>
          <w:szCs w:val="32"/>
        </w:rPr>
        <w:t>会同相关部门全面梳理在监督检查、抽检监测、案件查办、投诉举报、媒体曝光中发现的问题线索，聚焦重点任务，持续加大监管力度，深挖食品领域严重侵害群众利益的突出问题，不断提升人民群众饮食安全感、获得感、幸福感。</w:t>
      </w:r>
      <w:r>
        <w:rPr>
          <w:rFonts w:hint="eastAsia" w:ascii="楷体_GB2312" w:hAnsi="楷体_GB2312" w:eastAsia="楷体_GB2312" w:cs="楷体_GB2312"/>
          <w:b/>
          <w:kern w:val="0"/>
          <w:sz w:val="32"/>
          <w:szCs w:val="32"/>
          <w:lang w:val="zh-CN" w:eastAsia="zh-CN"/>
        </w:rPr>
        <w:t>三是坚持社会共治。</w:t>
      </w:r>
      <w:r>
        <w:rPr>
          <w:rFonts w:hint="eastAsia" w:ascii="仿宋_GB2312" w:hAnsi="仿宋_GB2312" w:eastAsia="仿宋_GB2312" w:cs="仿宋_GB2312"/>
          <w:color w:val="000000"/>
          <w:sz w:val="32"/>
          <w:szCs w:val="32"/>
          <w:lang w:val="zh-CN"/>
        </w:rPr>
        <w:t>进一步畅通投诉举报渠道，加大信息公开力度，着力提升部门、企业、公众食品安全防范意识和能力，营造食品安全共治共享的氛围。</w:t>
      </w:r>
    </w:p>
    <w:p>
      <w:pPr>
        <w:tabs>
          <w:tab w:val="left" w:pos="312"/>
        </w:tabs>
        <w:ind w:firstLine="755" w:firstLineChars="236"/>
        <w:jc w:val="left"/>
        <w:rPr>
          <w:rFonts w:hint="eastAsia" w:ascii="黑体" w:hAnsi="黑体" w:eastAsia="黑体" w:cs="黑体"/>
          <w:sz w:val="32"/>
          <w:szCs w:val="32"/>
          <w:lang w:val="en-US" w:eastAsia="zh-CN"/>
        </w:rPr>
      </w:pPr>
      <w:r>
        <w:rPr>
          <w:rFonts w:hint="eastAsia" w:ascii="黑体" w:hAnsi="黑体" w:eastAsia="黑体" w:cs="黑体"/>
          <w:sz w:val="32"/>
          <w:szCs w:val="32"/>
          <w:lang w:eastAsia="zh-CN"/>
        </w:rPr>
        <w:t>四、</w:t>
      </w:r>
      <w:r>
        <w:rPr>
          <w:rFonts w:hint="eastAsia" w:ascii="黑体" w:hAnsi="黑体" w:eastAsia="黑体" w:cs="黑体"/>
          <w:b/>
          <w:bCs/>
          <w:sz w:val="32"/>
          <w:szCs w:val="32"/>
        </w:rPr>
        <w:t>其他需说明的问题及附件</w:t>
      </w:r>
    </w:p>
    <w:p>
      <w:pPr>
        <w:spacing w:line="594" w:lineRule="exact"/>
        <w:ind w:firstLine="640" w:firstLineChars="200"/>
        <w:rPr>
          <w:rFonts w:hint="eastAsia" w:ascii="仿宋_GB2312" w:hAnsi="华文仿宋" w:eastAsia="仿宋_GB2312"/>
          <w:sz w:val="32"/>
          <w:szCs w:val="32"/>
          <w:lang w:eastAsia="zh-CN"/>
        </w:rPr>
      </w:pPr>
      <w:r>
        <w:rPr>
          <w:rFonts w:hint="eastAsia" w:ascii="仿宋_GB2312" w:hAnsi="仿宋_GB2312" w:eastAsia="仿宋_GB2312" w:cs="仿宋_GB2312"/>
          <w:sz w:val="32"/>
          <w:szCs w:val="32"/>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7B4DEC"/>
    <w:multiLevelType w:val="singleLevel"/>
    <w:tmpl w:val="5E7B4DEC"/>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BC66E8F"/>
    <w:rsid w:val="00010359"/>
    <w:rsid w:val="00084432"/>
    <w:rsid w:val="00167E9E"/>
    <w:rsid w:val="001B5DC4"/>
    <w:rsid w:val="00266D58"/>
    <w:rsid w:val="0032511B"/>
    <w:rsid w:val="00355075"/>
    <w:rsid w:val="003961E3"/>
    <w:rsid w:val="004657FE"/>
    <w:rsid w:val="00466B5F"/>
    <w:rsid w:val="00482C69"/>
    <w:rsid w:val="005472C4"/>
    <w:rsid w:val="005B453C"/>
    <w:rsid w:val="005C4A39"/>
    <w:rsid w:val="0062320E"/>
    <w:rsid w:val="00640E88"/>
    <w:rsid w:val="00653167"/>
    <w:rsid w:val="006F452F"/>
    <w:rsid w:val="007362A1"/>
    <w:rsid w:val="0074489E"/>
    <w:rsid w:val="00765B70"/>
    <w:rsid w:val="00795C74"/>
    <w:rsid w:val="00894751"/>
    <w:rsid w:val="009C144D"/>
    <w:rsid w:val="00A01138"/>
    <w:rsid w:val="00A534A0"/>
    <w:rsid w:val="00B75682"/>
    <w:rsid w:val="00B7588E"/>
    <w:rsid w:val="00BD26AF"/>
    <w:rsid w:val="00D77241"/>
    <w:rsid w:val="00DA2A86"/>
    <w:rsid w:val="00DB515E"/>
    <w:rsid w:val="00EE7CBA"/>
    <w:rsid w:val="00EF6258"/>
    <w:rsid w:val="00F46071"/>
    <w:rsid w:val="00F763D9"/>
    <w:rsid w:val="00FA2887"/>
    <w:rsid w:val="022B49F8"/>
    <w:rsid w:val="02A8372B"/>
    <w:rsid w:val="0336445A"/>
    <w:rsid w:val="03EB3569"/>
    <w:rsid w:val="07EB284F"/>
    <w:rsid w:val="0F283C22"/>
    <w:rsid w:val="1040712C"/>
    <w:rsid w:val="124D1943"/>
    <w:rsid w:val="140C171D"/>
    <w:rsid w:val="14942CF9"/>
    <w:rsid w:val="14A70DE2"/>
    <w:rsid w:val="16137CCA"/>
    <w:rsid w:val="18B756BC"/>
    <w:rsid w:val="1C026CC0"/>
    <w:rsid w:val="1D08266E"/>
    <w:rsid w:val="1DC270A7"/>
    <w:rsid w:val="1E206A19"/>
    <w:rsid w:val="1FB718DA"/>
    <w:rsid w:val="214972E7"/>
    <w:rsid w:val="22D15EF5"/>
    <w:rsid w:val="24A84EDC"/>
    <w:rsid w:val="27A26ED0"/>
    <w:rsid w:val="2AF76514"/>
    <w:rsid w:val="2BE43D63"/>
    <w:rsid w:val="2C600CED"/>
    <w:rsid w:val="2CA2572B"/>
    <w:rsid w:val="2D825EAE"/>
    <w:rsid w:val="2DE57368"/>
    <w:rsid w:val="35C23F16"/>
    <w:rsid w:val="3AB93CDB"/>
    <w:rsid w:val="3AC946B9"/>
    <w:rsid w:val="3CEC082E"/>
    <w:rsid w:val="3D75536F"/>
    <w:rsid w:val="3F6C7B19"/>
    <w:rsid w:val="42B26691"/>
    <w:rsid w:val="46666839"/>
    <w:rsid w:val="47935EFB"/>
    <w:rsid w:val="4E4251E3"/>
    <w:rsid w:val="4F87560E"/>
    <w:rsid w:val="50A5065A"/>
    <w:rsid w:val="50AD2CF1"/>
    <w:rsid w:val="52722443"/>
    <w:rsid w:val="53EF685F"/>
    <w:rsid w:val="54383247"/>
    <w:rsid w:val="55144955"/>
    <w:rsid w:val="59394473"/>
    <w:rsid w:val="5A2320FB"/>
    <w:rsid w:val="5B010313"/>
    <w:rsid w:val="5D4D21EA"/>
    <w:rsid w:val="5FD64CDB"/>
    <w:rsid w:val="60C07510"/>
    <w:rsid w:val="62C65035"/>
    <w:rsid w:val="62E77779"/>
    <w:rsid w:val="632A1C06"/>
    <w:rsid w:val="63393057"/>
    <w:rsid w:val="645F728D"/>
    <w:rsid w:val="68D5626C"/>
    <w:rsid w:val="6A7B359D"/>
    <w:rsid w:val="6BC66E8F"/>
    <w:rsid w:val="6C6C1CC4"/>
    <w:rsid w:val="6D4C50D1"/>
    <w:rsid w:val="6D535020"/>
    <w:rsid w:val="6E834178"/>
    <w:rsid w:val="6F0A1350"/>
    <w:rsid w:val="7041758B"/>
    <w:rsid w:val="70A46585"/>
    <w:rsid w:val="70F0688D"/>
    <w:rsid w:val="725E2B6C"/>
    <w:rsid w:val="72614587"/>
    <w:rsid w:val="735659A8"/>
    <w:rsid w:val="76A16F9D"/>
    <w:rsid w:val="794A4CFE"/>
    <w:rsid w:val="7DE35A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cs="Cambria"/>
      <w:b/>
      <w:bCs/>
      <w:sz w:val="32"/>
      <w:szCs w:val="32"/>
    </w:rPr>
  </w:style>
  <w:style w:type="paragraph" w:styleId="3">
    <w:name w:val="index 6"/>
    <w:basedOn w:val="1"/>
    <w:next w:val="1"/>
    <w:qFormat/>
    <w:uiPriority w:val="0"/>
    <w:pPr>
      <w:ind w:left="21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style14 Char"/>
    <w:basedOn w:val="6"/>
    <w:link w:val="10"/>
    <w:qFormat/>
    <w:uiPriority w:val="0"/>
    <w:rPr>
      <w:rFonts w:ascii="Arial" w:hAnsi="Arial"/>
      <w:color w:val="000000"/>
      <w:sz w:val="18"/>
      <w:szCs w:val="18"/>
      <w:lang w:val="en-US" w:eastAsia="zh-CN" w:bidi="ar-SA"/>
    </w:rPr>
  </w:style>
  <w:style w:type="paragraph" w:customStyle="1" w:styleId="10">
    <w:name w:val="style14"/>
    <w:next w:val="3"/>
    <w:link w:val="9"/>
    <w:qFormat/>
    <w:uiPriority w:val="0"/>
    <w:pPr>
      <w:spacing w:before="100" w:beforeAutospacing="1" w:after="100" w:afterAutospacing="1"/>
    </w:pPr>
    <w:rPr>
      <w:rFonts w:ascii="Arial" w:hAnsi="Arial" w:eastAsiaTheme="minorEastAsia" w:cstheme="minorBidi"/>
      <w:color w:val="000000"/>
      <w:sz w:val="18"/>
      <w:szCs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yi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SAMR</Company>
  <Pages>5</Pages>
  <Words>1825</Words>
  <Characters>102</Characters>
  <Lines>1</Lines>
  <Paragraphs>3</Paragraphs>
  <TotalTime>0</TotalTime>
  <ScaleCrop>false</ScaleCrop>
  <LinksUpToDate>false</LinksUpToDate>
  <CharactersWithSpaces>1924</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2019-04-03T23:34:00Z</dcterms:created>
  <dc:creator>zhengying</dc:creator>
  <cp:lastModifiedBy>Administrator</cp:lastModifiedBy>
  <cp:lastPrinted>2021-04-01T01:54:00Z</cp:lastPrinted>
  <dcterms:modified xsi:type="dcterms:W3CDTF">2021-04-07T08:11:51Z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