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盐池县高素质农民培育项目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转移支付2020年度绩效自评报告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按照自治区农业农村厅《20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实施方案》要求，我局已经全面完成工作任务，对照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绩效考核指标体系自评情况报告如下。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（一）自治区下达农业财政项目预算及</w:t>
      </w:r>
      <w:r>
        <w:rPr>
          <w:rFonts w:hint="default" w:ascii="Times New Roman" w:hAnsi="Times New Roman" w:eastAsia="楷体_GB2312" w:cs="Times New Roman"/>
          <w:b/>
          <w:color w:val="000000"/>
          <w:kern w:val="0"/>
          <w:sz w:val="32"/>
          <w:szCs w:val="32"/>
        </w:rPr>
        <w:t>绩效目标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自治区农业农村厅《关于提前下达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中央和自治区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年第一批财政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项目计划的通知》（宁农（计）发〔201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号）下达20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农民培育项目预算资金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86.8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万元，项目任务为20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年培育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340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人，其中：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分行业大户120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脱贫带头人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（二）县级分解下达预算和绩效目标情况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盐池县财政局《关于下达20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中央高素质农民培育资金预算指标的通知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》（盐财（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）指标〔20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号）下达项目预算资金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86.8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其中：分行业大户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培育标准为3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00元/人，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脱贫带头人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标准为2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00元/人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补助资金按照“钱随事走”的原则，统筹用于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农民培育全过程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二、项目绩效目标和绩效指标设定情况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（一）项目管理情况。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实施方案制定、项目档案管理、宣传培训等四个方面考核项目组织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管理情况；从资金支付进度、资金管理制度建设和执行及使用环节考核资金管理情况。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（二）项目绩效（100分）。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从项目建设的数量、质量及资金使用的实效考核培育项目内容落实情况；从培育项目实施的数量指标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（25分）:指标值分别为培育对象人数（10分）、培育时长（10分）、后续跟踪服务完成次数（5分）；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质量指标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（10分）：培育资金支付到位率（10分）；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时效指标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（10分）：保质保量及时完成培训任务（10分）;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成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（10分）:培训费用（10分）；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社会效益指标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（15）：培训对象综合素质提升（5分）、培训受益人口数（10分）；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可持续影响指标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（10分）：培育对象生产经营能力增强（10分）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考核项目成效；从服务对象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满意度指标（20分）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项目实施的合理性和必要性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达到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分类型培训340名学员，提升其综合素质及生产经营能力，保证98%以上学员参评，满意率85%以上的年度目标。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三、项目绩效评价组织情况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前期准备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按照项目实施方案和绩效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管理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开展项目，适时进行线上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、线下实施情况汇报及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档案报送，及时规范项目各项档案资料，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整理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成册。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" w:cs="Times New Roman"/>
          <w:b/>
          <w:sz w:val="32"/>
          <w:szCs w:val="40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组织过程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项目实施单位组织项目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实施负责人、承担培训农民田间学校负责人与财务人员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按照项目绩效考核指标逐项进行绩效自评。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（三）分析评价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经逐项对照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农业农村部科教司及农业农村厅下发的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绩效考核指标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，实地查看，翻阅档案资料，自评打分得分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。客观分析认为：自项目任务下达以来，盐池县20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农民培育项目能够按照项目实施方案要求有序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规范、高效开展，达到了项目绩效目标。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三、绩效评价指标分析情况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盐池县20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农民培育项目按照自治区项目要求和计划进度快速推进，项目实施程序规范、内容全面、进展较快、成效明显，能够实现预期目标。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绩效目标实现情况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  <w:t>项目组织实施情况分析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32"/>
          <w:szCs w:val="40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组织领导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召开了专题会议部署相关工作，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成立项目领导小组与实施小组，明确责任分工，落实行政主管第一课制度，并根据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2019年度后续跟踪服务调查表整理培训需求及问题，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全县范围内遴选符合要求且培训意愿强烈的340名学员，并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依托三家农民田间学校，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盐池县奋林农民田间学校、盐池县绿林农民田间学校、盐池县千禾农民田间学校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黄花、大棚作物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和草畜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类产业，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个专业开展培训。重视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高素质农民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培育工作与脱贫攻坚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、乡村振兴工作的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有机衔接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培训任务完成后，将参培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340名学员名单进行三级公开公示。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2、实施方案。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按时制定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上报盐池县20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实施方案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及绩效考评方案。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3、档案管理。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建立纸质项目总档案与分班档案，培训过程及时录入农民教育培训信息管理系统信息数据；项目资金使用分类记账管理，财务资料完整，核算规范。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4、培训宣传。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中国农村远程教育网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发布信息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篇，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宁夏党建微信公众号发布文章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1篇，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盐池县农业农村局微信公众号发布报道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2篇，每期培育班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制作悬挂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农民培育宣传条幅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条。</w:t>
      </w:r>
    </w:p>
    <w:p>
      <w:pPr>
        <w:keepNext w:val="0"/>
        <w:keepLines w:val="0"/>
        <w:pageBreakBefore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项目资金情况分析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1、项目资金到位情况分析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项目预算资金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86.8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万元，足额及时到位。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2、项目资金执行情况分析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严格按照实施方案规定的资金用途及比例使用项目资金，项目预算资金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86.8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万元，目前已使用资金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66.941541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占总资金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严格按照相关财务规定进行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涉农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项目资金管理，建立项目专账，专款专用。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）项目绩效指标完成情况分析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1、产出指标完成情况分析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（1）项目完成数量。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全面完成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340名高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教育培训任务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120名分行业大户培育班学员完成7.5天培训任务与6次后续跟踪服务；脱贫带头人培育班学员完成6.5天培训任务与6次后续跟踪服务。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（2）项目完成质量。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资金足额到位，保质保量完成培训任务。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（3）项目实施进度。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按期完成全部培训任务并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以多种形式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后续跟踪服务及延伸服务。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（4）项目成本节约情况。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按照政府采购相关要求，对观摩实操学习大中巴车辆租赁服务进行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招标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采购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；二是依托全国农业科教云平台“云上智农”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APP，以1个培训班为试点开展8学时线上培训，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有效节约了培育成本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2、效益指标完成情况分析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（1）社会效益。项目实施，突出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教育培养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目标导向、需求导向和问题导向，实施了“产教融合、创新模式、提升质量、强化效果”的精准化培育，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从根本上提高劳动者科学素质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培养大批人才，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有效促进了我县现代农业产业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繁荣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指标实际值完成情况从学员调查问卷及学员心得反映。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（2）可持续影响。项目实施，培育了一批“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有文化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、懂技术、善经营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、会管理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高素质农民队伍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逐渐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成为全县农业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农村现代化发展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人力保障和智力支撑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，将持续发挥推进农业产业现代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转型升级的引擎带动作用。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指标实际值完成情况从学员调查问卷及学员心得反映。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3、满意度指标完成情况分析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完成培训的学员通过 “云上智农”APP在线评价比例达到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学员综合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满意度达到9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%，均超出项目要求的8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numPr>
          <w:ilvl w:val="0"/>
          <w:numId w:val="2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项目综合评价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及下一步打算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盐池县高素质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农民培育工作严格落实各项培育政策，从地方特色产业发展的实际需要入手，科学遴选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种养加能手和产业脱贫带头人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参训，初步形成一支爱农业、懂技术、善经营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、会管理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农民队伍，辐射带动了特色优势产业整体发展，为脱贫攻坚和乡村振兴战略做出了贡献。今后，在政策范围内，要大胆创新、勇于实践，加强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延伸服务指导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等方面工作，探索完善具有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盐池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特色的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农民培育管理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政策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全县农业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农村现代化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转型发展过程中，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以培育的一批高素质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示范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典型，发挥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农民教育的示范带动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剩余资金将继续用于开展后续跟踪服务，做到效益最大化。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58204"/>
    <w:multiLevelType w:val="singleLevel"/>
    <w:tmpl w:val="8F75820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4C877D"/>
    <w:multiLevelType w:val="singleLevel"/>
    <w:tmpl w:val="AB4C877D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0568B"/>
    <w:rsid w:val="0A197616"/>
    <w:rsid w:val="1AFE1676"/>
    <w:rsid w:val="1EBB7C83"/>
    <w:rsid w:val="3A9D6872"/>
    <w:rsid w:val="54C12CC8"/>
    <w:rsid w:val="797056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2021-03-10T09:22:00Z</dcterms:created>
  <dc:creator>April</dc:creator>
  <cp:lastModifiedBy>April</cp:lastModifiedBy>
  <cp:lastPrinted>2021-03-15T02:23:38Z</cp:lastPrinted>
  <dcterms:modified xsi:type="dcterms:W3CDTF">2021-03-15T02:26:46Z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6CC8182BEB6545AFBF8F382EB3A92189</vt:lpwstr>
  </property>
</Properties>
</file>