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36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20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年度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县级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资金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支出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eastAsia="zh-CN"/>
        </w:rPr>
        <w:t>（——</w:t>
      </w:r>
      <w:r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24"/>
          <w:szCs w:val="24"/>
          <w:u w:val="none"/>
          <w:vertAlign w:val="baseline"/>
          <w:lang w:val="en-US" w:eastAsia="zh-CN" w:bidi="ar-SA"/>
        </w:rPr>
        <w:t>2020年及以前水利项目前期费用300万元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绩效目标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批复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6"/>
        <w:jc w:val="both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（一）年初批复下达资金预算和绩效目标情况。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2020年及以前水利项目前期费用年中下达预算补助资金300万元。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2020年12月份下达2020年及以前水利项目前期费用300万元。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项目资金已全部到位，截至年底支出率达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在资金管理方面，我局严格按照国家和自治区财政厅等相关部门的资金管理要求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严格按照工程进度支付工程款，确保专款专用，杜绝挪用和挤占资金的现象发生。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解决44个水利项目的独立费用，共支付90笔。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完成支付率达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时效指标。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项目完成及时率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100%，截止2020年12月31日前完成支付工作。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完成支付金额达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295.52万元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为规划开展好各项前期相关工作提供资金保保障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生态效益。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确保重大项目对全县水利行业起带动作用，促进国民经济社会持续健康较快发展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项目受益群众满意度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按照年度水利目标全部完成建设，均达到了绩效目标。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下一步，我局将在做好20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年绩效考核各项工作的前提下，积极对202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年实施项目进行评价分析，优化资金分解，严格资金管理，加强项目质量管理，确保202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年度水利各项建设目标保质保量完成。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2020年县级资金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，争取年底完成全部建设任务，并尽早发挥效益。同时，按照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年初绩效目标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导向，积极谋划争取20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2</w:t>
      </w:r>
      <w:r>
        <w:rPr>
          <w:rFonts w:hint="eastAsia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vertAlign w:val="baseline"/>
          <w:lang w:val="en-US" w:eastAsia="zh-CN" w:bidi="ar"/>
        </w:rPr>
        <w:t>年水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利项目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进一步加强施工单位相关人员业务工作能力，完善项目管理制度，落实管理人员和管理职责，对于已经完工并通过验收的项目，依据水利项目管理相关办法及时拨付项目资金，确保工程效益的正常发挥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自评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结果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绩效评价中，经过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评价资料、财务资料和</w:t>
      </w:r>
      <w:r>
        <w:rPr>
          <w:rFonts w:hint="eastAsia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现场验收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核查，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20</w:t>
      </w:r>
      <w:r>
        <w:rPr>
          <w:rFonts w:hint="eastAsia" w:eastAsia="仿宋_GB2312" w:cs="Times New Roman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县级资金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绩效自评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评价结果为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合格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10" w:firstLineChars="221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（二）评价结论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在资金使用方面，严格制定和执行了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有关管理办法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财务管理核算制度，资金使用规范，相关资料齐全，成本控制有效，无挪用、截留经费情况发生。在项目管理方面，建立了相关制度，提高了工作人员的监管水平，保质保量的完成了项目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建设，达到了建设目标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投入运行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后，有力促进了全县经济社会发展，取得了显著的经济效益、社会效益和生态效益。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color w:val="333333"/>
          <w:kern w:val="0"/>
          <w:sz w:val="32"/>
          <w:szCs w:val="32"/>
          <w:lang w:eastAsia="zh-CN"/>
        </w:rPr>
        <w:t>对评价结果应用和公开情况。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通过我县20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年实施项目自评显示项目的产出指标、各项效益指标均达到了预期目标，群众满意度达到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预期值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，项目的实施对改善各地生态环境，增加农业经济收入，促进农村经济发展起到了很好的推动作用。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无</w:t>
      </w:r>
    </w:p>
    <w:p/>
    <w:p/>
    <w:sectPr>
      <w:footerReference r:id="rId3" w:type="default"/>
      <w:footerReference r:id="rId4" w:type="even"/>
      <w:pgSz w:w="11906" w:h="16838"/>
      <w:pgMar w:top="2098" w:right="1797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4625340</wp:posOffset>
              </wp:positionH>
              <wp:positionV relativeFrom="paragraph">
                <wp:posOffset>-205105</wp:posOffset>
              </wp:positionV>
              <wp:extent cx="7753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5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2pt;margin-top:-16.15pt;height:18.15pt;width:61.05pt;mso-position-horizontal-relative:margin;z-index:251659264;mso-width-relative:page;mso-height-relative:page;" filled="f" stroked="f" coordsize="21600,21600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mxoIfYAAAACQEAAA8AAAAAAAAAAQAgAAAAIgAAAGRycy9k&#10;b3ducmV2LnhtbFBLAQIUABQAAAAIAIdO4kDWjSazyQEAAJkDAAAOAAAAAAAAAAEAIAAAACc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192405</wp:posOffset>
              </wp:positionH>
              <wp:positionV relativeFrom="paragraph">
                <wp:posOffset>-281305</wp:posOffset>
              </wp:positionV>
              <wp:extent cx="6229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15pt;margin-top:-22.15pt;height:18.15pt;width:49.05pt;mso-position-horizontal-relative:margin;mso-wrap-style:none;z-index:251660288;mso-width-relative:page;mso-height-relative:page;" filled="f" stroked="f" coordsize="21600,21600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CX1tNQAAAAJAQAADwAAAAAAAAABACAAAAAiAAAA&#10;ZHJzL2Rvd25yZXYueG1sUEsBAhQAFAAAAAgAh07iQM/BhmDSAQAApQMAAA4AAAAAAAAAAQAgAAAA&#10;Iw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B7B26"/>
    <w:multiLevelType w:val="singleLevel"/>
    <w:tmpl w:val="A05B7B26"/>
    <w:lvl w:ilvl="0" w:tentative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A8081D9E"/>
    <w:multiLevelType w:val="singleLevel"/>
    <w:tmpl w:val="A8081D9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79E20A7"/>
    <w:multiLevelType w:val="singleLevel"/>
    <w:tmpl w:val="579E20A7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5EFEDD73"/>
    <w:multiLevelType w:val="singleLevel"/>
    <w:tmpl w:val="5EFEDD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B1C7499"/>
    <w:multiLevelType w:val="singleLevel"/>
    <w:tmpl w:val="7B1C749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67D59"/>
    <w:rsid w:val="09C00E3E"/>
    <w:rsid w:val="49467D59"/>
    <w:rsid w:val="4F42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2021-04-02T03:39:00Z</dcterms:created>
  <dc:creator>铲屎的</dc:creator>
  <cp:lastModifiedBy>铲屎的</cp:lastModifiedBy>
  <cp:lastPrinted>2021-04-07T09:54:51Z</cp:lastPrinted>
  <dcterms:modified xsi:type="dcterms:W3CDTF">2021-04-07T09:54:54Z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7E159BB1A709493BB85EA1C89BEB4993</vt:lpwstr>
  </property>
</Properties>
</file>