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36"/>
        <w:jc w:val="center"/>
        <w:textAlignment w:val="auto"/>
        <w:outlineLvl w:val="9"/>
        <w:rPr>
          <w:rFonts w:hint="default" w:eastAsia="方正小标宋简体" w:cs="Times New Roman"/>
          <w:b w:val="0"/>
          <w:bCs w:val="0"/>
          <w:sz w:val="44"/>
          <w:szCs w:val="44"/>
          <w:lang w:val="en-US" w:eastAsia="zh-CN"/>
        </w:rPr>
      </w:pPr>
      <w:bookmarkStart w:id="0" w:name="_GoBack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2020年度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县级资金支出绩效自评报告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（——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spacing w:val="0"/>
          <w:w w:val="100"/>
          <w:kern w:val="2"/>
          <w:position w:val="0"/>
          <w:sz w:val="24"/>
          <w:szCs w:val="24"/>
          <w:u w:val="none"/>
          <w:vertAlign w:val="baseline"/>
          <w:lang w:val="en-US" w:eastAsia="zh-CN" w:bidi="ar-SA"/>
        </w:rPr>
        <w:t>农村人饮工程运行维护费200万元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绩效目标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批复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（一）年初批复下达资金预算和绩效目标情况。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</w:pP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农村人饮工程运行维护费200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</w:pP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农村人饮工程运行维护费200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项目资金执行情况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项目资金已全部到位，已全部支出。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在资金管理方面，我局严格按照国家和自治区财政厅等相关部门的资金管理要求，严格按照工程进度支付工程款，确保专款专用，杜绝挪用和挤占资金的现象发生。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（二）绩效目标完成情况分析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（根据年初绩效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巩固提升全县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14.6万农村人口安全饮水，提高供水保障。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农村人饮工程运行维护项目已完工，不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存在质量问题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，农村人口正常饮水率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项目完成时间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2020年12月，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项目完成及时率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工程建成总成本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200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万元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巩固提升农村安全供水保障率达到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100%。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保障农村饮水安全。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生态效益。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长期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改善相关村村民生产、生活条件，提高生活水平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。水资源利用率逐步提升。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工程设计使用年限≥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以上，长期改善受益村村民生产生活状况。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受益贫困人口满意度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以上，受益乡镇村组满意度达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按照年度水利目标全部完成建设，均达到了绩效目标。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下一步，我局将在做好20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年绩效考核各项工作的前提下，积极对202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年实施项目进行评价分析，优化资金分解，严格资金管理，加强项目质量管理，确保202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年度水利各项建设目标保质保量完成。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加快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，争取年底完成全部建设任务，并尽早发挥效益。同时，按照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年初绩效目标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导向，积极谋划争取20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2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利项目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二是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进一步加强施工单位相关人员业务工作能力，完善项目管理制度，落实管理人员和管理职责，对于已经完工并通过验收的项目，依据水利项目管理相关办法及时拨付项目资金，确保工程效益的正常发挥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自评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结果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绩效评价中，经过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评价资料、财务资料和</w:t>
      </w:r>
      <w:r>
        <w:rPr>
          <w:rFonts w:hint="eastAsia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现场验收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核查，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20</w:t>
      </w:r>
      <w:r>
        <w:rPr>
          <w:rFonts w:hint="eastAsia" w:eastAsia="仿宋_GB2312" w:cs="Times New Roman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县级资金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绩效自评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评价结果为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合格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（二）评价结论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在资金使用方面，严格制定和执行了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有关管理办法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财务管理核算制度，资金使用规范，相关资料齐全，成本控制有效，无挪用、截留经费情况发生。在项目管理方面，建立了相关制度，提高了工作人员的监管水平，保质保量的完成了项目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建设，达到了建设目标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投入运行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后，有力促进了全县经济社会发展，取得了显著的经济效益、社会效益和生态效益。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对评价结果应用和公开情况。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通过我县20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年实施项目自评显示项目的产出指标、各项效益指标均达到了预期目标，群众满意度达到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%，项目的实施对改善各地生态环境，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巩固全县安全饮水运行正常，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增加农业经济收入，促进农村经济发展起到了很好的推动作用。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081D9E"/>
    <w:multiLevelType w:val="singleLevel"/>
    <w:tmpl w:val="A8081D9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579E20A7"/>
    <w:multiLevelType w:val="singleLevel"/>
    <w:tmpl w:val="579E20A7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5EFEDD73"/>
    <w:multiLevelType w:val="singleLevel"/>
    <w:tmpl w:val="5EFEDD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B1C7499"/>
    <w:multiLevelType w:val="singleLevel"/>
    <w:tmpl w:val="7B1C749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70E72"/>
    <w:rsid w:val="61AA745F"/>
    <w:rsid w:val="6797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2021-04-07T02:42:00Z</dcterms:created>
  <dc:creator>铲屎的</dc:creator>
  <cp:lastModifiedBy>铲屎的</cp:lastModifiedBy>
  <dcterms:modified xsi:type="dcterms:W3CDTF">2021-04-07T09:51:22Z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6286362EFECD4074A7B30746AB89B125</vt:lpwstr>
  </property>
</Properties>
</file>