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spacing w:line="580" w:lineRule="exact"/>
        <w:jc w:val="both"/>
        <w:rPr>
          <w:rFonts w:ascii="方正小标宋简体" w:hAnsi="方正小标宋简体" w:eastAsia="方正小标宋简体" w:cs="方正小标宋简体"/>
          <w:kern w:val="2"/>
          <w:sz w:val="44"/>
          <w:szCs w:val="44"/>
        </w:rPr>
      </w:pPr>
      <w:r>
        <w:rPr>
          <w:rFonts w:hint="default" w:ascii="Times New Roman" w:hAnsi="Times New Roman" w:cs="Times New Roman"/>
        </w:rPr>
        <w:pict>
          <v:line id="_x0000_s2054" o:spid="_x0000_s2054" o:spt="20" style="position:absolute;left:0pt;margin-left:3.45pt;margin-top:59.75pt;height:1.8pt;width:441pt;z-index:251660288;mso-width-relative:page;mso-height-relative:page;" coordsize="21600,21600">
            <v:path arrowok="t"/>
            <v:fill focussize="0,0"/>
            <v:stroke weight="4.5pt" color="#FF0000" linestyle="thickThin"/>
            <v:imagedata o:title=""/>
            <o:lock v:ext="edit"/>
          </v:line>
        </w:pict>
      </w:r>
      <w:r>
        <w:rPr>
          <w:rFonts w:hint="default" w:ascii="Times New Roman" w:hAnsi="Times New Roman" w:cs="Times New Roman"/>
        </w:rPr>
        <w:pict>
          <v:shape id="_x0000_s2053" o:spid="_x0000_s2053" o:spt="136" type="#_x0000_t136" style="position:absolute;left:0pt;margin-left:2.85pt;margin-top:13.6pt;height:36pt;width:433pt;mso-wrap-distance-bottom:0pt;mso-wrap-distance-left:9pt;mso-wrap-distance-right:9pt;mso-wrap-distance-top:0pt;z-index:251659264;mso-width-relative:page;mso-height-relative:page;" fillcolor="#FF0000" filled="t" stroked="t" coordsize="21600,21600" adj="10800">
            <v:path/>
            <v:fill on="t" color2="#FFFFFF" focussize="0,0"/>
            <v:stroke color="#FF0000"/>
            <v:imagedata o:title=""/>
            <o:lock v:ext="edit" aspectratio="f"/>
            <v:textpath on="t" fitshape="t" fitpath="t" trim="t" xscale="f" string=" 盐 池 县 发 展 和 改 革 局 " style="font-family:方正小标宋简体;font-size:32pt;v-text-align:center;"/>
            <w10:wrap type="square"/>
          </v:shape>
        </w:pict>
      </w:r>
    </w:p>
    <w:p>
      <w:pPr>
        <w:pStyle w:val="2"/>
        <w:jc w:val="both"/>
      </w:pPr>
    </w:p>
    <w:p>
      <w:pPr>
        <w:autoSpaceDE w:val="0"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  <w:t>盐池县发展和改革局关于</w:t>
      </w: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/>
        </w:rPr>
        <w:t>2021年度</w:t>
      </w: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  <w:t>储备</w:t>
      </w:r>
    </w:p>
    <w:p>
      <w:pPr>
        <w:autoSpaceDE w:val="0"/>
        <w:spacing w:line="580" w:lineRule="exact"/>
        <w:jc w:val="center"/>
        <w:rPr>
          <w:rFonts w:ascii="方正小标宋简体" w:hAnsi="方正小标宋简体" w:eastAsia="方正小标宋简体" w:cs="方正小标宋简体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  <w:t>成品粮轮换费绩效自评报告</w:t>
      </w:r>
    </w:p>
    <w:p>
      <w:pPr>
        <w:autoSpaceDE w:val="0"/>
        <w:spacing w:line="600" w:lineRule="exact"/>
        <w:ind w:firstLine="640" w:firstLineChars="200"/>
        <w:rPr>
          <w:rFonts w:ascii="仿宋_GB2312" w:hAnsi="Calibri" w:eastAsia="仿宋_GB2312" w:cs="宋体"/>
          <w:kern w:val="2"/>
          <w:sz w:val="32"/>
          <w:szCs w:val="32"/>
        </w:rPr>
      </w:pPr>
    </w:p>
    <w:p>
      <w:pPr>
        <w:autoSpaceDE w:val="0"/>
        <w:spacing w:line="600" w:lineRule="exact"/>
        <w:rPr>
          <w:rFonts w:ascii="仿宋_GB2312" w:hAnsi="Calibri" w:eastAsia="仿宋_GB2312" w:cs="宋体"/>
          <w:kern w:val="2"/>
          <w:sz w:val="32"/>
          <w:szCs w:val="32"/>
        </w:rPr>
      </w:pPr>
      <w:r>
        <w:rPr>
          <w:rFonts w:hint="eastAsia" w:ascii="仿宋_GB2312" w:hAnsi="Calibri" w:eastAsia="仿宋_GB2312" w:cs="宋体"/>
          <w:kern w:val="2"/>
          <w:sz w:val="32"/>
          <w:szCs w:val="32"/>
        </w:rPr>
        <w:t>县财政局：</w:t>
      </w:r>
    </w:p>
    <w:p>
      <w:pPr>
        <w:pStyle w:val="2"/>
        <w:spacing w:before="0" w:after="0" w:line="600" w:lineRule="exact"/>
        <w:ind w:firstLine="640" w:firstLineChars="200"/>
        <w:jc w:val="both"/>
        <w:rPr>
          <w:rFonts w:hint="eastAsia" w:ascii="仿宋_GB2312" w:hAnsi="Calibri" w:eastAsia="仿宋_GB2312" w:cs="宋体"/>
          <w:b w:val="0"/>
          <w:bCs w:val="0"/>
          <w:kern w:val="2"/>
        </w:rPr>
      </w:pPr>
      <w:r>
        <w:rPr>
          <w:rFonts w:hint="eastAsia" w:ascii="仿宋_GB2312" w:hAnsi="Calibri" w:eastAsia="仿宋_GB2312" w:cs="宋体"/>
          <w:b w:val="0"/>
          <w:bCs w:val="0"/>
          <w:kern w:val="2"/>
        </w:rPr>
        <w:t>根据《盐池县财政局关于开展202</w:t>
      </w:r>
      <w:r>
        <w:rPr>
          <w:rFonts w:hint="eastAsia" w:ascii="仿宋_GB2312" w:hAnsi="Calibri" w:eastAsia="仿宋_GB2312" w:cs="宋体"/>
          <w:b w:val="0"/>
          <w:bCs w:val="0"/>
          <w:kern w:val="2"/>
          <w:lang w:val="en-US" w:eastAsia="zh-CN"/>
        </w:rPr>
        <w:t>1</w:t>
      </w:r>
      <w:r>
        <w:rPr>
          <w:rFonts w:hint="eastAsia" w:ascii="仿宋_GB2312" w:hAnsi="Calibri" w:eastAsia="仿宋_GB2312" w:cs="宋体"/>
          <w:b w:val="0"/>
          <w:bCs w:val="0"/>
          <w:kern w:val="2"/>
        </w:rPr>
        <w:t>年部门项目支出绩效自评的通知》（盐财发〔202</w:t>
      </w:r>
      <w:r>
        <w:rPr>
          <w:rFonts w:hint="eastAsia" w:ascii="仿宋_GB2312" w:hAnsi="Calibri" w:eastAsia="仿宋_GB2312" w:cs="宋体"/>
          <w:b w:val="0"/>
          <w:bCs w:val="0"/>
          <w:kern w:val="2"/>
          <w:lang w:val="en-US" w:eastAsia="zh-CN"/>
        </w:rPr>
        <w:t>2</w:t>
      </w:r>
      <w:r>
        <w:rPr>
          <w:rFonts w:hint="eastAsia" w:ascii="仿宋_GB2312" w:hAnsi="Calibri" w:eastAsia="仿宋_GB2312" w:cs="宋体"/>
          <w:b w:val="0"/>
          <w:bCs w:val="0"/>
          <w:kern w:val="2"/>
        </w:rPr>
        <w:t>〕</w:t>
      </w:r>
      <w:r>
        <w:rPr>
          <w:rFonts w:hint="eastAsia" w:ascii="仿宋_GB2312" w:hAnsi="Calibri" w:eastAsia="仿宋_GB2312" w:cs="宋体"/>
          <w:b w:val="0"/>
          <w:bCs w:val="0"/>
          <w:kern w:val="2"/>
          <w:lang w:val="en-US" w:eastAsia="zh-CN"/>
        </w:rPr>
        <w:t>26号</w:t>
      </w:r>
      <w:r>
        <w:rPr>
          <w:rFonts w:hint="eastAsia" w:ascii="仿宋_GB2312" w:hAnsi="Calibri" w:eastAsia="仿宋_GB2312" w:cs="宋体"/>
          <w:b w:val="0"/>
          <w:bCs w:val="0"/>
          <w:kern w:val="2"/>
        </w:rPr>
        <w:t>）文件要求，对照绩效自评内容和方法，我局开展了</w:t>
      </w:r>
      <w:r>
        <w:rPr>
          <w:rFonts w:hint="eastAsia" w:ascii="仿宋_GB2312" w:hAnsi="Calibri" w:eastAsia="仿宋_GB2312" w:cs="宋体"/>
          <w:b w:val="0"/>
          <w:bCs w:val="0"/>
          <w:kern w:val="2"/>
          <w:lang w:val="en-US" w:eastAsia="zh-CN"/>
        </w:rPr>
        <w:t>2021年度</w:t>
      </w:r>
      <w:r>
        <w:rPr>
          <w:rFonts w:hint="eastAsia" w:ascii="仿宋_GB2312" w:hAnsi="Calibri" w:eastAsia="仿宋_GB2312" w:cs="宋体"/>
          <w:b w:val="0"/>
          <w:bCs w:val="0"/>
          <w:kern w:val="2"/>
        </w:rPr>
        <w:t>储备成品粮轮换费绩效自评工作。现报告如下：</w:t>
      </w:r>
    </w:p>
    <w:p>
      <w:pPr>
        <w:pStyle w:val="2"/>
        <w:numPr>
          <w:ilvl w:val="0"/>
          <w:numId w:val="1"/>
        </w:numPr>
        <w:spacing w:before="0" w:after="0" w:line="600" w:lineRule="exact"/>
        <w:ind w:firstLine="640" w:firstLineChars="200"/>
        <w:jc w:val="both"/>
        <w:rPr>
          <w:rFonts w:ascii="黑体" w:hAnsi="黑体" w:eastAsia="黑体" w:cs="黑体"/>
          <w:b w:val="0"/>
          <w:bCs w:val="0"/>
        </w:rPr>
      </w:pPr>
      <w:r>
        <w:rPr>
          <w:rFonts w:hint="eastAsia" w:ascii="黑体" w:hAnsi="黑体" w:eastAsia="黑体" w:cs="黑体"/>
          <w:b w:val="0"/>
          <w:bCs w:val="0"/>
        </w:rPr>
        <w:t>绩效目标下达情况</w:t>
      </w:r>
      <w:bookmarkStart w:id="0" w:name="_GoBack"/>
      <w:bookmarkEnd w:id="0"/>
    </w:p>
    <w:p>
      <w:pPr>
        <w:pStyle w:val="2"/>
        <w:spacing w:before="0" w:after="0" w:line="600" w:lineRule="exact"/>
        <w:ind w:firstLine="640" w:firstLineChars="200"/>
        <w:jc w:val="both"/>
        <w:rPr>
          <w:rFonts w:ascii="仿宋_GB2312" w:hAnsi="Calibri" w:eastAsia="仿宋_GB2312" w:cs="宋体"/>
          <w:b w:val="0"/>
          <w:bCs w:val="0"/>
          <w:kern w:val="2"/>
        </w:rPr>
      </w:pPr>
      <w:r>
        <w:rPr>
          <w:rFonts w:hint="eastAsia" w:ascii="仿宋_GB2312" w:hAnsi="Calibri" w:eastAsia="仿宋_GB2312" w:cs="宋体"/>
          <w:b w:val="0"/>
          <w:bCs w:val="0"/>
          <w:kern w:val="2"/>
        </w:rPr>
        <w:t>202</w:t>
      </w:r>
      <w:r>
        <w:rPr>
          <w:rFonts w:hint="eastAsia" w:ascii="仿宋_GB2312" w:hAnsi="Calibri" w:eastAsia="仿宋_GB2312" w:cs="宋体"/>
          <w:b w:val="0"/>
          <w:bCs w:val="0"/>
          <w:kern w:val="2"/>
          <w:lang w:val="en-US" w:eastAsia="zh-CN"/>
        </w:rPr>
        <w:t>1</w:t>
      </w:r>
      <w:r>
        <w:rPr>
          <w:rFonts w:hint="eastAsia" w:ascii="仿宋_GB2312" w:hAnsi="Calibri" w:eastAsia="仿宋_GB2312" w:cs="宋体"/>
          <w:b w:val="0"/>
          <w:bCs w:val="0"/>
          <w:kern w:val="2"/>
        </w:rPr>
        <w:t>年</w:t>
      </w:r>
      <w:r>
        <w:rPr>
          <w:rFonts w:hint="eastAsia" w:ascii="仿宋_GB2312" w:hAnsi="Calibri" w:eastAsia="仿宋_GB2312" w:cs="宋体"/>
          <w:b w:val="0"/>
          <w:bCs w:val="0"/>
          <w:kern w:val="2"/>
          <w:lang w:eastAsia="zh-CN"/>
        </w:rPr>
        <w:t>初批复</w:t>
      </w:r>
      <w:r>
        <w:rPr>
          <w:rFonts w:hint="eastAsia" w:ascii="仿宋_GB2312" w:hAnsi="Calibri" w:eastAsia="仿宋_GB2312" w:cs="宋体"/>
          <w:b w:val="0"/>
          <w:bCs w:val="0"/>
          <w:kern w:val="2"/>
        </w:rPr>
        <w:t>下达储备成品粮轮换费</w:t>
      </w:r>
      <w:r>
        <w:rPr>
          <w:rFonts w:hint="eastAsia" w:ascii="仿宋_GB2312" w:hAnsi="Calibri" w:eastAsia="仿宋_GB2312" w:cs="宋体"/>
          <w:b w:val="0"/>
          <w:bCs w:val="0"/>
          <w:kern w:val="2"/>
          <w:lang w:eastAsia="zh-CN"/>
        </w:rPr>
        <w:t>项目</w:t>
      </w:r>
      <w:r>
        <w:rPr>
          <w:rFonts w:hint="eastAsia" w:ascii="仿宋_GB2312" w:hAnsi="Calibri" w:eastAsia="仿宋_GB2312" w:cs="宋体"/>
          <w:b w:val="0"/>
          <w:bCs w:val="0"/>
          <w:kern w:val="2"/>
        </w:rPr>
        <w:t>资金为</w:t>
      </w:r>
      <w:r>
        <w:rPr>
          <w:rFonts w:hint="eastAsia" w:ascii="仿宋_GB2312" w:hAnsi="Calibri" w:eastAsia="仿宋_GB2312" w:cs="宋体"/>
          <w:b w:val="0"/>
          <w:bCs w:val="0"/>
          <w:kern w:val="2"/>
          <w:lang w:val="en-US" w:eastAsia="zh-CN"/>
        </w:rPr>
        <w:t>18</w:t>
      </w:r>
      <w:r>
        <w:rPr>
          <w:rFonts w:hint="eastAsia" w:ascii="仿宋_GB2312" w:hAnsi="Calibri" w:eastAsia="仿宋_GB2312" w:cs="宋体"/>
          <w:b w:val="0"/>
          <w:bCs w:val="0"/>
          <w:kern w:val="2"/>
        </w:rPr>
        <w:t>万元</w:t>
      </w:r>
      <w:r>
        <w:rPr>
          <w:rFonts w:hint="eastAsia" w:ascii="仿宋_GB2312" w:hAnsi="Calibri" w:eastAsia="仿宋_GB2312" w:cs="宋体"/>
          <w:b w:val="0"/>
          <w:bCs w:val="0"/>
          <w:kern w:val="2"/>
          <w:lang w:eastAsia="zh-CN"/>
        </w:rPr>
        <w:t>。</w:t>
      </w:r>
      <w:r>
        <w:rPr>
          <w:rFonts w:hint="eastAsia" w:ascii="仿宋_GB2312" w:hAnsi="Calibri" w:eastAsia="仿宋_GB2312" w:cs="宋体"/>
          <w:b w:val="0"/>
          <w:bCs w:val="0"/>
          <w:kern w:val="2"/>
        </w:rPr>
        <w:t>为扎实推进依法管粮维护粮油流通的正常秩序，保持粮油市场的平稳运行，强化仓储管理、定期对应急成品粮进行轮换，对粮食仓储企业的储存、安全、卫生进行监督检查,让广大人民群众吃上放心粮油。</w:t>
      </w:r>
    </w:p>
    <w:p>
      <w:pPr>
        <w:pStyle w:val="2"/>
        <w:numPr>
          <w:ilvl w:val="0"/>
          <w:numId w:val="1"/>
        </w:numPr>
        <w:spacing w:before="0" w:after="0" w:line="600" w:lineRule="exact"/>
        <w:ind w:firstLine="640" w:firstLineChars="200"/>
        <w:jc w:val="both"/>
        <w:rPr>
          <w:rFonts w:ascii="黑体" w:hAnsi="黑体" w:eastAsia="黑体" w:cs="黑体"/>
          <w:b w:val="0"/>
          <w:bCs w:val="0"/>
          <w:kern w:val="2"/>
        </w:rPr>
      </w:pPr>
      <w:r>
        <w:rPr>
          <w:rFonts w:hint="eastAsia" w:ascii="黑体" w:hAnsi="黑体" w:eastAsia="黑体" w:cs="黑体"/>
          <w:b w:val="0"/>
          <w:bCs w:val="0"/>
          <w:kern w:val="2"/>
        </w:rPr>
        <w:t>绩效目标完成情况分析</w:t>
      </w:r>
    </w:p>
    <w:p>
      <w:pPr>
        <w:numPr>
          <w:ilvl w:val="0"/>
          <w:numId w:val="2"/>
        </w:numPr>
        <w:spacing w:line="600" w:lineRule="exact"/>
        <w:ind w:firstLine="640" w:firstLineChars="200"/>
        <w:rPr>
          <w:rFonts w:ascii="仿宋_GB2312" w:hAnsi="Calibri" w:eastAsia="仿宋_GB2312" w:cs="宋体"/>
          <w:kern w:val="2"/>
          <w:sz w:val="32"/>
          <w:szCs w:val="32"/>
        </w:rPr>
      </w:pPr>
      <w:r>
        <w:rPr>
          <w:rFonts w:hint="eastAsia" w:ascii="仿宋_GB2312" w:hAnsi="Calibri" w:eastAsia="仿宋_GB2312" w:cs="宋体"/>
          <w:kern w:val="2"/>
          <w:sz w:val="32"/>
          <w:szCs w:val="32"/>
        </w:rPr>
        <w:t>资金投入情况分析</w:t>
      </w:r>
    </w:p>
    <w:p>
      <w:pPr>
        <w:numPr>
          <w:ilvl w:val="0"/>
          <w:numId w:val="3"/>
        </w:numPr>
        <w:spacing w:line="600" w:lineRule="exact"/>
        <w:ind w:firstLine="640" w:firstLineChars="200"/>
        <w:rPr>
          <w:rFonts w:hint="eastAsia" w:ascii="仿宋_GB2312" w:hAnsi="Calibri" w:eastAsia="仿宋_GB2312" w:cs="宋体"/>
          <w:kern w:val="2"/>
          <w:sz w:val="32"/>
          <w:szCs w:val="32"/>
        </w:rPr>
      </w:pPr>
      <w:r>
        <w:rPr>
          <w:rFonts w:hint="eastAsia" w:ascii="仿宋_GB2312" w:hAnsi="Calibri" w:eastAsia="仿宋_GB2312" w:cs="宋体"/>
          <w:kern w:val="2"/>
          <w:sz w:val="32"/>
          <w:szCs w:val="32"/>
        </w:rPr>
        <w:t>项目资金到位情况分析。盐财（预）指标(202</w:t>
      </w:r>
      <w:r>
        <w:rPr>
          <w:rFonts w:hint="eastAsia" w:ascii="仿宋_GB2312" w:hAnsi="Calibri" w:eastAsia="仿宋_GB2312" w:cs="宋体"/>
          <w:kern w:val="2"/>
          <w:sz w:val="32"/>
          <w:szCs w:val="32"/>
          <w:lang w:val="en-US" w:eastAsia="zh-CN"/>
        </w:rPr>
        <w:t>1</w:t>
      </w:r>
      <w:r>
        <w:rPr>
          <w:rFonts w:hint="eastAsia" w:ascii="仿宋_GB2312" w:hAnsi="Calibri" w:eastAsia="仿宋_GB2312" w:cs="宋体"/>
          <w:kern w:val="2"/>
          <w:sz w:val="32"/>
          <w:szCs w:val="32"/>
          <w:lang w:eastAsia="zh-CN"/>
        </w:rPr>
        <w:t>）</w:t>
      </w:r>
      <w:r>
        <w:rPr>
          <w:rFonts w:hint="eastAsia" w:ascii="仿宋_GB2312" w:hAnsi="Calibri" w:eastAsia="仿宋_GB2312" w:cs="宋体"/>
          <w:kern w:val="2"/>
          <w:sz w:val="32"/>
          <w:szCs w:val="32"/>
        </w:rPr>
        <w:t>1号文件，指标金额</w:t>
      </w:r>
      <w:r>
        <w:rPr>
          <w:rFonts w:hint="eastAsia" w:ascii="仿宋_GB2312" w:hAnsi="Calibri" w:eastAsia="仿宋_GB2312" w:cs="宋体"/>
          <w:kern w:val="2"/>
          <w:sz w:val="32"/>
          <w:szCs w:val="32"/>
          <w:lang w:val="en-US" w:eastAsia="zh-CN"/>
        </w:rPr>
        <w:t>18</w:t>
      </w:r>
      <w:r>
        <w:rPr>
          <w:rFonts w:hint="eastAsia" w:ascii="仿宋_GB2312" w:hAnsi="Calibri" w:eastAsia="仿宋_GB2312" w:cs="宋体"/>
          <w:kern w:val="2"/>
          <w:sz w:val="32"/>
          <w:szCs w:val="32"/>
        </w:rPr>
        <w:t>万元。</w:t>
      </w:r>
    </w:p>
    <w:p>
      <w:pPr>
        <w:pStyle w:val="2"/>
        <w:numPr>
          <w:ilvl w:val="0"/>
          <w:numId w:val="3"/>
        </w:numPr>
        <w:spacing w:before="0" w:after="0" w:line="600" w:lineRule="exact"/>
        <w:ind w:firstLine="640" w:firstLineChars="200"/>
        <w:jc w:val="both"/>
        <w:rPr>
          <w:rFonts w:ascii="仿宋_GB2312" w:hAnsi="Calibri" w:eastAsia="仿宋_GB2312" w:cs="宋体"/>
          <w:b w:val="0"/>
          <w:bCs w:val="0"/>
          <w:kern w:val="2"/>
        </w:rPr>
      </w:pPr>
      <w:r>
        <w:rPr>
          <w:rFonts w:hint="eastAsia" w:ascii="仿宋_GB2312" w:hAnsi="Calibri" w:eastAsia="仿宋_GB2312" w:cs="宋体"/>
          <w:b w:val="0"/>
          <w:bCs w:val="0"/>
          <w:kern w:val="2"/>
        </w:rPr>
        <w:t>项目资金执行情况分析。储备成品粮轮换费项目资金</w:t>
      </w:r>
      <w:r>
        <w:rPr>
          <w:rFonts w:hint="eastAsia" w:ascii="仿宋_GB2312" w:hAnsi="Calibri" w:eastAsia="仿宋_GB2312" w:cs="宋体"/>
          <w:b w:val="0"/>
          <w:bCs w:val="0"/>
          <w:kern w:val="2"/>
          <w:lang w:val="en-US" w:eastAsia="zh-CN"/>
        </w:rPr>
        <w:t>18</w:t>
      </w:r>
      <w:r>
        <w:rPr>
          <w:rFonts w:hint="eastAsia" w:ascii="仿宋_GB2312" w:hAnsi="Calibri" w:eastAsia="仿宋_GB2312" w:cs="宋体"/>
          <w:b w:val="0"/>
          <w:bCs w:val="0"/>
          <w:kern w:val="2"/>
        </w:rPr>
        <w:t>万元，支付资金</w:t>
      </w:r>
      <w:r>
        <w:rPr>
          <w:rFonts w:hint="eastAsia" w:ascii="仿宋_GB2312" w:hAnsi="Calibri" w:eastAsia="仿宋_GB2312" w:cs="宋体"/>
          <w:b w:val="0"/>
          <w:bCs w:val="0"/>
          <w:kern w:val="2"/>
          <w:lang w:val="en-US" w:eastAsia="zh-CN"/>
        </w:rPr>
        <w:t>18</w:t>
      </w:r>
      <w:r>
        <w:rPr>
          <w:rFonts w:hint="eastAsia" w:ascii="仿宋_GB2312" w:hAnsi="Calibri" w:eastAsia="仿宋_GB2312" w:cs="宋体"/>
          <w:b w:val="0"/>
          <w:bCs w:val="0"/>
          <w:kern w:val="2"/>
        </w:rPr>
        <w:t>万元。</w:t>
      </w:r>
    </w:p>
    <w:p>
      <w:pPr>
        <w:pStyle w:val="2"/>
        <w:numPr>
          <w:ilvl w:val="0"/>
          <w:numId w:val="3"/>
        </w:numPr>
        <w:spacing w:before="0" w:after="0" w:line="600" w:lineRule="exact"/>
        <w:ind w:firstLine="640" w:firstLineChars="200"/>
        <w:jc w:val="both"/>
        <w:rPr>
          <w:rFonts w:ascii="仿宋_GB2312" w:hAnsi="Calibri" w:eastAsia="仿宋_GB2312" w:cs="宋体"/>
          <w:b w:val="0"/>
          <w:bCs w:val="0"/>
          <w:kern w:val="2"/>
        </w:rPr>
      </w:pPr>
      <w:r>
        <w:rPr>
          <w:rFonts w:hint="eastAsia" w:ascii="仿宋_GB2312" w:hAnsi="Calibri" w:eastAsia="仿宋_GB2312" w:cs="宋体"/>
          <w:b w:val="0"/>
          <w:bCs w:val="0"/>
          <w:kern w:val="2"/>
        </w:rPr>
        <w:t>项目资金管理情况分析。财务严格执行资金相关管理办法进行账务处理，使储备成品粮轮换费项目资金合理使用。</w:t>
      </w:r>
    </w:p>
    <w:p>
      <w:pPr>
        <w:numPr>
          <w:ilvl w:val="0"/>
          <w:numId w:val="2"/>
        </w:numPr>
        <w:spacing w:line="600" w:lineRule="exact"/>
        <w:ind w:firstLine="640" w:firstLineChars="200"/>
        <w:rPr>
          <w:rFonts w:ascii="仿宋_GB2312" w:hAnsi="Calibri" w:eastAsia="仿宋_GB2312" w:cs="宋体"/>
          <w:kern w:val="2"/>
          <w:sz w:val="32"/>
          <w:szCs w:val="32"/>
        </w:rPr>
      </w:pPr>
      <w:r>
        <w:rPr>
          <w:rFonts w:hint="eastAsia" w:ascii="仿宋_GB2312" w:hAnsi="Calibri" w:eastAsia="仿宋_GB2312" w:cs="宋体"/>
          <w:kern w:val="2"/>
          <w:sz w:val="32"/>
          <w:szCs w:val="32"/>
        </w:rPr>
        <w:t>总体绩效目标完成情况分析</w:t>
      </w:r>
    </w:p>
    <w:p>
      <w:pPr>
        <w:spacing w:line="600" w:lineRule="exact"/>
        <w:ind w:firstLine="640" w:firstLineChars="200"/>
        <w:rPr>
          <w:rFonts w:ascii="仿宋_GB2312" w:hAnsi="Calibri" w:eastAsia="仿宋_GB2312" w:cs="宋体"/>
          <w:kern w:val="2"/>
          <w:sz w:val="32"/>
          <w:szCs w:val="32"/>
        </w:rPr>
      </w:pPr>
      <w:r>
        <w:rPr>
          <w:rFonts w:hint="eastAsia" w:ascii="仿宋_GB2312" w:hAnsi="Calibri" w:eastAsia="仿宋_GB2312" w:cs="宋体"/>
          <w:kern w:val="2"/>
          <w:sz w:val="32"/>
          <w:szCs w:val="32"/>
        </w:rPr>
        <w:t>为扎实推进依法管粮维护粮油流通的正常秩序，保持粮油市场的平稳运行，强化仓储管理、定期对应急成品粮进行轮换，对粮食仓储企业的储存、安全、卫生进行监督检查,让广大人民群众吃上放心粮油。</w:t>
      </w:r>
    </w:p>
    <w:p>
      <w:pPr>
        <w:spacing w:line="600" w:lineRule="exact"/>
        <w:ind w:firstLine="640" w:firstLineChars="200"/>
        <w:rPr>
          <w:rFonts w:ascii="仿宋_GB2312" w:hAnsi="Calibri" w:eastAsia="仿宋_GB2312" w:cs="宋体"/>
          <w:kern w:val="2"/>
          <w:sz w:val="32"/>
          <w:szCs w:val="32"/>
        </w:rPr>
      </w:pPr>
      <w:r>
        <w:rPr>
          <w:rFonts w:hint="eastAsia" w:ascii="仿宋_GB2312" w:hAnsi="Calibri" w:eastAsia="仿宋_GB2312" w:cs="宋体"/>
          <w:kern w:val="2"/>
          <w:sz w:val="32"/>
          <w:szCs w:val="32"/>
        </w:rPr>
        <w:t>1、产出指标完成情况分析。</w:t>
      </w:r>
    </w:p>
    <w:p>
      <w:pPr>
        <w:spacing w:line="600" w:lineRule="exact"/>
        <w:ind w:firstLine="640" w:firstLineChars="200"/>
        <w:rPr>
          <w:rFonts w:ascii="仿宋_GB2312" w:hAnsi="Calibri" w:eastAsia="仿宋_GB2312" w:cs="宋体"/>
          <w:kern w:val="2"/>
          <w:sz w:val="32"/>
          <w:szCs w:val="32"/>
        </w:rPr>
      </w:pPr>
      <w:r>
        <w:rPr>
          <w:rFonts w:hint="eastAsia" w:ascii="仿宋_GB2312" w:hAnsi="Calibri" w:eastAsia="仿宋_GB2312" w:cs="宋体"/>
          <w:kern w:val="2"/>
          <w:sz w:val="32"/>
          <w:szCs w:val="32"/>
        </w:rPr>
        <w:t>（1）数量指标。强化仓储管理，动态对应急成品粮油进行轮换（8次/年）。</w:t>
      </w:r>
    </w:p>
    <w:p>
      <w:pPr>
        <w:pStyle w:val="2"/>
        <w:spacing w:before="0" w:after="0" w:line="600" w:lineRule="exact"/>
        <w:ind w:firstLine="640" w:firstLineChars="200"/>
        <w:jc w:val="both"/>
        <w:rPr>
          <w:rFonts w:ascii="仿宋_GB2312" w:hAnsi="Calibri" w:eastAsia="仿宋_GB2312" w:cs="宋体"/>
          <w:b w:val="0"/>
          <w:bCs w:val="0"/>
          <w:kern w:val="2"/>
        </w:rPr>
      </w:pPr>
      <w:r>
        <w:rPr>
          <w:rFonts w:hint="eastAsia" w:ascii="仿宋_GB2312" w:hAnsi="Calibri" w:eastAsia="仿宋_GB2312" w:cs="宋体"/>
          <w:b w:val="0"/>
          <w:bCs w:val="0"/>
          <w:kern w:val="2"/>
        </w:rPr>
        <w:t>（2）质量指标。轮换完成率达到95%。</w:t>
      </w:r>
    </w:p>
    <w:p>
      <w:pPr>
        <w:pStyle w:val="2"/>
        <w:spacing w:before="0" w:after="0" w:line="600" w:lineRule="exact"/>
        <w:ind w:firstLine="640" w:firstLineChars="200"/>
        <w:jc w:val="both"/>
        <w:rPr>
          <w:rFonts w:ascii="仿宋_GB2312" w:hAnsi="Calibri" w:eastAsia="仿宋_GB2312" w:cs="宋体"/>
          <w:b w:val="0"/>
          <w:bCs w:val="0"/>
          <w:kern w:val="2"/>
        </w:rPr>
      </w:pPr>
      <w:r>
        <w:rPr>
          <w:rFonts w:hint="eastAsia" w:ascii="仿宋_GB2312" w:hAnsi="Calibri" w:eastAsia="仿宋_GB2312" w:cs="宋体"/>
          <w:b w:val="0"/>
          <w:bCs w:val="0"/>
          <w:kern w:val="2"/>
        </w:rPr>
        <w:t>（3）时效指标。项目完成时间至202</w:t>
      </w:r>
      <w:r>
        <w:rPr>
          <w:rFonts w:hint="eastAsia" w:ascii="仿宋_GB2312" w:hAnsi="Calibri" w:eastAsia="仿宋_GB2312" w:cs="宋体"/>
          <w:b w:val="0"/>
          <w:bCs w:val="0"/>
          <w:kern w:val="2"/>
          <w:lang w:val="en-US" w:eastAsia="zh-CN"/>
        </w:rPr>
        <w:t>1</w:t>
      </w:r>
      <w:r>
        <w:rPr>
          <w:rFonts w:hint="eastAsia" w:ascii="仿宋_GB2312" w:hAnsi="Calibri" w:eastAsia="仿宋_GB2312" w:cs="宋体"/>
          <w:b w:val="0"/>
          <w:bCs w:val="0"/>
          <w:kern w:val="2"/>
        </w:rPr>
        <w:t>年12月。</w:t>
      </w:r>
    </w:p>
    <w:p>
      <w:pPr>
        <w:pStyle w:val="2"/>
        <w:spacing w:before="0" w:after="0" w:line="600" w:lineRule="exact"/>
        <w:ind w:firstLine="640" w:firstLineChars="200"/>
        <w:jc w:val="both"/>
        <w:rPr>
          <w:rFonts w:ascii="仿宋_GB2312" w:hAnsi="Calibri" w:eastAsia="仿宋_GB2312" w:cs="宋体"/>
          <w:b w:val="0"/>
          <w:bCs w:val="0"/>
          <w:kern w:val="2"/>
        </w:rPr>
      </w:pPr>
      <w:r>
        <w:rPr>
          <w:rFonts w:hint="eastAsia" w:ascii="仿宋_GB2312" w:hAnsi="Calibri" w:eastAsia="仿宋_GB2312" w:cs="宋体"/>
          <w:b w:val="0"/>
          <w:bCs w:val="0"/>
          <w:kern w:val="2"/>
        </w:rPr>
        <w:t>（4）成本指标。</w:t>
      </w:r>
      <w:r>
        <w:rPr>
          <w:rFonts w:hint="eastAsia" w:ascii="仿宋_GB2312" w:hAnsi="Calibri" w:eastAsia="仿宋_GB2312" w:cs="宋体"/>
          <w:b w:val="0"/>
          <w:bCs w:val="0"/>
          <w:kern w:val="2"/>
          <w:lang w:eastAsia="zh-CN"/>
        </w:rPr>
        <w:t>粮食保管费</w:t>
      </w:r>
      <w:r>
        <w:rPr>
          <w:rFonts w:hint="eastAsia" w:ascii="仿宋_GB2312" w:hAnsi="Calibri" w:eastAsia="仿宋_GB2312" w:cs="宋体"/>
          <w:b w:val="0"/>
          <w:bCs w:val="0"/>
          <w:kern w:val="2"/>
          <w:lang w:val="en-US" w:eastAsia="zh-CN"/>
        </w:rPr>
        <w:t>3.6万元；粮食轮换费9.6万元；水、电、暖补贴4.8万元</w:t>
      </w:r>
      <w:r>
        <w:rPr>
          <w:rFonts w:hint="eastAsia" w:ascii="仿宋_GB2312" w:hAnsi="Calibri" w:eastAsia="仿宋_GB2312" w:cs="宋体"/>
          <w:b w:val="0"/>
          <w:bCs w:val="0"/>
          <w:kern w:val="2"/>
        </w:rPr>
        <w:t>。</w:t>
      </w:r>
    </w:p>
    <w:p>
      <w:pPr>
        <w:pStyle w:val="2"/>
        <w:spacing w:before="0" w:after="0" w:line="600" w:lineRule="exact"/>
        <w:jc w:val="both"/>
        <w:rPr>
          <w:rFonts w:ascii="仿宋_GB2312" w:hAnsi="Calibri" w:eastAsia="仿宋_GB2312" w:cs="宋体"/>
          <w:b w:val="0"/>
          <w:bCs w:val="0"/>
          <w:kern w:val="2"/>
        </w:rPr>
      </w:pPr>
      <w:r>
        <w:rPr>
          <w:rFonts w:hint="eastAsia" w:ascii="仿宋_GB2312" w:hAnsi="Calibri" w:eastAsia="仿宋_GB2312" w:cs="宋体"/>
          <w:b w:val="0"/>
          <w:bCs w:val="0"/>
          <w:kern w:val="2"/>
        </w:rPr>
        <w:t xml:space="preserve">     2、效益指标完成情况分析。</w:t>
      </w:r>
    </w:p>
    <w:p>
      <w:pPr>
        <w:pStyle w:val="2"/>
        <w:numPr>
          <w:ilvl w:val="0"/>
          <w:numId w:val="4"/>
        </w:numPr>
        <w:spacing w:before="0" w:after="0" w:line="600" w:lineRule="exact"/>
        <w:ind w:firstLine="640" w:firstLineChars="200"/>
        <w:jc w:val="both"/>
        <w:rPr>
          <w:rFonts w:ascii="仿宋_GB2312" w:hAnsi="Calibri" w:eastAsia="仿宋_GB2312" w:cs="宋体"/>
          <w:b w:val="0"/>
          <w:bCs w:val="0"/>
          <w:kern w:val="2"/>
        </w:rPr>
      </w:pPr>
      <w:r>
        <w:rPr>
          <w:rFonts w:hint="eastAsia" w:ascii="仿宋_GB2312" w:hAnsi="Calibri" w:eastAsia="仿宋_GB2312" w:cs="宋体"/>
          <w:b w:val="0"/>
          <w:bCs w:val="0"/>
          <w:kern w:val="2"/>
        </w:rPr>
        <w:t>社会效益指标。扎实推进依法管粮，维护粮食流通正常秩序，提高全民的粮食危机和粮食安全意识</w:t>
      </w:r>
      <w:r>
        <w:rPr>
          <w:rFonts w:hint="eastAsia" w:ascii="仿宋_GB2312" w:hAnsi="Calibri" w:eastAsia="仿宋_GB2312" w:cs="宋体"/>
          <w:b w:val="0"/>
          <w:bCs w:val="0"/>
          <w:kern w:val="2"/>
          <w:lang w:eastAsia="zh-CN"/>
        </w:rPr>
        <w:t>显著提升</w:t>
      </w:r>
      <w:r>
        <w:rPr>
          <w:rFonts w:hint="eastAsia" w:ascii="仿宋_GB2312" w:hAnsi="Calibri" w:eastAsia="仿宋_GB2312" w:cs="宋体"/>
          <w:b w:val="0"/>
          <w:bCs w:val="0"/>
          <w:kern w:val="2"/>
        </w:rPr>
        <w:t>。</w:t>
      </w:r>
    </w:p>
    <w:p>
      <w:pPr>
        <w:pStyle w:val="2"/>
        <w:numPr>
          <w:ilvl w:val="0"/>
          <w:numId w:val="4"/>
        </w:numPr>
        <w:spacing w:before="0" w:after="0" w:line="600" w:lineRule="exact"/>
        <w:ind w:firstLine="640" w:firstLineChars="200"/>
        <w:jc w:val="both"/>
        <w:rPr>
          <w:rFonts w:hint="eastAsia" w:ascii="仿宋_GB2312" w:hAnsi="Calibri" w:eastAsia="仿宋_GB2312" w:cs="宋体"/>
          <w:b w:val="0"/>
          <w:bCs w:val="0"/>
          <w:kern w:val="2"/>
        </w:rPr>
      </w:pPr>
      <w:r>
        <w:rPr>
          <w:rFonts w:hint="eastAsia" w:ascii="仿宋_GB2312" w:hAnsi="Calibri" w:eastAsia="仿宋_GB2312" w:cs="宋体"/>
          <w:b w:val="0"/>
          <w:bCs w:val="0"/>
          <w:kern w:val="2"/>
        </w:rPr>
        <w:t>可持续影响指标。国家政策长期保障。</w:t>
      </w:r>
    </w:p>
    <w:p>
      <w:pPr>
        <w:pStyle w:val="2"/>
        <w:numPr>
          <w:ilvl w:val="0"/>
          <w:numId w:val="0"/>
        </w:numPr>
        <w:spacing w:before="0" w:after="0" w:line="600" w:lineRule="exact"/>
        <w:ind w:firstLine="960" w:firstLineChars="300"/>
        <w:jc w:val="both"/>
        <w:rPr>
          <w:rFonts w:hint="eastAsia" w:ascii="仿宋_GB2312" w:hAnsi="Calibri" w:eastAsia="仿宋_GB2312" w:cs="宋体"/>
          <w:b w:val="0"/>
          <w:bCs w:val="0"/>
          <w:kern w:val="2"/>
        </w:rPr>
      </w:pPr>
      <w:r>
        <w:rPr>
          <w:rFonts w:hint="eastAsia" w:ascii="仿宋_GB2312" w:hAnsi="Calibri" w:eastAsia="仿宋_GB2312" w:cs="宋体"/>
          <w:b w:val="0"/>
          <w:bCs w:val="0"/>
          <w:kern w:val="2"/>
          <w:lang w:val="en-US" w:eastAsia="zh-CN"/>
        </w:rPr>
        <w:t>3、</w:t>
      </w:r>
      <w:r>
        <w:rPr>
          <w:rFonts w:hint="eastAsia" w:ascii="仿宋_GB2312" w:hAnsi="Calibri" w:eastAsia="仿宋_GB2312" w:cs="宋体"/>
          <w:b w:val="0"/>
          <w:bCs w:val="0"/>
          <w:kern w:val="2"/>
        </w:rPr>
        <w:t>满意度指标完成情况分析。</w:t>
      </w:r>
    </w:p>
    <w:p>
      <w:pPr>
        <w:spacing w:line="600" w:lineRule="exact"/>
        <w:ind w:firstLine="960" w:firstLineChars="300"/>
      </w:pPr>
      <w:r>
        <w:rPr>
          <w:rFonts w:hint="eastAsia" w:ascii="仿宋_GB2312" w:hAnsi="Calibri" w:eastAsia="仿宋_GB2312" w:cs="宋体"/>
          <w:kern w:val="2"/>
          <w:sz w:val="32"/>
          <w:szCs w:val="32"/>
        </w:rPr>
        <w:t>对服务企业满意度达到98%。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三、偏离绩效目标的原因和下一步改进措施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此次自评，共有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1项指标没有达到年初目标值，是满意度指标中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服务对象满意度指标指标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年初设定值为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20分，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指标值为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19，未达到年初设定目标值，还需提高对企业的服务水平。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通过此次自评工作，使我单位相关自评人员更加掌握绩效自评的相关制度及指标设置，在今后的自评工作中，尤其在设定年初目标值时，严格按照相关制度要求，综合考虑各方面影响因素，科学合理的设定目标值，不过高或过低的设定目标值。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绩效自评结果拟应用和公开情况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我单位会及时整理、归纳、分析、反馈绩效评价结果，将绩效评价结果应用作为全过程预算绩效管理的落脚点。按照规定日期，将评价结果在盐池县政府门户网站“政府债务和绩效管理”专栏公开，并保持长期公开状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五、其他需要说明的问题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无。</w:t>
      </w:r>
    </w:p>
    <w:p/>
    <w:p>
      <w:pPr>
        <w:pStyle w:val="2"/>
        <w:rPr>
          <w:rFonts w:ascii="仿宋_GB2312" w:hAnsi="Calibri" w:eastAsia="仿宋_GB2312" w:cs="宋体"/>
          <w:b w:val="0"/>
          <w:bCs w:val="0"/>
          <w:kern w:val="2"/>
        </w:rPr>
      </w:pPr>
    </w:p>
    <w:p/>
    <w:p>
      <w:pPr>
        <w:jc w:val="center"/>
        <w:rPr>
          <w:rFonts w:ascii="仿宋_GB2312" w:hAnsi="Calibri" w:eastAsia="仿宋_GB2312" w:cs="宋体"/>
          <w:kern w:val="2"/>
          <w:sz w:val="32"/>
          <w:szCs w:val="32"/>
        </w:rPr>
      </w:pPr>
      <w:r>
        <w:rPr>
          <w:rFonts w:hint="eastAsia" w:ascii="仿宋_GB2312" w:hAnsi="Calibri" w:eastAsia="仿宋_GB2312" w:cs="宋体"/>
          <w:kern w:val="2"/>
          <w:sz w:val="32"/>
          <w:szCs w:val="32"/>
          <w:lang w:val="en-US" w:eastAsia="zh-CN"/>
        </w:rPr>
        <w:t xml:space="preserve">               </w:t>
      </w:r>
      <w:r>
        <w:rPr>
          <w:rFonts w:hint="eastAsia" w:ascii="仿宋_GB2312" w:hAnsi="Calibri" w:eastAsia="仿宋_GB2312" w:cs="宋体"/>
          <w:kern w:val="2"/>
          <w:sz w:val="32"/>
          <w:szCs w:val="32"/>
        </w:rPr>
        <w:t>盐池县发展和改革局</w:t>
      </w:r>
    </w:p>
    <w:p>
      <w:pPr>
        <w:jc w:val="center"/>
        <w:rPr>
          <w:rFonts w:ascii="仿宋_GB2312" w:hAnsi="Calibri" w:eastAsia="仿宋_GB2312" w:cs="宋体"/>
          <w:kern w:val="2"/>
          <w:sz w:val="32"/>
          <w:szCs w:val="32"/>
        </w:rPr>
      </w:pPr>
      <w:r>
        <w:rPr>
          <w:rFonts w:hint="eastAsia" w:ascii="仿宋_GB2312" w:hAnsi="Calibri" w:eastAsia="仿宋_GB2312" w:cs="宋体"/>
          <w:kern w:val="2"/>
          <w:sz w:val="32"/>
          <w:szCs w:val="32"/>
          <w:lang w:val="en-US" w:eastAsia="zh-CN"/>
        </w:rPr>
        <w:t xml:space="preserve">               </w:t>
      </w:r>
      <w:r>
        <w:rPr>
          <w:rFonts w:hint="eastAsia" w:ascii="仿宋_GB2312" w:hAnsi="Calibri" w:eastAsia="仿宋_GB2312" w:cs="宋体"/>
          <w:kern w:val="2"/>
          <w:sz w:val="32"/>
          <w:szCs w:val="32"/>
        </w:rPr>
        <w:t>202</w:t>
      </w:r>
      <w:r>
        <w:rPr>
          <w:rFonts w:hint="eastAsia" w:ascii="仿宋_GB2312" w:hAnsi="Calibri" w:eastAsia="仿宋_GB2312" w:cs="宋体"/>
          <w:kern w:val="2"/>
          <w:sz w:val="32"/>
          <w:szCs w:val="32"/>
          <w:lang w:val="en-US" w:eastAsia="zh-CN"/>
        </w:rPr>
        <w:t>2</w:t>
      </w:r>
      <w:r>
        <w:rPr>
          <w:rFonts w:hint="eastAsia" w:ascii="仿宋_GB2312" w:hAnsi="Calibri" w:eastAsia="仿宋_GB2312" w:cs="宋体"/>
          <w:kern w:val="2"/>
          <w:sz w:val="32"/>
          <w:szCs w:val="32"/>
        </w:rPr>
        <w:t>年</w:t>
      </w:r>
      <w:r>
        <w:rPr>
          <w:rFonts w:hint="eastAsia" w:ascii="仿宋_GB2312" w:hAnsi="Calibri" w:eastAsia="仿宋_GB2312" w:cs="宋体"/>
          <w:kern w:val="2"/>
          <w:sz w:val="32"/>
          <w:szCs w:val="32"/>
          <w:lang w:val="en-US" w:eastAsia="zh-CN"/>
        </w:rPr>
        <w:t>5</w:t>
      </w:r>
      <w:r>
        <w:rPr>
          <w:rFonts w:hint="eastAsia" w:ascii="仿宋_GB2312" w:hAnsi="Calibri" w:eastAsia="仿宋_GB2312" w:cs="宋体"/>
          <w:kern w:val="2"/>
          <w:sz w:val="32"/>
          <w:szCs w:val="32"/>
        </w:rPr>
        <w:t>月</w:t>
      </w:r>
      <w:r>
        <w:rPr>
          <w:rFonts w:hint="eastAsia" w:ascii="仿宋_GB2312" w:hAnsi="Calibri" w:eastAsia="仿宋_GB2312" w:cs="宋体"/>
          <w:kern w:val="2"/>
          <w:sz w:val="32"/>
          <w:szCs w:val="32"/>
          <w:lang w:val="en-US" w:eastAsia="zh-CN"/>
        </w:rPr>
        <w:t>18</w:t>
      </w:r>
      <w:r>
        <w:rPr>
          <w:rFonts w:hint="eastAsia" w:ascii="仿宋_GB2312" w:hAnsi="Calibri" w:eastAsia="仿宋_GB2312" w:cs="宋体"/>
          <w:kern w:val="2"/>
          <w:sz w:val="32"/>
          <w:szCs w:val="32"/>
        </w:rPr>
        <w:t>日</w:t>
      </w:r>
    </w:p>
    <w:p>
      <w:pPr>
        <w:pStyle w:val="2"/>
        <w:jc w:val="center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sectPr>
      <w:pgSz w:w="11906" w:h="16838"/>
      <w:pgMar w:top="1157" w:right="1531" w:bottom="1043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06C9C34"/>
    <w:multiLevelType w:val="singleLevel"/>
    <w:tmpl w:val="A06C9C34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2D9030F"/>
    <w:multiLevelType w:val="singleLevel"/>
    <w:tmpl w:val="02D9030F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30040D3C"/>
    <w:multiLevelType w:val="singleLevel"/>
    <w:tmpl w:val="30040D3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60ED536C"/>
    <w:multiLevelType w:val="singleLevel"/>
    <w:tmpl w:val="60ED536C"/>
    <w:lvl w:ilvl="0" w:tentative="0">
      <w:start w:val="1"/>
      <w:numFmt w:val="decimal"/>
      <w:suff w:val="nothing"/>
      <w:lvlText w:val="（%1）"/>
      <w:lvlJc w:val="left"/>
    </w:lvl>
  </w:abstractNum>
  <w:abstractNum w:abstractNumId="4">
    <w:nsid w:val="7AE69997"/>
    <w:multiLevelType w:val="singleLevel"/>
    <w:tmpl w:val="7AE6999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zcxMzEzMzdjODE0YjkxNTQ4ZDU0YmMzNmZhNWMyOGUifQ=="/>
  </w:docVars>
  <w:rsids>
    <w:rsidRoot w:val="0FBE4C56"/>
    <w:rsid w:val="0000080F"/>
    <w:rsid w:val="001733CD"/>
    <w:rsid w:val="001D034A"/>
    <w:rsid w:val="001E1F93"/>
    <w:rsid w:val="001E6C3F"/>
    <w:rsid w:val="00220AF9"/>
    <w:rsid w:val="00253ED3"/>
    <w:rsid w:val="00273D3F"/>
    <w:rsid w:val="00296D3A"/>
    <w:rsid w:val="002B4098"/>
    <w:rsid w:val="002D326D"/>
    <w:rsid w:val="002E169A"/>
    <w:rsid w:val="002E468D"/>
    <w:rsid w:val="00307907"/>
    <w:rsid w:val="004124D2"/>
    <w:rsid w:val="00494AD9"/>
    <w:rsid w:val="004A6DA0"/>
    <w:rsid w:val="004B59EF"/>
    <w:rsid w:val="005E669C"/>
    <w:rsid w:val="0061236F"/>
    <w:rsid w:val="00613F74"/>
    <w:rsid w:val="00622728"/>
    <w:rsid w:val="006B7E72"/>
    <w:rsid w:val="006B7F60"/>
    <w:rsid w:val="006F2BEB"/>
    <w:rsid w:val="00747C96"/>
    <w:rsid w:val="00750238"/>
    <w:rsid w:val="00787A0F"/>
    <w:rsid w:val="007D4F29"/>
    <w:rsid w:val="007E6382"/>
    <w:rsid w:val="008747EB"/>
    <w:rsid w:val="008D23FD"/>
    <w:rsid w:val="00911819"/>
    <w:rsid w:val="009161B8"/>
    <w:rsid w:val="009172FF"/>
    <w:rsid w:val="00943815"/>
    <w:rsid w:val="00974ED9"/>
    <w:rsid w:val="00982358"/>
    <w:rsid w:val="009B052C"/>
    <w:rsid w:val="009B6E8F"/>
    <w:rsid w:val="00A02C3E"/>
    <w:rsid w:val="00A465F9"/>
    <w:rsid w:val="00A52C1D"/>
    <w:rsid w:val="00A61339"/>
    <w:rsid w:val="00A74A71"/>
    <w:rsid w:val="00AD30E2"/>
    <w:rsid w:val="00AF47E3"/>
    <w:rsid w:val="00B6446B"/>
    <w:rsid w:val="00B7625F"/>
    <w:rsid w:val="00BC5237"/>
    <w:rsid w:val="00BD1ED4"/>
    <w:rsid w:val="00BE3D14"/>
    <w:rsid w:val="00C12012"/>
    <w:rsid w:val="00C120E6"/>
    <w:rsid w:val="00C147BB"/>
    <w:rsid w:val="00C83780"/>
    <w:rsid w:val="00C91E30"/>
    <w:rsid w:val="00D63952"/>
    <w:rsid w:val="00D63C3B"/>
    <w:rsid w:val="00DA5CCE"/>
    <w:rsid w:val="00DB6D1D"/>
    <w:rsid w:val="00DF4D69"/>
    <w:rsid w:val="00E009B6"/>
    <w:rsid w:val="00E11573"/>
    <w:rsid w:val="00E20331"/>
    <w:rsid w:val="00E42FAF"/>
    <w:rsid w:val="00E447D1"/>
    <w:rsid w:val="00E52C7F"/>
    <w:rsid w:val="00E96F63"/>
    <w:rsid w:val="00EB323D"/>
    <w:rsid w:val="00EB6F9F"/>
    <w:rsid w:val="00EC3910"/>
    <w:rsid w:val="00ED5483"/>
    <w:rsid w:val="00EE10BB"/>
    <w:rsid w:val="00F2106F"/>
    <w:rsid w:val="00F2602D"/>
    <w:rsid w:val="00F30387"/>
    <w:rsid w:val="00F44FF9"/>
    <w:rsid w:val="00F607D5"/>
    <w:rsid w:val="00F87358"/>
    <w:rsid w:val="00F911BA"/>
    <w:rsid w:val="00FB3F65"/>
    <w:rsid w:val="00FB7448"/>
    <w:rsid w:val="00FF088E"/>
    <w:rsid w:val="01094A22"/>
    <w:rsid w:val="01B41965"/>
    <w:rsid w:val="024F76B3"/>
    <w:rsid w:val="02DD468C"/>
    <w:rsid w:val="032A1114"/>
    <w:rsid w:val="04C87EA4"/>
    <w:rsid w:val="057229F0"/>
    <w:rsid w:val="0681623A"/>
    <w:rsid w:val="06AE311F"/>
    <w:rsid w:val="06F619AC"/>
    <w:rsid w:val="07262E9F"/>
    <w:rsid w:val="095F41FA"/>
    <w:rsid w:val="0963712E"/>
    <w:rsid w:val="09EC206E"/>
    <w:rsid w:val="0A63705C"/>
    <w:rsid w:val="0A974F1C"/>
    <w:rsid w:val="0C821BE8"/>
    <w:rsid w:val="0FBE4C56"/>
    <w:rsid w:val="0FF5166F"/>
    <w:rsid w:val="10E55829"/>
    <w:rsid w:val="132C5EAE"/>
    <w:rsid w:val="1367627D"/>
    <w:rsid w:val="14547A18"/>
    <w:rsid w:val="151E6D01"/>
    <w:rsid w:val="15216952"/>
    <w:rsid w:val="15516E35"/>
    <w:rsid w:val="17882620"/>
    <w:rsid w:val="18B01295"/>
    <w:rsid w:val="196B0D10"/>
    <w:rsid w:val="1AB867E1"/>
    <w:rsid w:val="1B4A2A90"/>
    <w:rsid w:val="1B5B5ACC"/>
    <w:rsid w:val="1BA10C70"/>
    <w:rsid w:val="1CF62B32"/>
    <w:rsid w:val="1CFD56D9"/>
    <w:rsid w:val="1D1712D2"/>
    <w:rsid w:val="1D525384"/>
    <w:rsid w:val="1D6C30CC"/>
    <w:rsid w:val="1F3642F6"/>
    <w:rsid w:val="209A196D"/>
    <w:rsid w:val="20C8783C"/>
    <w:rsid w:val="21294AFE"/>
    <w:rsid w:val="2129799B"/>
    <w:rsid w:val="22106318"/>
    <w:rsid w:val="221F0740"/>
    <w:rsid w:val="223102AE"/>
    <w:rsid w:val="22FB6AEF"/>
    <w:rsid w:val="22FC7EC9"/>
    <w:rsid w:val="23BF11CB"/>
    <w:rsid w:val="24A91785"/>
    <w:rsid w:val="24B97048"/>
    <w:rsid w:val="2656624E"/>
    <w:rsid w:val="28DB571A"/>
    <w:rsid w:val="29BB6422"/>
    <w:rsid w:val="2A465E17"/>
    <w:rsid w:val="2A5C1942"/>
    <w:rsid w:val="2C2E7659"/>
    <w:rsid w:val="2C922B86"/>
    <w:rsid w:val="2CA966E2"/>
    <w:rsid w:val="2CE17246"/>
    <w:rsid w:val="2EAE072E"/>
    <w:rsid w:val="30D659CD"/>
    <w:rsid w:val="31DF5A07"/>
    <w:rsid w:val="3328001B"/>
    <w:rsid w:val="33F73D61"/>
    <w:rsid w:val="387D0534"/>
    <w:rsid w:val="39165D20"/>
    <w:rsid w:val="39852E4C"/>
    <w:rsid w:val="39CC5014"/>
    <w:rsid w:val="39F54FFE"/>
    <w:rsid w:val="3A79524D"/>
    <w:rsid w:val="3DD55FF5"/>
    <w:rsid w:val="3E3242A5"/>
    <w:rsid w:val="3EE75A41"/>
    <w:rsid w:val="3F3433C8"/>
    <w:rsid w:val="40980BA4"/>
    <w:rsid w:val="432956E8"/>
    <w:rsid w:val="432F1B1A"/>
    <w:rsid w:val="4466743D"/>
    <w:rsid w:val="44F95CC4"/>
    <w:rsid w:val="45D35BFA"/>
    <w:rsid w:val="471072FE"/>
    <w:rsid w:val="471307BF"/>
    <w:rsid w:val="47DC7081"/>
    <w:rsid w:val="48AB71A7"/>
    <w:rsid w:val="4A72255D"/>
    <w:rsid w:val="4B2A519F"/>
    <w:rsid w:val="4C9677D5"/>
    <w:rsid w:val="4CCD33AA"/>
    <w:rsid w:val="4CCF3438"/>
    <w:rsid w:val="4E7836A9"/>
    <w:rsid w:val="4E8F09B2"/>
    <w:rsid w:val="4F3E04D9"/>
    <w:rsid w:val="51163849"/>
    <w:rsid w:val="520E56FF"/>
    <w:rsid w:val="52C244DA"/>
    <w:rsid w:val="567A024B"/>
    <w:rsid w:val="571C0445"/>
    <w:rsid w:val="57AD2AC8"/>
    <w:rsid w:val="581E69D6"/>
    <w:rsid w:val="589115F4"/>
    <w:rsid w:val="58B31CE5"/>
    <w:rsid w:val="593A4BDC"/>
    <w:rsid w:val="5A8D5101"/>
    <w:rsid w:val="5B876F71"/>
    <w:rsid w:val="5BCA3041"/>
    <w:rsid w:val="5C246846"/>
    <w:rsid w:val="5CB25687"/>
    <w:rsid w:val="5DAF3DED"/>
    <w:rsid w:val="5EEB30CF"/>
    <w:rsid w:val="5F144902"/>
    <w:rsid w:val="60C63876"/>
    <w:rsid w:val="6146242B"/>
    <w:rsid w:val="64B905F4"/>
    <w:rsid w:val="65E36C40"/>
    <w:rsid w:val="6839385A"/>
    <w:rsid w:val="69C25EC3"/>
    <w:rsid w:val="69C65AA7"/>
    <w:rsid w:val="6AED1438"/>
    <w:rsid w:val="6D0E508C"/>
    <w:rsid w:val="6E1A4400"/>
    <w:rsid w:val="6F546C80"/>
    <w:rsid w:val="6FD93FD0"/>
    <w:rsid w:val="70482964"/>
    <w:rsid w:val="70ED5FC5"/>
    <w:rsid w:val="7126259A"/>
    <w:rsid w:val="717C3494"/>
    <w:rsid w:val="721446D8"/>
    <w:rsid w:val="73611ECC"/>
    <w:rsid w:val="737D7894"/>
    <w:rsid w:val="74896F9E"/>
    <w:rsid w:val="74CC3E20"/>
    <w:rsid w:val="74F7691C"/>
    <w:rsid w:val="75646567"/>
    <w:rsid w:val="77135CDE"/>
    <w:rsid w:val="795178D1"/>
    <w:rsid w:val="79697633"/>
    <w:rsid w:val="79E032DA"/>
    <w:rsid w:val="7A4D0383"/>
    <w:rsid w:val="7AC81005"/>
    <w:rsid w:val="7AED1098"/>
    <w:rsid w:val="7BF7433B"/>
    <w:rsid w:val="7C84022B"/>
    <w:rsid w:val="7C8C34FD"/>
    <w:rsid w:val="7CCF1F49"/>
    <w:rsid w:val="7F296F7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cs="微软雅黑" w:asciiTheme="minorHAnsi" w:hAnsiTheme="minorHAnsi" w:eastAsiaTheme="majorEastAsia"/>
      <w:color w:val="000000" w:themeColor="text1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99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3">
    <w:name w:val="Date"/>
    <w:basedOn w:val="1"/>
    <w:next w:val="1"/>
    <w:link w:val="19"/>
    <w:qFormat/>
    <w:uiPriority w:val="0"/>
    <w:pPr>
      <w:ind w:left="100" w:leftChars="2500"/>
    </w:pPr>
  </w:style>
  <w:style w:type="paragraph" w:styleId="4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sz w:val="24"/>
    </w:rPr>
  </w:style>
  <w:style w:type="character" w:customStyle="1" w:styleId="9">
    <w:name w:val="font61"/>
    <w:basedOn w:val="8"/>
    <w:qFormat/>
    <w:uiPriority w:val="0"/>
    <w:rPr>
      <w:rFonts w:hint="default" w:ascii="方正小标宋_GBK" w:hAnsi="方正小标宋_GBK" w:eastAsia="方正小标宋_GBK" w:cs="方正小标宋_GBK"/>
      <w:color w:val="000000"/>
      <w:sz w:val="40"/>
      <w:szCs w:val="40"/>
      <w:u w:val="none"/>
    </w:rPr>
  </w:style>
  <w:style w:type="character" w:customStyle="1" w:styleId="10">
    <w:name w:val="font7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31"/>
    <w:basedOn w:val="8"/>
    <w:qFormat/>
    <w:uiPriority w:val="0"/>
    <w:rPr>
      <w:rFonts w:hint="default" w:ascii="方正小标宋_GBK" w:hAnsi="方正小标宋_GBK" w:eastAsia="方正小标宋_GBK" w:cs="方正小标宋_GBK"/>
      <w:color w:val="000000"/>
      <w:sz w:val="40"/>
      <w:szCs w:val="40"/>
      <w:u w:val="none"/>
    </w:rPr>
  </w:style>
  <w:style w:type="character" w:customStyle="1" w:styleId="12">
    <w:name w:val="font4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3">
    <w:name w:val="font51"/>
    <w:basedOn w:val="8"/>
    <w:qFormat/>
    <w:uiPriority w:val="0"/>
    <w:rPr>
      <w:rFonts w:hint="default" w:ascii="方正小标宋_GBK" w:hAnsi="方正小标宋_GBK" w:eastAsia="方正小标宋_GBK" w:cs="方正小标宋_GBK"/>
      <w:color w:val="000000"/>
      <w:sz w:val="40"/>
      <w:szCs w:val="40"/>
      <w:u w:val="none"/>
    </w:rPr>
  </w:style>
  <w:style w:type="character" w:customStyle="1" w:styleId="14">
    <w:name w:val="font11"/>
    <w:basedOn w:val="8"/>
    <w:qFormat/>
    <w:uiPriority w:val="0"/>
    <w:rPr>
      <w:rFonts w:ascii="Arial" w:hAnsi="Arial" w:cs="Arial"/>
      <w:color w:val="000000"/>
      <w:sz w:val="16"/>
      <w:szCs w:val="16"/>
      <w:u w:val="none"/>
    </w:rPr>
  </w:style>
  <w:style w:type="character" w:customStyle="1" w:styleId="15">
    <w:name w:val="font01"/>
    <w:basedOn w:val="8"/>
    <w:qFormat/>
    <w:uiPriority w:val="0"/>
    <w:rPr>
      <w:rFonts w:ascii="仿宋_GB2312" w:eastAsia="仿宋_GB2312" w:cs="仿宋_GB2312"/>
      <w:color w:val="000000"/>
      <w:sz w:val="16"/>
      <w:szCs w:val="16"/>
      <w:u w:val="none"/>
    </w:rPr>
  </w:style>
  <w:style w:type="character" w:customStyle="1" w:styleId="16">
    <w:name w:val="font21"/>
    <w:basedOn w:val="8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17">
    <w:name w:val="页眉 Char"/>
    <w:basedOn w:val="8"/>
    <w:link w:val="5"/>
    <w:qFormat/>
    <w:uiPriority w:val="0"/>
    <w:rPr>
      <w:rFonts w:cs="微软雅黑" w:asciiTheme="minorHAnsi" w:hAnsiTheme="minorHAnsi" w:eastAsiaTheme="majorEastAsia"/>
      <w:color w:val="000000" w:themeColor="text1"/>
      <w:sz w:val="18"/>
      <w:szCs w:val="18"/>
    </w:rPr>
  </w:style>
  <w:style w:type="character" w:customStyle="1" w:styleId="18">
    <w:name w:val="页脚 Char"/>
    <w:basedOn w:val="8"/>
    <w:link w:val="4"/>
    <w:qFormat/>
    <w:uiPriority w:val="0"/>
    <w:rPr>
      <w:rFonts w:cs="微软雅黑" w:asciiTheme="minorHAnsi" w:hAnsiTheme="minorHAnsi" w:eastAsiaTheme="majorEastAsia"/>
      <w:color w:val="000000" w:themeColor="text1"/>
      <w:sz w:val="18"/>
      <w:szCs w:val="18"/>
    </w:rPr>
  </w:style>
  <w:style w:type="character" w:customStyle="1" w:styleId="19">
    <w:name w:val="日期 Char"/>
    <w:basedOn w:val="8"/>
    <w:link w:val="3"/>
    <w:qFormat/>
    <w:uiPriority w:val="0"/>
    <w:rPr>
      <w:rFonts w:cs="微软雅黑" w:asciiTheme="minorHAnsi" w:hAnsiTheme="minorHAnsi" w:eastAsiaTheme="majorEastAsia"/>
      <w:color w:val="000000" w:themeColor="text1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4"/>
    <customShpInfo spid="_x0000_s2053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5A30E29-6DC0-4383-9656-9E23BB45392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1048</Words>
  <Characters>1092</Characters>
  <Lines>15</Lines>
  <Paragraphs>4</Paragraphs>
  <TotalTime>1</TotalTime>
  <ScaleCrop>false</ScaleCrop>
  <LinksUpToDate>false</LinksUpToDate>
  <CharactersWithSpaces>1131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2020-05-28T09:48:00Z</dcterms:created>
  <dc:creator>焦清红</dc:creator>
  <cp:lastModifiedBy>PC</cp:lastModifiedBy>
  <dcterms:modified xsi:type="dcterms:W3CDTF">2022-05-25T01:35:00Z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C75CA968D4EF4A57B1EA4F087DB673C7</vt:lpwstr>
  </property>
</Properties>
</file>