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eastAsia="方正小标宋简体" w:cs="宋体"/>
          <w:b/>
          <w:color w:val="FF0000"/>
          <w:kern w:val="0"/>
          <w:sz w:val="70"/>
          <w:szCs w:val="32"/>
        </w:rPr>
      </w:pPr>
      <w:r>
        <w:rPr>
          <w:rFonts w:hint="eastAsia" w:ascii="方正小标宋简体" w:eastAsia="方正小标宋简体" w:cs="宋体"/>
          <w:b/>
          <w:color w:val="FF0000"/>
          <w:kern w:val="0"/>
          <w:sz w:val="70"/>
          <w:szCs w:val="32"/>
        </w:rPr>
        <w:t>盐  池  县  财  政  局</w:t>
      </w:r>
    </w:p>
    <w:p>
      <w:pPr>
        <w:widowControl/>
        <w:shd w:val="clear" w:color="auto" w:fill="FFFFFF"/>
        <w:spacing w:line="600" w:lineRule="exact"/>
        <w:jc w:val="center"/>
        <w:rPr>
          <w:rFonts w:ascii="方正小标宋简体" w:hAnsi="Calibri" w:eastAsia="方正小标宋简体" w:cs="Times New Roman"/>
          <w:color w:val="333333"/>
          <w:kern w:val="0"/>
          <w:sz w:val="44"/>
          <w:szCs w:val="44"/>
        </w:rPr>
      </w:pPr>
      <w:r>
        <mc:AlternateContent>
          <mc:Choice Requires="wps">
            <w:drawing>
              <wp:anchor distT="0" distB="0" distL="114300" distR="114300" simplePos="0" relativeHeight="251658240" behindDoc="0" locked="0" layoutInCell="1" allowOverlap="1">
                <wp:simplePos x="0" y="0"/>
                <wp:positionH relativeFrom="column">
                  <wp:posOffset>-50165</wp:posOffset>
                </wp:positionH>
                <wp:positionV relativeFrom="paragraph">
                  <wp:posOffset>21590</wp:posOffset>
                </wp:positionV>
                <wp:extent cx="5600065" cy="0"/>
                <wp:effectExtent l="0" t="28575" r="635" b="28575"/>
                <wp:wrapNone/>
                <wp:docPr id="1" name="直接连接符 1"/>
                <wp:cNvGraphicFramePr/>
                <a:graphic xmlns:a="http://schemas.openxmlformats.org/drawingml/2006/main">
                  <a:graphicData uri="http://schemas.microsoft.com/office/word/2010/wordprocessingShape">
                    <wps:wsp>
                      <wps:cNvCnPr/>
                      <wps:spPr>
                        <a:xfrm>
                          <a:off x="0" y="0"/>
                          <a:ext cx="5600065" cy="0"/>
                        </a:xfrm>
                        <a:prstGeom prst="line">
                          <a:avLst/>
                        </a:prstGeom>
                        <a:ln w="57150" cap="flat" cmpd="thickThin">
                          <a:solidFill>
                            <a:srgbClr val="FF0000"/>
                          </a:solidFill>
                          <a:prstDash val="solid"/>
                          <a:headEnd type="none" w="med" len="med"/>
                          <a:tailEnd type="none" w="med" len="med"/>
                        </a:ln>
                        <a:effectLst/>
                      </wps:spPr>
                      <wps:bodyPr/>
                    </wps:wsp>
                  </a:graphicData>
                </a:graphic>
              </wp:anchor>
            </w:drawing>
          </mc:Choice>
          <mc:Fallback>
            <w:pict>
              <v:line id="_x0000_s1026" o:spid="_x0000_s1026" o:spt="20" style="position:absolute;left:0pt;margin-left:-3.95pt;margin-top:1.7pt;height:0pt;width:440.95pt;z-index:251658240;mso-width-relative:page;mso-height-relative:page;" filled="f" stroked="t" coordsize="21600,21600" o:gfxdata="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WAAAAZHJzL1BLAQIUABQAAAAIAIdO4kCX&#10;vKIt0wAAAAYBAAAPAAAAAAAAAAEAIAAAADgAAABkcnMvZG93bnJldi54bWxQSwECFAAUAAAACACH&#10;TuJA1ByG5toBAACfAwAADgAAAAAAAAABACAAAAA4AQAAZHJzL2Uyb0RvYy54bWxQSwUGAAAAAAYA&#10;BgBZAQAAhAUAAAAA&#10;">
                <v:fill on="f" focussize="0,0"/>
                <v:stroke weight="4.5pt" color="#FF0000" linestyle="thickThin" joinstyle="round"/>
                <v:imagedata o:title=""/>
                <o:lock v:ext="edit" aspectratio="f"/>
              </v:line>
            </w:pict>
          </mc:Fallback>
        </mc:AlternateContent>
      </w:r>
      <w:r>
        <w:rPr>
          <w:rFonts w:eastAsia="方正仿宋简体"/>
          <w:sz w:val="32"/>
          <w:szCs w:val="32"/>
        </w:rPr>
        <w:t xml:space="preserve">     </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仿宋_GB2312" w:hAnsi="仿宋_GB2312" w:eastAsia="仿宋_GB2312" w:cs="仿宋_GB2312"/>
          <w:sz w:val="32"/>
          <w:szCs w:val="32"/>
          <w:lang w:val="en-US" w:eastAsia="zh-CN"/>
        </w:rPr>
      </w:pPr>
      <w:r>
        <w:rPr>
          <w:rFonts w:hint="eastAsia" w:ascii="方正小标宋简体" w:hAnsi="方正小标宋简体" w:eastAsia="方正小标宋简体" w:cs="方正小标宋简体"/>
          <w:sz w:val="44"/>
          <w:szCs w:val="44"/>
          <w:lang w:val="en-US" w:eastAsia="zh-CN"/>
        </w:rPr>
        <w:t>采购政府投资工程项目结算审核第三方机构服务项目202</w:t>
      </w:r>
      <w:r>
        <w:rPr>
          <w:rFonts w:hint="eastAsia" w:ascii="方正小标宋简体" w:hAnsi="方正小标宋简体" w:eastAsia="方正小标宋简体" w:cs="方正小标宋简体"/>
          <w:sz w:val="44"/>
          <w:szCs w:val="44"/>
          <w:lang w:val="en" w:eastAsia="zh-CN"/>
        </w:rPr>
        <w:t>1</w:t>
      </w:r>
      <w:r>
        <w:rPr>
          <w:rFonts w:hint="eastAsia" w:ascii="方正小标宋简体" w:hAnsi="方正小标宋简体" w:eastAsia="方正小标宋简体" w:cs="方正小标宋简体"/>
          <w:sz w:val="44"/>
          <w:szCs w:val="44"/>
          <w:lang w:val="en-US" w:eastAsia="zh-CN"/>
        </w:rPr>
        <w:t>年度绩效评价报告</w:t>
      </w:r>
    </w:p>
    <w:p>
      <w:pPr>
        <w:keepNext w:val="0"/>
        <w:keepLines w:val="0"/>
        <w:pageBreakBefore w:val="0"/>
        <w:widowControl/>
        <w:kinsoku/>
        <w:wordWrap/>
        <w:overflowPunct/>
        <w:topLinePunct w:val="0"/>
        <w:autoSpaceDE/>
        <w:autoSpaceDN/>
        <w:bidi w:val="0"/>
        <w:adjustRightInd w:val="0"/>
        <w:snapToGrid w:val="0"/>
        <w:spacing w:after="0"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县财政局：</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仿宋_GB2312" w:hAnsi="仿宋_GB2312" w:eastAsia="仿宋_GB2312" w:cs="仿宋_GB2312"/>
          <w:sz w:val="32"/>
          <w:szCs w:val="32"/>
        </w:rPr>
        <w:t>为进一步贯彻《盐池县全面实施预算绩效管理的实施方案（盐党办发〔2019〕75号），推进落实我单位绩效主体责任，根据《盐池县财政局关于202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年部门项目支出绩效自评的通知》（盐财发〔202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号）文件精神，</w:t>
      </w:r>
      <w:r>
        <w:rPr>
          <w:rFonts w:hint="default" w:ascii="Times New Roman" w:hAnsi="Times New Roman" w:eastAsia="仿宋_GB2312" w:cs="Times New Roman"/>
          <w:sz w:val="32"/>
          <w:szCs w:val="32"/>
          <w:lang w:val="en-US" w:eastAsia="zh-CN"/>
        </w:rPr>
        <w:t>我单位对采购政府投资工程项目结算审核第三方机构服务项目进行了自评自查，现将自评情况报告如下：</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（一）根据盐财（预）指标〔202</w:t>
      </w:r>
      <w:r>
        <w:rPr>
          <w:rFonts w:hint="default" w:ascii="Times New Roman" w:hAnsi="Times New Roman" w:eastAsia="仿宋_GB2312" w:cs="Times New Roman"/>
          <w:sz w:val="32"/>
          <w:szCs w:val="32"/>
          <w:lang w:val="en" w:eastAsia="zh-CN"/>
        </w:rPr>
        <w:t>1</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 w:eastAsia="zh-CN"/>
        </w:rPr>
        <w:t>1</w:t>
      </w:r>
      <w:r>
        <w:rPr>
          <w:rFonts w:hint="default" w:ascii="Times New Roman" w:hAnsi="Times New Roman" w:eastAsia="仿宋_GB2312" w:cs="Times New Roman"/>
          <w:sz w:val="32"/>
          <w:szCs w:val="32"/>
          <w:lang w:val="en-US" w:eastAsia="zh-CN"/>
        </w:rPr>
        <w:t>号文件要求，政府投资项目工程结算审核费用项目下达资金</w:t>
      </w:r>
      <w:r>
        <w:rPr>
          <w:rFonts w:hint="default" w:ascii="Times New Roman" w:hAnsi="Times New Roman" w:eastAsia="仿宋_GB2312" w:cs="Times New Roman"/>
          <w:sz w:val="32"/>
          <w:szCs w:val="32"/>
          <w:lang w:val="en" w:eastAsia="zh-CN"/>
        </w:rPr>
        <w:t>300</w:t>
      </w:r>
      <w:r>
        <w:rPr>
          <w:rFonts w:hint="default" w:ascii="Times New Roman" w:hAnsi="Times New Roman" w:eastAsia="仿宋_GB2312" w:cs="Times New Roman"/>
          <w:sz w:val="32"/>
          <w:szCs w:val="32"/>
          <w:lang w:val="en-US" w:eastAsia="zh-CN"/>
        </w:rPr>
        <w:t>万元，全部为财政拨款。</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（二）202</w:t>
      </w:r>
      <w:r>
        <w:rPr>
          <w:rFonts w:hint="default" w:ascii="Times New Roman" w:hAnsi="Times New Roman" w:eastAsia="仿宋_GB2312" w:cs="Times New Roman"/>
          <w:sz w:val="32"/>
          <w:szCs w:val="32"/>
          <w:lang w:val="en" w:eastAsia="zh-CN"/>
        </w:rPr>
        <w:t>1</w:t>
      </w:r>
      <w:r>
        <w:rPr>
          <w:rFonts w:hint="default" w:ascii="Times New Roman" w:hAnsi="Times New Roman" w:eastAsia="仿宋_GB2312" w:cs="Times New Roman"/>
          <w:sz w:val="32"/>
          <w:szCs w:val="32"/>
          <w:lang w:val="en-US" w:eastAsia="zh-CN"/>
        </w:rPr>
        <w:t>年度中由县级资金安排下达资金</w:t>
      </w:r>
      <w:r>
        <w:rPr>
          <w:rFonts w:hint="default" w:ascii="Times New Roman" w:hAnsi="Times New Roman" w:eastAsia="仿宋_GB2312" w:cs="Times New Roman"/>
          <w:sz w:val="32"/>
          <w:szCs w:val="32"/>
          <w:lang w:val="en" w:eastAsia="zh-CN"/>
        </w:rPr>
        <w:t>300</w:t>
      </w:r>
      <w:r>
        <w:rPr>
          <w:rFonts w:hint="default" w:ascii="Times New Roman" w:hAnsi="Times New Roman" w:eastAsia="仿宋_GB2312" w:cs="Times New Roman"/>
          <w:sz w:val="32"/>
          <w:szCs w:val="32"/>
          <w:lang w:val="en-US" w:eastAsia="zh-CN"/>
        </w:rPr>
        <w:t>万元，支付资金</w:t>
      </w:r>
      <w:r>
        <w:rPr>
          <w:rFonts w:hint="default" w:ascii="Times New Roman" w:hAnsi="Times New Roman" w:eastAsia="仿宋_GB2312" w:cs="Times New Roman"/>
          <w:sz w:val="32"/>
          <w:szCs w:val="32"/>
          <w:lang w:val="en" w:eastAsia="zh-CN"/>
        </w:rPr>
        <w:t>282.38</w:t>
      </w:r>
      <w:r>
        <w:rPr>
          <w:rFonts w:hint="default" w:ascii="Times New Roman" w:hAnsi="Times New Roman" w:eastAsia="仿宋_GB2312" w:cs="Times New Roman"/>
          <w:sz w:val="32"/>
          <w:szCs w:val="32"/>
          <w:lang w:val="en-US" w:eastAsia="zh-CN"/>
        </w:rPr>
        <w:t>万元，</w:t>
      </w:r>
      <w:r>
        <w:rPr>
          <w:rFonts w:hint="default" w:ascii="Times New Roman" w:hAnsi="Times New Roman" w:eastAsia="仿宋_GB2312" w:cs="Times New Roman"/>
          <w:sz w:val="32"/>
          <w:szCs w:val="32"/>
          <w:lang w:val="en" w:eastAsia="zh-CN"/>
        </w:rPr>
        <w:t>结余资金</w:t>
      </w:r>
      <w:r>
        <w:rPr>
          <w:rFonts w:hint="default" w:ascii="Times New Roman" w:hAnsi="Times New Roman" w:eastAsia="仿宋_GB2312" w:cs="Times New Roman"/>
          <w:sz w:val="32"/>
          <w:szCs w:val="32"/>
          <w:lang w:val="en-US" w:eastAsia="zh-CN"/>
        </w:rPr>
        <w:t>17.62万元</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二、绩效目标完成情况分析</w:t>
      </w:r>
    </w:p>
    <w:p>
      <w:pPr>
        <w:keepNext w:val="0"/>
        <w:keepLines w:val="0"/>
        <w:pageBreakBefore w:val="0"/>
        <w:widowControl/>
        <w:kinsoku/>
        <w:wordWrap/>
        <w:overflowPunct/>
        <w:topLinePunct w:val="0"/>
        <w:autoSpaceDE/>
        <w:autoSpaceDN/>
        <w:bidi w:val="0"/>
        <w:adjustRightInd w:val="0"/>
        <w:snapToGrid w:val="0"/>
        <w:spacing w:after="0" w:line="560" w:lineRule="exact"/>
        <w:ind w:firstLine="642" w:firstLineChars="200"/>
        <w:jc w:val="both"/>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（一）资金投入情况分析</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1、项目资金到位情况分析</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采购政府投资工程项目结算审核第三方机构服务项目资金实际到位</w:t>
      </w:r>
      <w:r>
        <w:rPr>
          <w:rFonts w:hint="default" w:ascii="Times New Roman" w:hAnsi="Times New Roman" w:eastAsia="仿宋_GB2312" w:cs="Times New Roman"/>
          <w:sz w:val="32"/>
          <w:szCs w:val="32"/>
          <w:lang w:val="en" w:eastAsia="zh-CN"/>
        </w:rPr>
        <w:t>300</w:t>
      </w:r>
      <w:r>
        <w:rPr>
          <w:rFonts w:hint="default" w:ascii="Times New Roman" w:hAnsi="Times New Roman" w:eastAsia="仿宋_GB2312" w:cs="Times New Roman"/>
          <w:sz w:val="32"/>
          <w:szCs w:val="32"/>
          <w:lang w:val="en-US" w:eastAsia="zh-CN"/>
        </w:rPr>
        <w:t>万元，资金到位率100%。</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2、项目资金执行情况分析</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该项目资金按照使用要求和支出进度全部落实到位。202</w:t>
      </w:r>
      <w:r>
        <w:rPr>
          <w:rFonts w:hint="default" w:ascii="Times New Roman" w:hAnsi="Times New Roman" w:eastAsia="仿宋_GB2312" w:cs="Times New Roman"/>
          <w:sz w:val="32"/>
          <w:szCs w:val="32"/>
          <w:lang w:val="en" w:eastAsia="zh-CN"/>
        </w:rPr>
        <w:t>1</w:t>
      </w:r>
      <w:r>
        <w:rPr>
          <w:rFonts w:hint="default" w:ascii="Times New Roman" w:hAnsi="Times New Roman" w:eastAsia="仿宋_GB2312" w:cs="Times New Roman"/>
          <w:sz w:val="32"/>
          <w:szCs w:val="32"/>
          <w:lang w:val="en-US" w:eastAsia="zh-CN"/>
        </w:rPr>
        <w:t>年度政府采购政府投资工程项目结算审核第三方机构服务项目资金</w:t>
      </w:r>
      <w:r>
        <w:rPr>
          <w:rFonts w:hint="default" w:ascii="Times New Roman" w:hAnsi="Times New Roman" w:eastAsia="仿宋_GB2312" w:cs="Times New Roman"/>
          <w:sz w:val="32"/>
          <w:szCs w:val="32"/>
          <w:lang w:val="en" w:eastAsia="zh-CN"/>
        </w:rPr>
        <w:t>300</w:t>
      </w:r>
      <w:r>
        <w:rPr>
          <w:rFonts w:hint="default" w:ascii="Times New Roman" w:hAnsi="Times New Roman" w:eastAsia="仿宋_GB2312" w:cs="Times New Roman"/>
          <w:sz w:val="32"/>
          <w:szCs w:val="32"/>
          <w:lang w:val="en-US" w:eastAsia="zh-CN"/>
        </w:rPr>
        <w:t>万元其中用于支付政府投资工程项目结算审核第三方机构服务费用</w:t>
      </w:r>
      <w:r>
        <w:rPr>
          <w:rFonts w:hint="default" w:ascii="Times New Roman" w:hAnsi="Times New Roman" w:eastAsia="仿宋_GB2312" w:cs="Times New Roman"/>
          <w:sz w:val="32"/>
          <w:szCs w:val="32"/>
          <w:lang w:val="en" w:eastAsia="zh-CN"/>
        </w:rPr>
        <w:t>282.38</w:t>
      </w:r>
      <w:r>
        <w:rPr>
          <w:rFonts w:hint="default" w:ascii="Times New Roman" w:hAnsi="Times New Roman" w:eastAsia="仿宋_GB2312" w:cs="Times New Roman"/>
          <w:sz w:val="32"/>
          <w:szCs w:val="32"/>
          <w:lang w:val="en-US" w:eastAsia="zh-CN"/>
        </w:rPr>
        <w:t>万元。</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3、项目资金管理情况</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按照项目资金管理办法，严格执行各项制度规范，全部按照合同要求付款，会计核算和账务处理符合相关要求，保证资金的合理使用。项目年初安排资金</w:t>
      </w:r>
      <w:r>
        <w:rPr>
          <w:rFonts w:hint="default" w:ascii="Times New Roman" w:hAnsi="Times New Roman" w:eastAsia="仿宋_GB2312" w:cs="Times New Roman"/>
          <w:sz w:val="32"/>
          <w:szCs w:val="32"/>
          <w:lang w:val="en" w:eastAsia="zh-CN"/>
        </w:rPr>
        <w:t>300</w:t>
      </w:r>
      <w:r>
        <w:rPr>
          <w:rFonts w:hint="default" w:ascii="Times New Roman" w:hAnsi="Times New Roman" w:eastAsia="仿宋_GB2312" w:cs="Times New Roman"/>
          <w:sz w:val="32"/>
          <w:szCs w:val="32"/>
          <w:lang w:val="en-US" w:eastAsia="zh-CN"/>
        </w:rPr>
        <w:t>万元，实际执行</w:t>
      </w:r>
      <w:r>
        <w:rPr>
          <w:rFonts w:hint="default" w:ascii="Times New Roman" w:hAnsi="Times New Roman" w:eastAsia="仿宋_GB2312" w:cs="Times New Roman"/>
          <w:sz w:val="32"/>
          <w:szCs w:val="32"/>
          <w:lang w:val="en" w:eastAsia="zh-CN"/>
        </w:rPr>
        <w:t>282.38</w:t>
      </w:r>
      <w:r>
        <w:rPr>
          <w:rFonts w:hint="default" w:ascii="Times New Roman" w:hAnsi="Times New Roman" w:eastAsia="仿宋_GB2312" w:cs="Times New Roman"/>
          <w:sz w:val="32"/>
          <w:szCs w:val="32"/>
          <w:lang w:val="en-US" w:eastAsia="zh-CN"/>
        </w:rPr>
        <w:t>万元，项目资金结余17.62万元。</w:t>
      </w:r>
    </w:p>
    <w:p>
      <w:pPr>
        <w:keepNext w:val="0"/>
        <w:keepLines w:val="0"/>
        <w:pageBreakBefore w:val="0"/>
        <w:widowControl/>
        <w:kinsoku/>
        <w:wordWrap/>
        <w:overflowPunct/>
        <w:topLinePunct w:val="0"/>
        <w:autoSpaceDE/>
        <w:autoSpaceDN/>
        <w:bidi w:val="0"/>
        <w:adjustRightInd w:val="0"/>
        <w:snapToGrid w:val="0"/>
        <w:spacing w:after="0" w:line="560" w:lineRule="exact"/>
        <w:ind w:firstLine="642" w:firstLineChars="200"/>
        <w:jc w:val="both"/>
        <w:textAlignment w:val="auto"/>
        <w:rPr>
          <w:rFonts w:hint="default" w:ascii="Times New Roman" w:hAnsi="Times New Roman" w:eastAsia="仿宋_GB2312" w:cs="Times New Roman"/>
          <w:sz w:val="32"/>
          <w:szCs w:val="32"/>
          <w:lang w:val="en-US" w:eastAsia="zh-CN"/>
        </w:rPr>
      </w:pPr>
      <w:r>
        <w:rPr>
          <w:rFonts w:hint="eastAsia" w:ascii="楷体_GB2312" w:hAnsi="楷体_GB2312" w:eastAsia="楷体_GB2312" w:cs="楷体_GB2312"/>
          <w:b/>
          <w:bCs/>
          <w:sz w:val="32"/>
          <w:szCs w:val="32"/>
          <w:lang w:val="en-US" w:eastAsia="zh-CN"/>
        </w:rPr>
        <w:t>（二）绩效目标完成情况分析</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1、产出指标完成情况分析</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lang w:val="en-US" w:eastAsia="zh-CN"/>
        </w:rPr>
        <w:t>（1）数量指标：全年共</w:t>
      </w:r>
      <w:r>
        <w:rPr>
          <w:rFonts w:hint="default" w:ascii="Times New Roman" w:hAnsi="Times New Roman" w:eastAsia="仿宋_GB2312" w:cs="Times New Roman"/>
          <w:sz w:val="32"/>
          <w:szCs w:val="32"/>
          <w:lang w:eastAsia="zh-CN"/>
        </w:rPr>
        <w:t>审核</w:t>
      </w:r>
      <w:r>
        <w:rPr>
          <w:rFonts w:hint="default" w:ascii="Times New Roman" w:hAnsi="Times New Roman" w:eastAsia="仿宋_GB2312" w:cs="Times New Roman"/>
          <w:sz w:val="32"/>
          <w:szCs w:val="32"/>
        </w:rPr>
        <w:t>完成政府投资项目</w:t>
      </w:r>
      <w:r>
        <w:rPr>
          <w:rFonts w:hint="default" w:ascii="Times New Roman" w:hAnsi="Times New Roman" w:eastAsia="仿宋_GB2312" w:cs="Times New Roman"/>
          <w:sz w:val="32"/>
          <w:szCs w:val="32"/>
          <w:lang w:val="en" w:eastAsia="zh-CN"/>
        </w:rPr>
        <w:t>224</w:t>
      </w:r>
      <w:r>
        <w:rPr>
          <w:rFonts w:hint="default" w:ascii="Times New Roman" w:hAnsi="Times New Roman" w:eastAsia="仿宋_GB2312" w:cs="Times New Roman"/>
          <w:sz w:val="32"/>
          <w:szCs w:val="32"/>
        </w:rPr>
        <w:t>个</w:t>
      </w:r>
      <w:r>
        <w:rPr>
          <w:rFonts w:hint="default" w:ascii="Times New Roman" w:hAnsi="Times New Roman" w:eastAsia="仿宋_GB2312" w:cs="Times New Roman"/>
          <w:sz w:val="32"/>
          <w:szCs w:val="32"/>
          <w:lang w:eastAsia="zh-CN"/>
        </w:rPr>
        <w:t>。</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（2）质量指标：对202</w:t>
      </w:r>
      <w:r>
        <w:rPr>
          <w:rFonts w:hint="default" w:ascii="Times New Roman" w:hAnsi="Times New Roman" w:eastAsia="仿宋_GB2312" w:cs="Times New Roman"/>
          <w:sz w:val="32"/>
          <w:szCs w:val="32"/>
          <w:lang w:val="en" w:eastAsia="zh-CN"/>
        </w:rPr>
        <w:t>1</w:t>
      </w:r>
      <w:r>
        <w:rPr>
          <w:rFonts w:hint="default" w:ascii="Times New Roman" w:hAnsi="Times New Roman" w:eastAsia="仿宋_GB2312" w:cs="Times New Roman"/>
          <w:sz w:val="32"/>
          <w:szCs w:val="32"/>
          <w:lang w:val="en-US" w:eastAsia="zh-CN"/>
        </w:rPr>
        <w:t>年完成审核项目计划率较高，当年完成率</w:t>
      </w:r>
      <w:r>
        <w:rPr>
          <w:rFonts w:hint="default" w:ascii="Times New Roman" w:hAnsi="Times New Roman" w:eastAsia="仿宋_GB2312" w:cs="Times New Roman"/>
          <w:sz w:val="32"/>
          <w:szCs w:val="32"/>
          <w:lang w:val="en" w:eastAsia="zh-CN"/>
        </w:rPr>
        <w:t>100</w:t>
      </w:r>
      <w:r>
        <w:rPr>
          <w:rFonts w:hint="default" w:ascii="Times New Roman" w:hAnsi="Times New Roman" w:eastAsia="仿宋_GB2312" w:cs="Times New Roman"/>
          <w:sz w:val="32"/>
          <w:szCs w:val="32"/>
          <w:lang w:val="en-US" w:eastAsia="zh-CN"/>
        </w:rPr>
        <w:t>%。</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（3）时效指标：年度内完成审核工作</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（4）成本指标：项目完工总的审核费用</w:t>
      </w:r>
      <w:r>
        <w:rPr>
          <w:rFonts w:hint="default" w:ascii="Times New Roman" w:hAnsi="Times New Roman" w:eastAsia="仿宋_GB2312" w:cs="Times New Roman"/>
          <w:sz w:val="32"/>
          <w:szCs w:val="32"/>
          <w:lang w:val="en" w:eastAsia="zh-CN"/>
        </w:rPr>
        <w:t>282.38</w:t>
      </w:r>
      <w:r>
        <w:rPr>
          <w:rFonts w:hint="default" w:ascii="Times New Roman" w:hAnsi="Times New Roman" w:eastAsia="仿宋_GB2312" w:cs="Times New Roman"/>
          <w:sz w:val="32"/>
          <w:szCs w:val="32"/>
          <w:lang w:val="en-US" w:eastAsia="zh-CN"/>
        </w:rPr>
        <w:t>万元。</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2、效益指标完成情况分析</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经济效益指</w:t>
      </w:r>
      <w:bookmarkStart w:id="0" w:name="_GoBack"/>
      <w:bookmarkEnd w:id="0"/>
      <w:r>
        <w:rPr>
          <w:rFonts w:hint="default" w:ascii="Times New Roman" w:hAnsi="Times New Roman" w:eastAsia="仿宋_GB2312" w:cs="Times New Roman"/>
          <w:sz w:val="32"/>
          <w:szCs w:val="32"/>
          <w:lang w:val="en-US" w:eastAsia="zh-CN"/>
        </w:rPr>
        <w:t>标：该项目核减政府投资工程项目结算金额2470.11万元。</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社会效益指标：强化对已竣工工程结算的审核，提升已审核工程结算的规范性、真实性。</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生态效益指标：该项目无生态效益。</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可持续影响指标：项目审核结论有效期长达10年。</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3、满意度指标完成情况分析</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该项目绩效评价采购单位满意度为98%。</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黑体" w:hAnsi="黑体" w:eastAsia="黑体" w:cs="黑体"/>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三、偏离绩效目标的原因及下一步改进措施</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发生偏离绩效目标的原因主要是，工程结算审核工作的相关机制制度不够完善，结算审核行为不够规范。以及审核人员的业务能力参差不齐。下一步，我们将进一步转变观念、创新手段，逐步建立健全工作职责、工作规划、工作流程、等一系列内部制度以及第三方机构管理制度，使结算审核工作人员岗位职责清晰、程序明确，建立财政结算审核事前、事中、事后监督服务机制。加强人员培训。审核人员的专业能力至关重要，我单位将不断加强这方面的培训工作，更新业务知识，提高道德操守、业务水平和管理水平。打造一支经得起考验、能打硬战的高素质的财政结算审核队伍。努力建立办事高效、服务周到、行为规范、运行协调的优质服务长效机制。</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（一）我单位根据项目绩效评价指标对各项目量化评价，自评指标得分94分。</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（二）我单位将按照财政部门的统一要求，对绩效评价情况予以公开。</w:t>
      </w: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附件：部门项目支出绩效自评表</w:t>
      </w:r>
    </w:p>
    <w:p>
      <w:pPr>
        <w:keepNext w:val="0"/>
        <w:keepLines w:val="0"/>
        <w:pageBreakBefore w:val="0"/>
        <w:widowControl/>
        <w:kinsoku/>
        <w:wordWrap/>
        <w:overflowPunct/>
        <w:topLinePunct w:val="0"/>
        <w:autoSpaceDE/>
        <w:autoSpaceDN/>
        <w:bidi w:val="0"/>
        <w:adjustRightInd w:val="0"/>
        <w:snapToGrid w:val="0"/>
        <w:spacing w:after="0"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both"/>
        <w:textAlignment w:val="auto"/>
        <w:rPr>
          <w:rFonts w:hint="default" w:ascii="Times New Roman" w:hAnsi="Times New Roman" w:eastAsia="仿宋_GB2312" w:cs="Times New Roman"/>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盐池县财政局</w:t>
      </w:r>
    </w:p>
    <w:p>
      <w:pPr>
        <w:keepNext w:val="0"/>
        <w:keepLines w:val="0"/>
        <w:pageBreakBefore w:val="0"/>
        <w:widowControl/>
        <w:kinsoku/>
        <w:wordWrap/>
        <w:overflowPunct/>
        <w:topLinePunct w:val="0"/>
        <w:autoSpaceDE/>
        <w:autoSpaceDN/>
        <w:bidi w:val="0"/>
        <w:adjustRightInd w:val="0"/>
        <w:snapToGrid w:val="0"/>
        <w:spacing w:after="0" w:line="560" w:lineRule="exact"/>
        <w:ind w:right="880" w:rightChars="40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lang w:val="en-US" w:eastAsia="zh-CN"/>
        </w:rPr>
        <w:t>2022年5月12日</w:t>
      </w:r>
    </w:p>
    <w:sectPr>
      <w:pgSz w:w="11906" w:h="16838"/>
      <w:pgMar w:top="1440" w:right="1474" w:bottom="1440" w:left="1587"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方正仿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ZjMWFkNDNlYWQ3NjgzOWNjNmNkZTQ4NmI1ZDY0MzYifQ=="/>
  </w:docVars>
  <w:rsids>
    <w:rsidRoot w:val="00D31D50"/>
    <w:rsid w:val="00323B43"/>
    <w:rsid w:val="003D37D8"/>
    <w:rsid w:val="00426133"/>
    <w:rsid w:val="004358AB"/>
    <w:rsid w:val="007F078A"/>
    <w:rsid w:val="008B7726"/>
    <w:rsid w:val="00D31D50"/>
    <w:rsid w:val="0257093D"/>
    <w:rsid w:val="028B771B"/>
    <w:rsid w:val="03602788"/>
    <w:rsid w:val="05AC5BDC"/>
    <w:rsid w:val="0CE41E15"/>
    <w:rsid w:val="0FB63545"/>
    <w:rsid w:val="12CD7066"/>
    <w:rsid w:val="160948E6"/>
    <w:rsid w:val="17C950A1"/>
    <w:rsid w:val="1AB010C7"/>
    <w:rsid w:val="1AB51E45"/>
    <w:rsid w:val="1BD86330"/>
    <w:rsid w:val="1C1C31FE"/>
    <w:rsid w:val="1C6120BF"/>
    <w:rsid w:val="23EC480C"/>
    <w:rsid w:val="27823D8F"/>
    <w:rsid w:val="285F1ED8"/>
    <w:rsid w:val="29866131"/>
    <w:rsid w:val="2B383F10"/>
    <w:rsid w:val="2C1212AE"/>
    <w:rsid w:val="2C733DB5"/>
    <w:rsid w:val="2D1E2A8B"/>
    <w:rsid w:val="2E7A4C11"/>
    <w:rsid w:val="2F5F1D78"/>
    <w:rsid w:val="306F21DC"/>
    <w:rsid w:val="3316442F"/>
    <w:rsid w:val="335F5798"/>
    <w:rsid w:val="33746710"/>
    <w:rsid w:val="33C45C5F"/>
    <w:rsid w:val="3403716A"/>
    <w:rsid w:val="34D554FB"/>
    <w:rsid w:val="355014EA"/>
    <w:rsid w:val="35DA4B7F"/>
    <w:rsid w:val="36E05376"/>
    <w:rsid w:val="39945AED"/>
    <w:rsid w:val="3C0B2BD3"/>
    <w:rsid w:val="3D1A1AD8"/>
    <w:rsid w:val="3DC44D1F"/>
    <w:rsid w:val="400D3635"/>
    <w:rsid w:val="418F0719"/>
    <w:rsid w:val="419822D7"/>
    <w:rsid w:val="432557E8"/>
    <w:rsid w:val="47A8521B"/>
    <w:rsid w:val="47FD71FF"/>
    <w:rsid w:val="4D885AEC"/>
    <w:rsid w:val="50AD56DD"/>
    <w:rsid w:val="50D91080"/>
    <w:rsid w:val="51EC19F1"/>
    <w:rsid w:val="524442E1"/>
    <w:rsid w:val="58935467"/>
    <w:rsid w:val="58E360A7"/>
    <w:rsid w:val="59613597"/>
    <w:rsid w:val="5A0D1ACA"/>
    <w:rsid w:val="5AE5688B"/>
    <w:rsid w:val="5C382844"/>
    <w:rsid w:val="5E476048"/>
    <w:rsid w:val="626130B8"/>
    <w:rsid w:val="65821B5A"/>
    <w:rsid w:val="66FE6295"/>
    <w:rsid w:val="670051CF"/>
    <w:rsid w:val="67D245EF"/>
    <w:rsid w:val="6C14589C"/>
    <w:rsid w:val="6D2C64A2"/>
    <w:rsid w:val="6D7D4238"/>
    <w:rsid w:val="7146696F"/>
    <w:rsid w:val="722F04F9"/>
    <w:rsid w:val="72B912CD"/>
    <w:rsid w:val="735C7BE1"/>
    <w:rsid w:val="76893C4E"/>
    <w:rsid w:val="7B5E2886"/>
    <w:rsid w:val="7CF80A51"/>
    <w:rsid w:val="7D891C74"/>
    <w:rsid w:val="7EF6BA7C"/>
    <w:rsid w:val="7FDC149D"/>
    <w:rsid w:val="9F6BD486"/>
    <w:rsid w:val="AC976C12"/>
    <w:rsid w:val="DF9B75AC"/>
    <w:rsid w:val="EBE7486A"/>
    <w:rsid w:val="F6DC93F2"/>
    <w:rsid w:val="FABF6CDC"/>
    <w:rsid w:val="FAFFA630"/>
    <w:rsid w:val="FF5FDDF7"/>
    <w:rsid w:val="FFD09E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beforeLines="0" w:beforeAutospacing="0" w:after="60" w:afterLines="0" w:afterAutospacing="0"/>
      <w:jc w:val="center"/>
      <w:outlineLvl w:val="0"/>
    </w:pPr>
    <w:rPr>
      <w:rFonts w:ascii="Arial" w:hAnsi="Arial"/>
      <w:b/>
      <w:sz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1248</Words>
  <Characters>1334</Characters>
  <Lines>1</Lines>
  <Paragraphs>1</Paragraphs>
  <TotalTime>0</TotalTime>
  <ScaleCrop>false</ScaleCrop>
  <LinksUpToDate>false</LinksUpToDate>
  <CharactersWithSpaces>1474</CharactersWithSpaces>
  <Application>WPS Office_11.8.2.9864_F1E327BC-269C-435d-A152-05C5408002CA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2008-09-14T01:20:00Z</dcterms:created>
  <dc:creator>Administrator</dc:creator>
  <cp:lastModifiedBy>ycak</cp:lastModifiedBy>
  <cp:lastPrinted>2021-04-02T16:59:00Z</cp:lastPrinted>
  <dcterms:modified xsi:type="dcterms:W3CDTF">2022-06-09T09:44:50Z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2052-11.8.2.9864</vt:lpwstr>
  </property>
  <property fmtid="{D5CDD505-2E9C-101B-9397-08002B2CF9AE}" pid="3" name="ICV">
    <vt:lpwstr>5FFBCB232B4041F5A9211DD341CB5D51</vt:lpwstr>
  </property>
</Properties>
</file>