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0123D4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0123D4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8973A6" w:rsidRPr="004F6293" w:rsidRDefault="006D5DAC" w:rsidP="007740BC">
      <w:pPr>
        <w:spacing w:line="400" w:lineRule="exact"/>
        <w:rPr>
          <w:rFonts w:ascii="方正小标宋简体" w:eastAsia="方正小标宋简体" w:hAnsi="黑体" w:cs="华文中宋"/>
          <w:bCs/>
          <w:sz w:val="44"/>
          <w:szCs w:val="44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盐池县公安局2021年新建测速卡口、电子</w:t>
      </w:r>
    </w:p>
    <w:p w:rsidR="008973A6" w:rsidRPr="00D5159B" w:rsidRDefault="006D5DAC" w:rsidP="007E48F2">
      <w:pPr>
        <w:spacing w:line="600" w:lineRule="exact"/>
        <w:jc w:val="center"/>
        <w:rPr>
          <w:rFonts w:ascii="黑体" w:eastAsia="黑体" w:hAnsi="黑体" w:cs="华文中宋"/>
          <w:bCs/>
          <w:sz w:val="44"/>
          <w:szCs w:val="44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警察</w:t>
      </w:r>
      <w:bookmarkStart w:id="0" w:name="_GoBack"/>
      <w:bookmarkEnd w:id="0"/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及交通信号灯项目绩效自评报告</w:t>
      </w:r>
    </w:p>
    <w:p w:rsidR="008973A6" w:rsidRPr="004F6293" w:rsidRDefault="008973A6">
      <w:pPr>
        <w:jc w:val="left"/>
        <w:rPr>
          <w:rFonts w:ascii="仿宋_GB2312" w:eastAsia="仿宋_GB2312" w:hAnsi="华文中宋" w:cs="华文中宋"/>
          <w:b/>
          <w:bCs/>
          <w:sz w:val="36"/>
          <w:szCs w:val="36"/>
        </w:rPr>
      </w:pP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新建测速卡口、电子警察及交通信号灯项目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项目绩效目标下达情况</w:t>
      </w:r>
    </w:p>
    <w:p w:rsidR="008973A6" w:rsidRDefault="006D5DAC" w:rsidP="00CA6AC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新建测速卡口、电子警察及交通信号灯项目总体绩效目标是通过项目实施，进一步强化道路交通安全管理，预防和减少道路交通安全事故，全力打击道路交通违法行为，加强道路交通安全管控，确保道路交通安全、有序、畅通，切实维护人民生命财产安全。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440" w:type="dxa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8973A6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8973A6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新建测速卡口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10处</w:t>
            </w:r>
          </w:p>
        </w:tc>
      </w:tr>
      <w:tr w:rsidR="008973A6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新建交通信号灯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20处</w:t>
            </w:r>
          </w:p>
        </w:tc>
      </w:tr>
      <w:tr w:rsidR="008973A6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新建电子警察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7处</w:t>
            </w:r>
          </w:p>
        </w:tc>
      </w:tr>
      <w:tr w:rsidR="008973A6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工程合格率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道路交通设施交付使用时间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2021年底</w:t>
            </w:r>
          </w:p>
        </w:tc>
      </w:tr>
      <w:tr w:rsidR="008973A6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建设资金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594.53万元</w:t>
            </w:r>
          </w:p>
        </w:tc>
      </w:tr>
      <w:tr w:rsidR="008973A6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预防减少道路交通事故，营造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8973A6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服务公众水平能力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不断提升</w:t>
            </w:r>
          </w:p>
        </w:tc>
      </w:tr>
      <w:tr w:rsidR="008973A6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群众对道路交通工作满意度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≧</w:t>
            </w:r>
            <w:r>
              <w:rPr>
                <w:rStyle w:val="font01"/>
                <w:rFonts w:hint="default"/>
              </w:rPr>
              <w:t>90%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A77810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A77810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613.50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万元，后经指标调整为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594.53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A77810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该项目实际完成投资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585.58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万元，完成概算投资的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98.49%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，其中项目工程施工投资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225.82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万元，设备投资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355.04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万元，待摊费用投资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4.72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万元，截止目前拨付各项资金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442.36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万元，资金拨付率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74.4%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A77810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、专账核算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8973A6" w:rsidRPr="007740BC" w:rsidRDefault="006D5DAC" w:rsidP="00CA6AC4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月交付使用。项目新建测速卡口</w:t>
      </w:r>
      <w:r w:rsidRPr="004F6293">
        <w:rPr>
          <w:rStyle w:val="MSMincho"/>
          <w:rFonts w:ascii="仿宋_GB2312" w:eastAsia="仿宋_GB2312" w:hAnsi="Times New Roman" w:cs="Times New Roman" w:hint="eastAsia"/>
          <w:sz w:val="32"/>
          <w:szCs w:val="32"/>
          <w:lang w:val="zh-TW"/>
        </w:rPr>
        <w:t xml:space="preserve"> 10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处、交通信号灯系统</w:t>
      </w:r>
      <w:r w:rsidRPr="004F6293">
        <w:rPr>
          <w:rStyle w:val="MSMincho"/>
          <w:rFonts w:ascii="仿宋_GB2312" w:eastAsia="仿宋_GB2312" w:hAnsi="Times New Roman" w:cs="Times New Roman" w:hint="eastAsia"/>
          <w:sz w:val="32"/>
          <w:szCs w:val="32"/>
          <w:lang w:val="zh-TW"/>
        </w:rPr>
        <w:t>7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处、人行横道灯</w:t>
      </w:r>
      <w:r w:rsidRPr="004F6293">
        <w:rPr>
          <w:rStyle w:val="MSMincho"/>
          <w:rFonts w:ascii="仿宋_GB2312" w:eastAsia="仿宋_GB2312" w:hAnsi="Times New Roman" w:cs="Times New Roman" w:hint="eastAsia"/>
          <w:sz w:val="32"/>
          <w:szCs w:val="32"/>
          <w:lang w:val="zh-TW"/>
        </w:rPr>
        <w:t>16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处及电子警察系统</w:t>
      </w:r>
      <w:r w:rsidRPr="004F6293">
        <w:rPr>
          <w:rStyle w:val="MSMincho"/>
          <w:rFonts w:ascii="仿宋_GB2312" w:eastAsia="仿宋_GB2312" w:hAnsi="Times New Roman" w:cs="Times New Roman" w:hint="eastAsia"/>
          <w:sz w:val="32"/>
          <w:szCs w:val="32"/>
          <w:lang w:val="zh-TW"/>
        </w:rPr>
        <w:t>7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处，较好完成项目建设绩效目标任务，实际完成投资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585.58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万元，完成概算投资的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98.49%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，产出指标完成情况见下表：</w:t>
      </w:r>
    </w:p>
    <w:p w:rsidR="00CA6AC4" w:rsidRDefault="00CA6AC4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</w:p>
    <w:p w:rsidR="00CA6AC4" w:rsidRDefault="00CA6AC4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lastRenderedPageBreak/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8973A6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8973A6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新建测速卡口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10处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973A6">
        <w:trPr>
          <w:trHeight w:val="949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新建交通信号灯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20处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16处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完成率80%</w:t>
            </w:r>
          </w:p>
        </w:tc>
      </w:tr>
      <w:tr w:rsidR="008973A6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新建电子警察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7处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973A6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工程合格率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973A6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道路交通设施交付使用时间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2021年底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2021年底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973A6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建设资金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594.53万元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585.58万元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完成率98.49%</w:t>
            </w:r>
          </w:p>
        </w:tc>
      </w:tr>
    </w:tbl>
    <w:p w:rsidR="008973A6" w:rsidRPr="004F6293" w:rsidRDefault="006D5DAC" w:rsidP="00A77810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jc w:val="left"/>
        <w:rPr>
          <w:rFonts w:ascii="仿宋_GB2312" w:eastAsia="仿宋_GB2312" w:hAnsi="Times New Roman" w:cs="Times New Roman"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snapToGrid w:val="0"/>
          <w:spacing w:val="0"/>
          <w:kern w:val="0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该项目的</w:t>
      </w:r>
      <w:r w:rsidR="007E48F2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实施</w:t>
      </w:r>
      <w:r w:rsidRPr="004F6293">
        <w:rPr>
          <w:rFonts w:ascii="仿宋_GB2312" w:eastAsia="仿宋_GB2312" w:hAnsi="仿宋" w:cs="Times New Roman" w:hint="eastAsia"/>
          <w:snapToGrid w:val="0"/>
          <w:spacing w:val="0"/>
          <w:kern w:val="0"/>
          <w:sz w:val="32"/>
          <w:szCs w:val="32"/>
        </w:rPr>
        <w:t>，有效预防和减少了道路交通事故，加强了路面管控力度，提升了我县城市品位，提高了交通管理水平，营造了全县良好的交通环境，服务公众交通需求方面能力不断提升，项目社会效益和可持续影响良好，但还存在一定不足。</w:t>
      </w:r>
    </w:p>
    <w:p w:rsidR="008973A6" w:rsidRPr="004F6293" w:rsidRDefault="006D5DAC" w:rsidP="00A77810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8973A6" w:rsidRDefault="006D5DAC" w:rsidP="00CA6AC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随着新建路口及农村道路车流量的不断增加，为消除道路安全隐患，该项目的实施很有必要，项目的实施对预防道路交通事故作用大，优化了道路信号灯，提高了道路通行效率。</w:t>
      </w:r>
      <w:r w:rsidRPr="004F6293">
        <w:rPr>
          <w:rFonts w:ascii="仿宋_GB2312" w:eastAsia="仿宋_GB2312" w:hAnsi="仿宋" w:cs="Times New Roman" w:hint="eastAsia"/>
          <w:color w:val="000000"/>
          <w:sz w:val="32"/>
          <w:szCs w:val="32"/>
        </w:rPr>
        <w:t>发放项目绩效评价社会调查问卷</w:t>
      </w:r>
      <w:r w:rsidR="00D4210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50</w:t>
      </w:r>
      <w:r w:rsidRPr="004F6293">
        <w:rPr>
          <w:rFonts w:ascii="仿宋_GB2312" w:eastAsia="仿宋_GB2312" w:hAnsi="仿宋" w:cs="Times New Roman" w:hint="eastAsia"/>
          <w:color w:val="000000"/>
          <w:sz w:val="32"/>
          <w:szCs w:val="32"/>
        </w:rPr>
        <w:t>份，收回有效问卷</w:t>
      </w:r>
      <w:r w:rsidR="00D4210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50</w:t>
      </w:r>
      <w:r w:rsidRPr="004F6293">
        <w:rPr>
          <w:rFonts w:ascii="仿宋_GB2312" w:eastAsia="仿宋_GB2312" w:hAnsi="仿宋" w:cs="Times New Roman" w:hint="eastAsia"/>
          <w:color w:val="000000"/>
          <w:sz w:val="32"/>
          <w:szCs w:val="32"/>
        </w:rPr>
        <w:t>份，对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该项目实施后对提高道路交通安全成效总体效果满意问卷份，</w:t>
      </w:r>
      <w:r w:rsidRPr="004F6293">
        <w:rPr>
          <w:rFonts w:ascii="仿宋_GB2312" w:eastAsia="仿宋_GB2312" w:hAnsi="仿宋" w:cs="Times New Roman" w:hint="eastAsia"/>
          <w:color w:val="000000"/>
          <w:sz w:val="32"/>
          <w:szCs w:val="32"/>
        </w:rPr>
        <w:t>满意度达</w:t>
      </w:r>
      <w:r w:rsidR="00A939F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94</w:t>
      </w:r>
      <w:r w:rsidRPr="004F629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color w:val="000000"/>
          <w:sz w:val="32"/>
          <w:szCs w:val="32"/>
        </w:rPr>
        <w:t>。</w:t>
      </w:r>
    </w:p>
    <w:p w:rsidR="00A77810" w:rsidRDefault="00A77810" w:rsidP="00A77810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 w:hint="eastAsia"/>
          <w:bCs/>
          <w:sz w:val="32"/>
          <w:szCs w:val="32"/>
        </w:rPr>
      </w:pPr>
      <w:bookmarkStart w:id="1" w:name="_Toc680"/>
      <w:r>
        <w:rPr>
          <w:rFonts w:ascii="黑体" w:eastAsia="黑体" w:hAnsi="黑体" w:cs="Times New Roman" w:hint="eastAsia"/>
          <w:bCs/>
          <w:sz w:val="32"/>
          <w:szCs w:val="32"/>
        </w:rPr>
        <w:lastRenderedPageBreak/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4862EC" w:rsidRPr="00797085" w:rsidRDefault="00797085" w:rsidP="00797085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/>
          <w:sz w:val="32"/>
          <w:szCs w:val="32"/>
        </w:rPr>
        <w:t>按照该项目预算绩效目标有关指标，</w:t>
      </w:r>
      <w:r w:rsidRPr="004F6293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新建测速卡口、电子警察及交通信号灯项目</w:t>
      </w:r>
      <w:r w:rsidRPr="004F6293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绩效评价自评最终结果为：</w:t>
      </w:r>
      <w:r w:rsidRPr="004F6293">
        <w:rPr>
          <w:rStyle w:val="NormalCharacter"/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96.85</w:t>
      </w:r>
      <w:r w:rsidRPr="004F6293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分，其中产出指标</w:t>
      </w:r>
      <w:r w:rsidRPr="004F6293">
        <w:rPr>
          <w:rStyle w:val="NormalCharacter"/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52.85</w:t>
      </w:r>
      <w:r w:rsidRPr="004F6293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分，得分率</w:t>
      </w:r>
      <w:r w:rsidRPr="004F6293">
        <w:rPr>
          <w:rStyle w:val="NormalCharacter"/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96.09%</w:t>
      </w:r>
      <w:r w:rsidRPr="004F6293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，效益指标出</w:t>
      </w:r>
      <w:r w:rsidRPr="004F6293">
        <w:rPr>
          <w:rStyle w:val="NormalCharacter"/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40</w:t>
      </w:r>
      <w:r w:rsidRPr="004F6293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分，得分率</w:t>
      </w:r>
      <w:r w:rsidRPr="004F6293">
        <w:rPr>
          <w:rStyle w:val="NormalCharacter"/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95.50%</w:t>
      </w:r>
      <w:r w:rsidRPr="004F6293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，满意度</w:t>
      </w:r>
      <w:r w:rsidRPr="004F6293">
        <w:rPr>
          <w:rStyle w:val="NormalCharacter"/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5</w:t>
      </w:r>
      <w:r w:rsidRPr="004F6293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分，得分率</w:t>
      </w:r>
      <w:r w:rsidRPr="004F6293">
        <w:rPr>
          <w:rStyle w:val="NormalCharacter"/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100%</w:t>
      </w:r>
      <w:r w:rsidRPr="004F6293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，绩效评价结果为</w:t>
      </w:r>
      <w:r w:rsidRPr="004F6293">
        <w:rPr>
          <w:rStyle w:val="NormalCharacter"/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优</w:t>
      </w:r>
      <w:r w:rsidRPr="004F6293">
        <w:rPr>
          <w:rStyle w:val="NormalCharacter"/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”</w:t>
      </w:r>
      <w:r w:rsidR="006C0405">
        <w:rPr>
          <w:rStyle w:val="NormalCharacter"/>
          <w:rFonts w:ascii="仿宋_GB2312" w:eastAsia="仿宋_GB2312" w:hAnsi="仿宋" w:cs="Times New Roman" w:hint="eastAsia"/>
          <w:bCs/>
          <w:color w:val="000000"/>
          <w:sz w:val="32"/>
          <w:szCs w:val="32"/>
        </w:rPr>
        <w:t>。</w:t>
      </w:r>
      <w:r w:rsidR="005A3715" w:rsidRPr="000A7B50">
        <w:rPr>
          <w:rFonts w:ascii="仿宋_GB2312" w:eastAsia="仿宋_GB2312" w:hAnsi="仿宋" w:hint="eastAsia"/>
          <w:sz w:val="32"/>
          <w:szCs w:val="32"/>
        </w:rPr>
        <w:t>我局能在资金执行过程中均围绕总体绩效目标开展工作</w:t>
      </w:r>
      <w:r w:rsidR="005A3715">
        <w:rPr>
          <w:rFonts w:ascii="仿宋_GB2312" w:eastAsia="仿宋_GB2312" w:hAnsi="仿宋" w:hint="eastAsia"/>
          <w:sz w:val="32"/>
          <w:szCs w:val="32"/>
        </w:rPr>
        <w:t>。通过此次自评工作，使我单位项目负责人员</w:t>
      </w:r>
      <w:r w:rsidR="002946B6">
        <w:rPr>
          <w:rFonts w:ascii="仿宋_GB2312" w:eastAsia="仿宋_GB2312" w:hAnsi="仿宋" w:hint="eastAsia"/>
          <w:sz w:val="32"/>
          <w:szCs w:val="32"/>
        </w:rPr>
        <w:t>更加了解掌握绩效自评的相关政策和方法，科学合理设立绩效目标。</w:t>
      </w:r>
    </w:p>
    <w:p w:rsidR="00A77810" w:rsidRDefault="00A77810" w:rsidP="00A77810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A77810" w:rsidRDefault="00A77810" w:rsidP="00A77810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安保工作经费项目</w:t>
      </w:r>
      <w:r w:rsidRPr="007B0F7D">
        <w:rPr>
          <w:rFonts w:ascii="仿宋_GB2312" w:eastAsia="仿宋_GB2312" w:hAnsi="仿宋_GB2312" w:cs="仿宋_GB2312"/>
          <w:sz w:val="32"/>
          <w:szCs w:val="32"/>
        </w:rPr>
        <w:t>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77810" w:rsidRPr="00E40649" w:rsidRDefault="00A77810" w:rsidP="00A77810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A77810" w:rsidRPr="00AD64A4" w:rsidRDefault="00A77810" w:rsidP="00A77810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1"/>
    <w:p w:rsidR="00A77810" w:rsidRDefault="00A77810" w:rsidP="00A77810">
      <w:pPr>
        <w:pStyle w:val="2"/>
        <w:ind w:left="840" w:hanging="420"/>
      </w:pPr>
    </w:p>
    <w:p w:rsidR="00A77810" w:rsidRDefault="00A77810" w:rsidP="00A77810">
      <w:pPr>
        <w:pStyle w:val="2"/>
        <w:ind w:left="840" w:hanging="420"/>
      </w:pPr>
    </w:p>
    <w:p w:rsidR="00A77810" w:rsidRDefault="00A77810" w:rsidP="00A77810">
      <w:pPr>
        <w:pStyle w:val="2"/>
        <w:ind w:left="840" w:hanging="420"/>
      </w:pPr>
    </w:p>
    <w:p w:rsidR="00A77810" w:rsidRDefault="00A77810" w:rsidP="00A77810">
      <w:pPr>
        <w:pStyle w:val="2"/>
        <w:ind w:left="840" w:hanging="420"/>
      </w:pPr>
    </w:p>
    <w:p w:rsidR="00A77810" w:rsidRDefault="00A77810" w:rsidP="00A77810">
      <w:pPr>
        <w:pStyle w:val="2"/>
        <w:ind w:left="840" w:hanging="420"/>
      </w:pPr>
    </w:p>
    <w:p w:rsidR="00A77810" w:rsidRPr="00A77810" w:rsidRDefault="00A77810" w:rsidP="00A77810">
      <w:pPr>
        <w:pStyle w:val="2"/>
        <w:ind w:left="840" w:hanging="420"/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16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24" w:rsidRDefault="00687B24" w:rsidP="008973A6">
      <w:r>
        <w:separator/>
      </w:r>
    </w:p>
  </w:endnote>
  <w:endnote w:type="continuationSeparator" w:id="0">
    <w:p w:rsidR="00687B24" w:rsidRDefault="00687B24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0123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3A6" w:rsidRDefault="000123D4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6C0405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4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24" w:rsidRDefault="00687B24" w:rsidP="008973A6">
      <w:r>
        <w:separator/>
      </w:r>
    </w:p>
  </w:footnote>
  <w:footnote w:type="continuationSeparator" w:id="0">
    <w:p w:rsidR="00687B24" w:rsidRDefault="00687B24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123D4"/>
    <w:rsid w:val="000B0ECB"/>
    <w:rsid w:val="00105099"/>
    <w:rsid w:val="00195BB1"/>
    <w:rsid w:val="00221CE8"/>
    <w:rsid w:val="002946B6"/>
    <w:rsid w:val="003D05C5"/>
    <w:rsid w:val="004862EC"/>
    <w:rsid w:val="004951C1"/>
    <w:rsid w:val="004A259A"/>
    <w:rsid w:val="004F013E"/>
    <w:rsid w:val="004F6293"/>
    <w:rsid w:val="005A3715"/>
    <w:rsid w:val="0063373E"/>
    <w:rsid w:val="00687B24"/>
    <w:rsid w:val="006C0405"/>
    <w:rsid w:val="006D5DAC"/>
    <w:rsid w:val="006E5549"/>
    <w:rsid w:val="007740BC"/>
    <w:rsid w:val="00797085"/>
    <w:rsid w:val="007D4AD0"/>
    <w:rsid w:val="007E48F2"/>
    <w:rsid w:val="008973A6"/>
    <w:rsid w:val="00A31AAF"/>
    <w:rsid w:val="00A37112"/>
    <w:rsid w:val="00A77810"/>
    <w:rsid w:val="00A939F8"/>
    <w:rsid w:val="00BF0A58"/>
    <w:rsid w:val="00BF5167"/>
    <w:rsid w:val="00C8038C"/>
    <w:rsid w:val="00CA6AC4"/>
    <w:rsid w:val="00D4210B"/>
    <w:rsid w:val="00D5159B"/>
    <w:rsid w:val="00D675BD"/>
    <w:rsid w:val="00D67806"/>
    <w:rsid w:val="00E317ED"/>
    <w:rsid w:val="00E56777"/>
    <w:rsid w:val="00ED36CF"/>
    <w:rsid w:val="00F23AB5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11</cp:revision>
  <dcterms:created xsi:type="dcterms:W3CDTF">2022-05-16T08:14:00Z</dcterms:created>
  <dcterms:modified xsi:type="dcterms:W3CDTF">2022-06-08T11:26:00Z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