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CF1AB0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CF1AB0">
        <w:rPr>
          <w:noProof/>
          <w:sz w:val="30"/>
          <w:szCs w:val="30"/>
        </w:rPr>
        <w:pict>
          <v:line id="Line 3" o:spid="_x0000_s1026" style="position:absolute;left:0;text-align:left;z-index:251658240;visibility:visibl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bookmarkStart w:id="0" w:name="_GoBack"/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A5273B">
        <w:rPr>
          <w:rFonts w:ascii="方正小标宋简体" w:eastAsia="方正小标宋简体" w:hAnsi="仿宋_GB2312" w:cs="仿宋_GB2312" w:hint="eastAsia"/>
          <w:sz w:val="44"/>
          <w:szCs w:val="44"/>
        </w:rPr>
        <w:t>监控电费及维修维护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bookmarkEnd w:id="0"/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A5273B">
        <w:rPr>
          <w:rFonts w:ascii="仿宋_GB2312" w:eastAsia="仿宋_GB2312" w:hAnsi="仿宋_GB2312" w:cs="仿宋_GB2312" w:hint="eastAsia"/>
          <w:sz w:val="32"/>
          <w:szCs w:val="32"/>
        </w:rPr>
        <w:t>监控电费及维修维护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Pr="00D6626C" w:rsidRDefault="006D5DAC" w:rsidP="00D6626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A5273B">
        <w:rPr>
          <w:rFonts w:ascii="仿宋_GB2312" w:eastAsia="仿宋_GB2312" w:hAnsi="仿宋_GB2312" w:cs="仿宋_GB2312" w:hint="eastAsia"/>
          <w:sz w:val="32"/>
          <w:szCs w:val="32"/>
        </w:rPr>
        <w:t>监控电费及维修维护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</w:t>
      </w:r>
      <w:r w:rsidR="00A5273B">
        <w:rPr>
          <w:rFonts w:ascii="仿宋_GB2312" w:eastAsia="仿宋_GB2312" w:hAnsi="仿宋_GB2312" w:cs="仿宋_GB2312" w:hint="eastAsia"/>
          <w:sz w:val="32"/>
          <w:szCs w:val="32"/>
        </w:rPr>
        <w:t>维护我局公共安全视频监控正常运转，确保视频平台正常运行，促进公安业务正常推进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jc w:val="center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 w:rsidTr="00903917">
        <w:trPr>
          <w:trHeight w:val="64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A5273B" w:rsidTr="00903917">
        <w:trPr>
          <w:trHeight w:val="311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EC4FA4">
            <w:pPr>
              <w:widowControl/>
              <w:ind w:firstLineChars="200" w:firstLine="40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维护的视频监控数量及保障电表电费数量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794处，1947路安装的400个监控电表</w:t>
            </w:r>
          </w:p>
        </w:tc>
      </w:tr>
      <w:tr w:rsidR="00A5273B" w:rsidTr="00903917">
        <w:trPr>
          <w:trHeight w:val="311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EC4FA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保障路面监控、卡口正常运行率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A5273B" w:rsidTr="00903917">
        <w:trPr>
          <w:trHeight w:val="428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EC4FA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监控故障及电表欠费响应时间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小于24小时</w:t>
            </w:r>
          </w:p>
        </w:tc>
      </w:tr>
      <w:tr w:rsidR="00A5273B" w:rsidTr="00903917">
        <w:trPr>
          <w:trHeight w:val="406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Default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EC4FA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监控电费及监控维修维护费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3B" w:rsidRPr="00A5273B" w:rsidRDefault="00A5273B" w:rsidP="00A527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A5273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50万元</w:t>
            </w:r>
          </w:p>
        </w:tc>
      </w:tr>
      <w:tr w:rsidR="00EC4FA4" w:rsidTr="00903917">
        <w:trPr>
          <w:trHeight w:val="612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ind w:firstLineChars="200" w:firstLine="40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通过维护视频监控设备设施，有效的减少了居民违法行为，降低了交通事故率，为全县居民的出行安全提供了保障。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EC4FA4" w:rsidTr="00903917">
        <w:trPr>
          <w:trHeight w:val="373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通过项目的实施，盐池县治安案件逐渐减少，交通道路事故发生起数有较大幅度下降。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EC4FA4" w:rsidTr="00EC4FA4">
        <w:trPr>
          <w:trHeight w:val="416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通过项目的实施，盐池县社会治安稳定，道路交通流畅，群众安全感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增强、社会满意感明细提升。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100%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EC4FA4">
        <w:rPr>
          <w:rFonts w:ascii="仿宋_GB2312" w:eastAsia="仿宋_GB2312" w:hAnsi="Times New Roman" w:cs="Times New Roman" w:hint="eastAsia"/>
          <w:sz w:val="32"/>
          <w:szCs w:val="32"/>
        </w:rPr>
        <w:t>50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D97A67">
        <w:rPr>
          <w:rFonts w:ascii="仿宋_GB2312" w:eastAsia="仿宋_GB2312" w:hAnsi="仿宋" w:cs="Times New Roman" w:hint="eastAsia"/>
          <w:sz w:val="32"/>
          <w:szCs w:val="32"/>
        </w:rPr>
        <w:t>30.14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D97A67">
        <w:rPr>
          <w:rFonts w:ascii="仿宋_GB2312" w:eastAsia="仿宋_GB2312" w:hAnsi="Times New Roman" w:cs="Times New Roman" w:hint="eastAsia"/>
          <w:sz w:val="32"/>
          <w:szCs w:val="32"/>
        </w:rPr>
        <w:t>60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D97A67">
        <w:rPr>
          <w:rFonts w:ascii="仿宋_GB2312" w:eastAsia="仿宋_GB2312" w:hAnsi="Times New Roman" w:cs="Times New Roman" w:hint="eastAsia"/>
          <w:sz w:val="32"/>
          <w:szCs w:val="32"/>
        </w:rPr>
        <w:t>60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Spec="center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 w:rsidTr="00903917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EC4FA4" w:rsidTr="00903917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EC4FA4" w:rsidRDefault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维护的视频监控数量及保障电表电费数量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794处，1947路安装的400个监控电表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794处，1947路安装的400个监控电表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完成率100%</w:t>
            </w:r>
          </w:p>
        </w:tc>
      </w:tr>
      <w:tr w:rsidR="00EC4FA4" w:rsidTr="00903917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保障路面监控、卡口正常运行率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EC4FA4" w:rsidTr="00903917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监控故障及电表欠费响应时间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小于24小时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小于24小时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EC4FA4" w:rsidTr="00903917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Default="00EC4FA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监控电费及监控维修维护费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FA4" w:rsidRPr="00EC4FA4" w:rsidRDefault="00EC4FA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50万元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FE4798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30.14</w:t>
            </w:r>
            <w:r w:rsidR="00EC4FA4"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4FA4" w:rsidRPr="00EC4FA4" w:rsidRDefault="00EC4FA4" w:rsidP="00FE4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 w:rsidR="00FE479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60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通过对</w:t>
      </w:r>
      <w:r w:rsidR="00EC4FA4">
        <w:rPr>
          <w:rFonts w:ascii="仿宋_GB2312" w:eastAsia="仿宋_GB2312" w:hAnsi="仿宋_GB2312" w:cs="仿宋_GB2312" w:hint="eastAsia"/>
          <w:sz w:val="32"/>
          <w:szCs w:val="32"/>
        </w:rPr>
        <w:t>监控电费及维修维护费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支出经费专项预算及拨付支出，保障了</w:t>
      </w:r>
      <w:r w:rsidR="00AD3998">
        <w:rPr>
          <w:rFonts w:ascii="仿宋_GB2312" w:eastAsia="仿宋_GB2312" w:hAnsi="仿宋_GB2312" w:cs="仿宋_GB2312" w:hint="eastAsia"/>
          <w:sz w:val="32"/>
          <w:szCs w:val="32"/>
        </w:rPr>
        <w:t>盐池县公安局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日常业务支出，促进了</w:t>
      </w:r>
      <w:r w:rsidR="008A357B">
        <w:rPr>
          <w:rFonts w:ascii="仿宋_GB2312" w:eastAsia="仿宋_GB2312" w:hAnsi="仿宋_GB2312" w:cs="仿宋_GB2312" w:hint="eastAsia"/>
          <w:sz w:val="32"/>
          <w:szCs w:val="32"/>
        </w:rPr>
        <w:t>公安工作的正常开展。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EC4FA4" w:rsidRDefault="00EC4FA4" w:rsidP="00EC4FA4">
      <w:pPr>
        <w:spacing w:line="600" w:lineRule="exact"/>
        <w:ind w:firstLineChars="200" w:firstLine="640"/>
        <w:rPr>
          <w:rFonts w:ascii="仿宋" w:eastAsia="仿宋" w:hAnsi="仿宋"/>
          <w:sz w:val="33"/>
          <w:szCs w:val="33"/>
        </w:rPr>
      </w:pPr>
      <w:bookmarkStart w:id="1" w:name="_Toc680"/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通过项目的实施，盐池县社会治安稳定</w:t>
      </w:r>
      <w:r>
        <w:rPr>
          <w:rFonts w:ascii="仿宋" w:eastAsia="仿宋" w:hAnsi="仿宋" w:hint="eastAsia"/>
          <w:sz w:val="33"/>
          <w:szCs w:val="33"/>
        </w:rPr>
        <w:t>，道路交通流畅，群众安全感增强、社会满意感明细提升。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EC4FA4" w:rsidRDefault="00EC4FA4" w:rsidP="00EC4FA4">
      <w:pPr>
        <w:spacing w:line="56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我局能按照年初绩效目标完成各项任务，保障全县监控正常运转，提高全县人民群众的安全感。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EC4FA4" w:rsidRPr="001A1B16" w:rsidRDefault="00EC4FA4" w:rsidP="00EC4FA4">
      <w:pPr>
        <w:spacing w:line="60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下一年我局会加快项目实施进度，科学、合理的安排好采购相关工作安排，争取早日完成资金支付，更好的完成预期绩效目标。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bookmarkEnd w:id="1"/>
    <w:p w:rsidR="00EC4FA4" w:rsidRDefault="00EC4FA4" w:rsidP="00EC4FA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(一)我局将2021年度监控电费及维修维护费的绩效评价报告和结果作为2022年改进和提高资金使用效益的依据，提高预算编制质量。</w:t>
      </w:r>
    </w:p>
    <w:p w:rsidR="00EC4FA4" w:rsidRPr="003227CE" w:rsidRDefault="00EC4FA4" w:rsidP="00EC4F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7B66C5" w:rsidRPr="00EC4FA4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="0090391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24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B3" w:rsidRDefault="00AF2FB3" w:rsidP="008973A6">
      <w:r>
        <w:separator/>
      </w:r>
    </w:p>
  </w:endnote>
  <w:endnote w:type="continuationSeparator" w:id="0">
    <w:p w:rsidR="00AF2FB3" w:rsidRDefault="00AF2FB3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CF1AB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8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" filled="f" stroked="f">
          <v:path arrowok="t"/>
          <v:textbox style="mso-fit-shape-to-text:t" inset="0,0,0,0">
            <w:txbxContent>
              <w:p w:rsidR="008973A6" w:rsidRDefault="00CF1AB0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FE4798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B3" w:rsidRDefault="00AF2FB3" w:rsidP="008973A6">
      <w:r>
        <w:separator/>
      </w:r>
    </w:p>
  </w:footnote>
  <w:footnote w:type="continuationSeparator" w:id="0">
    <w:p w:rsidR="00AF2FB3" w:rsidRDefault="00AF2FB3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105099"/>
    <w:rsid w:val="0012742B"/>
    <w:rsid w:val="00195BB1"/>
    <w:rsid w:val="001966E0"/>
    <w:rsid w:val="00221CE8"/>
    <w:rsid w:val="00230A2E"/>
    <w:rsid w:val="00264485"/>
    <w:rsid w:val="00286282"/>
    <w:rsid w:val="002C4143"/>
    <w:rsid w:val="003B14F4"/>
    <w:rsid w:val="003D05C5"/>
    <w:rsid w:val="00402716"/>
    <w:rsid w:val="004951C1"/>
    <w:rsid w:val="004C54E6"/>
    <w:rsid w:val="004F013E"/>
    <w:rsid w:val="004F6293"/>
    <w:rsid w:val="00533819"/>
    <w:rsid w:val="005346CE"/>
    <w:rsid w:val="0063373E"/>
    <w:rsid w:val="006D5DAC"/>
    <w:rsid w:val="006E5549"/>
    <w:rsid w:val="00722931"/>
    <w:rsid w:val="007673C2"/>
    <w:rsid w:val="007740BC"/>
    <w:rsid w:val="007B43F4"/>
    <w:rsid w:val="007B66C5"/>
    <w:rsid w:val="007D4AD0"/>
    <w:rsid w:val="007E48F2"/>
    <w:rsid w:val="00864049"/>
    <w:rsid w:val="008973A6"/>
    <w:rsid w:val="008A357B"/>
    <w:rsid w:val="008B47DE"/>
    <w:rsid w:val="008E2F19"/>
    <w:rsid w:val="00903917"/>
    <w:rsid w:val="009A2564"/>
    <w:rsid w:val="009F1AC0"/>
    <w:rsid w:val="00A5273B"/>
    <w:rsid w:val="00A939F8"/>
    <w:rsid w:val="00AD3998"/>
    <w:rsid w:val="00AD64A4"/>
    <w:rsid w:val="00AE219C"/>
    <w:rsid w:val="00AF2FB3"/>
    <w:rsid w:val="00B61C2F"/>
    <w:rsid w:val="00B73207"/>
    <w:rsid w:val="00BF0A58"/>
    <w:rsid w:val="00BF5167"/>
    <w:rsid w:val="00C34F4E"/>
    <w:rsid w:val="00C723D1"/>
    <w:rsid w:val="00C8038C"/>
    <w:rsid w:val="00C95C8A"/>
    <w:rsid w:val="00CA6AC4"/>
    <w:rsid w:val="00CB62DD"/>
    <w:rsid w:val="00CF1AB0"/>
    <w:rsid w:val="00D37535"/>
    <w:rsid w:val="00D4210B"/>
    <w:rsid w:val="00D5159B"/>
    <w:rsid w:val="00D6626C"/>
    <w:rsid w:val="00D675BD"/>
    <w:rsid w:val="00D80679"/>
    <w:rsid w:val="00D97A67"/>
    <w:rsid w:val="00DE4DB2"/>
    <w:rsid w:val="00DF2C9F"/>
    <w:rsid w:val="00E317ED"/>
    <w:rsid w:val="00E56777"/>
    <w:rsid w:val="00E56948"/>
    <w:rsid w:val="00E746CE"/>
    <w:rsid w:val="00EC4FA4"/>
    <w:rsid w:val="00ED36CF"/>
    <w:rsid w:val="00ED73F1"/>
    <w:rsid w:val="00EF02FF"/>
    <w:rsid w:val="00FE4798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5</cp:revision>
  <dcterms:created xsi:type="dcterms:W3CDTF">2022-05-24T10:49:00Z</dcterms:created>
  <dcterms:modified xsi:type="dcterms:W3CDTF">2022-06-08T11:38:00Z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