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color w:val="C00000"/>
          <w:spacing w:val="57"/>
          <w:sz w:val="84"/>
          <w:szCs w:val="84"/>
          <w:u w:val="double"/>
          <w:lang w:val="en-US" w:eastAsia="zh-CN"/>
        </w:rPr>
      </w:pPr>
      <w:r>
        <w:rPr>
          <w:rFonts w:hint="eastAsia"/>
          <w:color w:val="FF0000"/>
          <w:sz w:val="84"/>
          <w:szCs w:val="84"/>
          <w:u w:val="double"/>
          <w:lang w:val="en-US" w:eastAsia="zh-CN"/>
        </w:rPr>
        <w:t xml:space="preserve"> </w:t>
      </w:r>
      <w:r>
        <w:rPr>
          <w:rFonts w:hint="eastAsia" w:ascii="方正小标宋简体" w:hAnsi="方正小标宋简体" w:eastAsia="方正小标宋简体" w:cs="方正小标宋简体"/>
          <w:color w:val="FF0000"/>
          <w:spacing w:val="113"/>
          <w:sz w:val="72"/>
          <w:szCs w:val="72"/>
          <w:u w:val="double"/>
          <w:lang w:val="en-US" w:eastAsia="zh-CN"/>
        </w:rPr>
        <w:t>盐池县融媒体中心</w:t>
      </w:r>
      <w:r>
        <w:rPr>
          <w:rFonts w:hint="eastAsia" w:ascii="方正小标宋简体" w:hAnsi="方正小标宋简体" w:eastAsia="方正小标宋简体" w:cs="方正小标宋简体"/>
          <w:color w:val="FF0000"/>
          <w:spacing w:val="57"/>
          <w:sz w:val="84"/>
          <w:szCs w:val="84"/>
          <w:u w:val="double"/>
          <w:lang w:val="en-US" w:eastAsia="zh-CN"/>
        </w:rPr>
        <w:t xml:space="preserve"> </w:t>
      </w:r>
      <w:r>
        <w:rPr>
          <w:rFonts w:hint="eastAsia"/>
          <w:color w:val="C00000"/>
          <w:spacing w:val="57"/>
          <w:sz w:val="84"/>
          <w:szCs w:val="84"/>
          <w:u w:val="doub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方正小标宋简体" w:hAnsi="方正小标宋简体" w:eastAsia="方正小标宋简体" w:cs="方正小标宋简体"/>
          <w:sz w:val="44"/>
          <w:szCs w:val="44"/>
          <w:lang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440" w:firstLineChars="100"/>
        <w:jc w:val="both"/>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盐池县融媒体中心</w:t>
      </w:r>
      <w:r>
        <w:rPr>
          <w:rFonts w:hint="eastAsia" w:ascii="方正小标宋简体" w:hAnsi="方正小标宋简体" w:eastAsia="方正小标宋简体" w:cs="方正小标宋简体"/>
          <w:sz w:val="44"/>
          <w:szCs w:val="44"/>
        </w:rPr>
        <w:t>网络使用费、信息系统</w:t>
      </w:r>
    </w:p>
    <w:p>
      <w:pPr>
        <w:keepNext w:val="0"/>
        <w:keepLines w:val="0"/>
        <w:pageBreakBefore w:val="0"/>
        <w:widowControl w:val="0"/>
        <w:kinsoku/>
        <w:wordWrap/>
        <w:overflowPunct/>
        <w:topLinePunct w:val="0"/>
        <w:autoSpaceDE/>
        <w:autoSpaceDN/>
        <w:bidi w:val="0"/>
        <w:adjustRightInd/>
        <w:snapToGrid/>
        <w:spacing w:line="600" w:lineRule="exact"/>
        <w:ind w:firstLine="440" w:firstLineChars="100"/>
        <w:jc w:val="both"/>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网络安全等级保护测评二级等保费工作</w:t>
      </w:r>
    </w:p>
    <w:p>
      <w:pPr>
        <w:keepNext w:val="0"/>
        <w:keepLines w:val="0"/>
        <w:pageBreakBefore w:val="0"/>
        <w:widowControl w:val="0"/>
        <w:kinsoku/>
        <w:wordWrap/>
        <w:overflowPunct/>
        <w:topLinePunct w:val="0"/>
        <w:autoSpaceDE/>
        <w:autoSpaceDN/>
        <w:bidi w:val="0"/>
        <w:adjustRightInd/>
        <w:snapToGrid/>
        <w:spacing w:line="600" w:lineRule="exact"/>
        <w:ind w:firstLine="1320" w:firstLineChars="300"/>
        <w:jc w:val="both"/>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经费项目</w:t>
      </w:r>
      <w:r>
        <w:rPr>
          <w:rFonts w:hint="eastAsia" w:ascii="方正小标宋简体" w:hAnsi="方正小标宋简体" w:eastAsia="方正小标宋简体" w:cs="方正小标宋简体"/>
          <w:sz w:val="44"/>
          <w:szCs w:val="44"/>
          <w:lang w:val="en-US" w:eastAsia="zh-CN"/>
        </w:rPr>
        <w:t>2021</w:t>
      </w:r>
      <w:r>
        <w:rPr>
          <w:rFonts w:hint="eastAsia" w:ascii="方正小标宋简体" w:hAnsi="方正小标宋简体" w:eastAsia="方正小标宋简体" w:cs="方正小标宋简体"/>
          <w:sz w:val="44"/>
          <w:szCs w:val="44"/>
        </w:rPr>
        <w:t>年度绩效自评报告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eastAsia="仿宋_GB2312"/>
          <w:sz w:val="32"/>
          <w:szCs w:val="32"/>
        </w:rPr>
      </w:pPr>
      <w:r>
        <w:rPr>
          <w:rFonts w:hint="eastAsia" w:ascii="仿宋_GB2312" w:hAnsi="仿宋_GB2312" w:eastAsia="仿宋_GB2312" w:cs="仿宋_GB2312"/>
          <w:sz w:val="32"/>
          <w:szCs w:val="32"/>
        </w:rPr>
        <w:t>根据财政局印发的《关于开展202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年度部门项目支出绩效自评的通知》（盐财发〔202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号）文件要求，现将我</w:t>
      </w:r>
      <w:r>
        <w:rPr>
          <w:rFonts w:hint="eastAsia" w:ascii="仿宋_GB2312" w:hAnsi="仿宋_GB2312" w:eastAsia="仿宋_GB2312" w:cs="仿宋_GB2312"/>
          <w:sz w:val="32"/>
          <w:szCs w:val="32"/>
          <w:lang w:eastAsia="zh-CN"/>
        </w:rPr>
        <w:t>中心</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年网络使用费、信息系统网络安全等级保护测评二级等保费项目资金自评报告如下：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绩效目标批复下达情况</w:t>
      </w:r>
    </w:p>
    <w:p>
      <w:pPr>
        <w:keepNext w:val="0"/>
        <w:keepLines w:val="0"/>
        <w:pageBreakBefore w:val="0"/>
        <w:numPr>
          <w:ilvl w:val="0"/>
          <w:numId w:val="1"/>
        </w:numPr>
        <w:kinsoku/>
        <w:wordWrap/>
        <w:overflowPunct/>
        <w:topLinePunct w:val="0"/>
        <w:autoSpaceDE/>
        <w:autoSpaceDN/>
        <w:bidi w:val="0"/>
        <w:adjustRightInd/>
        <w:snapToGrid/>
        <w:spacing w:line="60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年初批复下达预算情况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县财政局拨付网络使用费、信息系统网络安全等级保护测评二级等保费</w:t>
      </w:r>
      <w:r>
        <w:rPr>
          <w:rFonts w:hint="eastAsia" w:ascii="仿宋_GB2312" w:hAnsi="仿宋_GB2312" w:eastAsia="仿宋_GB2312" w:cs="仿宋_GB2312"/>
          <w:sz w:val="32"/>
          <w:szCs w:val="32"/>
        </w:rPr>
        <w:t>经费</w:t>
      </w:r>
      <w:r>
        <w:rPr>
          <w:rFonts w:hint="eastAsia" w:ascii="仿宋_GB2312" w:hAnsi="仿宋_GB2312" w:eastAsia="仿宋_GB2312" w:cs="仿宋_GB2312"/>
          <w:sz w:val="32"/>
          <w:szCs w:val="32"/>
          <w:lang w:val="en-US" w:eastAsia="zh-CN"/>
        </w:rPr>
        <w:t>55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   </w:t>
      </w:r>
    </w:p>
    <w:p>
      <w:pPr>
        <w:keepNext w:val="0"/>
        <w:keepLines w:val="0"/>
        <w:pageBreakBefore w:val="0"/>
        <w:numPr>
          <w:ilvl w:val="0"/>
          <w:numId w:val="1"/>
        </w:numPr>
        <w:kinsoku/>
        <w:wordWrap/>
        <w:overflowPunct/>
        <w:topLinePunct w:val="0"/>
        <w:autoSpaceDE/>
        <w:autoSpaceDN/>
        <w:bidi w:val="0"/>
        <w:adjustRightInd/>
        <w:snapToGrid/>
        <w:spacing w:line="60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下达预算绩效目标情况。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网络使用费、信息系统网络安全等级保护测评二级等保费项目的绩效目标</w:t>
      </w:r>
      <w:r>
        <w:rPr>
          <w:rFonts w:hint="eastAsia" w:ascii="仿宋_GB2312" w:hAnsi="仿宋_GB2312" w:eastAsia="仿宋_GB2312" w:cs="仿宋_GB2312"/>
          <w:sz w:val="32"/>
          <w:szCs w:val="32"/>
          <w:lang w:eastAsia="zh-CN"/>
        </w:rPr>
        <w:t>：按照网络安全等级保护要求，进行信息所在地现场测评，使网络安全达到相应网络安全等级要求进一步提升广播电视安全播出的需求，实现电视播出更好、更快、更安全的运行。</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黑体" w:hAnsi="黑体" w:eastAsia="黑体" w:cs="黑体"/>
          <w:sz w:val="32"/>
          <w:szCs w:val="32"/>
        </w:rPr>
      </w:pPr>
      <w:r>
        <w:rPr>
          <w:rFonts w:hint="eastAsia" w:ascii="黑体" w:hAnsi="黑体" w:eastAsia="黑体" w:cs="黑体"/>
          <w:sz w:val="32"/>
          <w:szCs w:val="32"/>
        </w:rPr>
        <w:t>二、绩效目标完成情况分析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（一）资金投入情况分析</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1．项目资金到位情况分析。</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网络使用费、信息系统网络安全等级保护测评二级等保费项目资金</w:t>
      </w:r>
      <w:r>
        <w:rPr>
          <w:rFonts w:hint="eastAsia" w:ascii="仿宋_GB2312" w:hAnsi="仿宋_GB2312" w:eastAsia="仿宋_GB2312" w:cs="仿宋_GB2312"/>
          <w:sz w:val="32"/>
          <w:szCs w:val="32"/>
          <w:lang w:val="en-US" w:eastAsia="zh-CN"/>
        </w:rPr>
        <w:t>55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已</w:t>
      </w:r>
      <w:r>
        <w:rPr>
          <w:rFonts w:hint="eastAsia" w:ascii="仿宋_GB2312" w:hAnsi="仿宋_GB2312" w:eastAsia="仿宋_GB2312" w:cs="仿宋_GB2312"/>
          <w:sz w:val="32"/>
          <w:szCs w:val="32"/>
          <w:lang w:eastAsia="zh-CN"/>
        </w:rPr>
        <w:t>全部下达</w:t>
      </w:r>
      <w:r>
        <w:rPr>
          <w:rFonts w:hint="eastAsia" w:ascii="仿宋_GB2312" w:hAnsi="仿宋_GB2312" w:eastAsia="仿宋_GB2312" w:cs="仿宋_GB2312"/>
          <w:sz w:val="32"/>
          <w:szCs w:val="32"/>
        </w:rPr>
        <w:t>,到位率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2．项目资金执行情况分析。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用于</w:t>
      </w:r>
      <w:r>
        <w:rPr>
          <w:rFonts w:hint="eastAsia" w:ascii="仿宋_GB2312" w:hAnsi="仿宋_GB2312" w:eastAsia="仿宋_GB2312" w:cs="仿宋_GB2312"/>
          <w:sz w:val="32"/>
          <w:szCs w:val="32"/>
        </w:rPr>
        <w:t>网络使用费、信息系统网络安全等级保护测评二级等保费网络服务费90000元</w:t>
      </w:r>
      <w:r>
        <w:rPr>
          <w:rFonts w:hint="eastAsia" w:ascii="仿宋_GB2312" w:hAnsi="仿宋_GB2312" w:eastAsia="仿宋_GB2312" w:cs="仿宋_GB2312"/>
          <w:sz w:val="32"/>
          <w:szCs w:val="32"/>
          <w:lang w:eastAsia="zh-CN"/>
        </w:rPr>
        <w:t>；系统服务180500元，支付完成率</w:t>
      </w:r>
      <w:r>
        <w:rPr>
          <w:rFonts w:hint="eastAsia" w:ascii="仿宋_GB2312" w:hAnsi="仿宋_GB2312" w:eastAsia="仿宋_GB2312" w:cs="仿宋_GB2312"/>
          <w:sz w:val="32"/>
          <w:szCs w:val="32"/>
          <w:lang w:val="en-US" w:eastAsia="zh-CN"/>
        </w:rPr>
        <w:t>49.18%</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3．项目资金管理情况分析。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_GB2312" w:eastAsia="仿宋_GB2312"/>
          <w:sz w:val="32"/>
          <w:szCs w:val="32"/>
          <w:shd w:val="clear" w:color="auto" w:fill="FFFFFF"/>
        </w:rPr>
        <w:t>严格按照资金使用要求</w:t>
      </w:r>
      <w:r>
        <w:rPr>
          <w:rFonts w:hint="eastAsia" w:ascii="仿宋_GB2312" w:eastAsia="仿宋_GB2312"/>
          <w:sz w:val="32"/>
          <w:szCs w:val="32"/>
          <w:shd w:val="clear" w:color="auto" w:fill="FFFFFF"/>
          <w:lang w:eastAsia="zh-CN"/>
        </w:rPr>
        <w:t>，</w:t>
      </w:r>
      <w:r>
        <w:rPr>
          <w:rFonts w:eastAsia="仿宋_GB2312"/>
          <w:sz w:val="32"/>
          <w:szCs w:val="32"/>
          <w:lang w:val="en-US" w:eastAsia="zh-CN"/>
        </w:rPr>
        <w:t>符合国家财经法规和财务管理制度规定，资金的拨付有完整的审批程序和手续，不存在截留、挤占、挪用、虚列支出等情况。</w:t>
      </w:r>
    </w:p>
    <w:p>
      <w:pPr>
        <w:keepNext w:val="0"/>
        <w:keepLines w:val="0"/>
        <w:pageBreakBefore w:val="0"/>
        <w:widowControl w:val="0"/>
        <w:kinsoku/>
        <w:wordWrap/>
        <w:overflowPunct/>
        <w:topLinePunct w:val="0"/>
        <w:autoSpaceDE/>
        <w:autoSpaceDN/>
        <w:bidi w:val="0"/>
        <w:adjustRightInd/>
        <w:snapToGrid/>
        <w:spacing w:line="600" w:lineRule="exact"/>
        <w:ind w:firstLine="321" w:firstLineChars="100"/>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eastAsia="zh-CN"/>
        </w:rPr>
        <w:t>（二）</w:t>
      </w:r>
      <w:r>
        <w:rPr>
          <w:rFonts w:hint="eastAsia" w:ascii="楷体_GB2312" w:hAnsi="楷体_GB2312" w:eastAsia="楷体_GB2312" w:cs="楷体_GB2312"/>
          <w:b/>
          <w:bCs/>
          <w:sz w:val="32"/>
          <w:szCs w:val="32"/>
        </w:rPr>
        <w:t>绩效目标完成情况分析。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产出指标完成情况分析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数量指标：合作网络服务商数量3家</w:t>
      </w:r>
      <w:r>
        <w:rPr>
          <w:rFonts w:hint="eastAsia" w:ascii="仿宋_GB2312" w:hAnsi="仿宋_GB2312" w:eastAsia="仿宋_GB2312" w:cs="仿宋_GB2312"/>
          <w:sz w:val="32"/>
          <w:szCs w:val="32"/>
          <w:lang w:eastAsia="zh-CN"/>
        </w:rPr>
        <w:t>；信息系统网络安全等级保护系统1套。</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质量指标</w:t>
      </w:r>
      <w:r>
        <w:rPr>
          <w:rFonts w:hint="eastAsia" w:ascii="仿宋_GB2312" w:hAnsi="仿宋_GB2312" w:eastAsia="仿宋_GB2312" w:cs="仿宋_GB2312"/>
          <w:sz w:val="32"/>
          <w:szCs w:val="32"/>
          <w:lang w:eastAsia="zh-CN"/>
        </w:rPr>
        <w:t>：网络正常运行率100%；系统正常运行率100%。</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时效指标：完成时间2021年</w:t>
      </w:r>
      <w:r>
        <w:rPr>
          <w:rFonts w:hint="eastAsia" w:ascii="仿宋_GB2312" w:hAnsi="仿宋_GB2312" w:eastAsia="仿宋_GB2312" w:cs="仿宋_GB2312"/>
          <w:sz w:val="32"/>
          <w:szCs w:val="32"/>
          <w:lang w:eastAsia="zh-CN"/>
        </w:rPr>
        <w:t>全年。</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eastAsia="仿宋_GB2312"/>
          <w:b w:val="0"/>
          <w:bCs w:val="0"/>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val="0"/>
          <w:bCs w:val="0"/>
          <w:sz w:val="32"/>
          <w:szCs w:val="32"/>
        </w:rPr>
        <w:t>成本指标</w:t>
      </w:r>
      <w:r>
        <w:rPr>
          <w:rFonts w:hint="eastAsia" w:ascii="仿宋_GB2312" w:hAnsi="仿宋_GB2312" w:eastAsia="仿宋_GB2312" w:cs="仿宋_GB2312"/>
          <w:b w:val="0"/>
          <w:bCs w:val="0"/>
          <w:sz w:val="32"/>
          <w:szCs w:val="32"/>
          <w:lang w:val="en-US" w:eastAsia="zh-CN"/>
        </w:rPr>
        <w:t>: 网络服务费90000元；系统服务180500元。</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效益指标完成情况分析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社会效益：确保正常报道天数365天</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可持续影响：</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保证新媒体工作正常开展，发挥主流媒体引导作用</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满意度指标完成情况分析</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服务对象满意度</w:t>
      </w:r>
      <w:r>
        <w:rPr>
          <w:rFonts w:hint="eastAsia" w:ascii="仿宋_GB2312" w:hAnsi="仿宋_GB2312" w:eastAsia="仿宋_GB2312" w:cs="仿宋_GB2312"/>
          <w:sz w:val="32"/>
          <w:szCs w:val="32"/>
          <w:lang w:eastAsia="zh-CN"/>
        </w:rPr>
        <w:t>：全县群众满意度100</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三、偏离绩效目标的原因和下一步改进措施</w:t>
      </w:r>
    </w:p>
    <w:p>
      <w:pPr>
        <w:keepNext w:val="0"/>
        <w:keepLines w:val="0"/>
        <w:pageBreakBefore w:val="0"/>
        <w:kinsoku/>
        <w:wordWrap/>
        <w:overflowPunct/>
        <w:topLinePunct w:val="0"/>
        <w:autoSpaceDE/>
        <w:autoSpaceDN/>
        <w:bidi w:val="0"/>
        <w:adjustRightInd/>
        <w:snapToGrid/>
        <w:spacing w:line="600" w:lineRule="exact"/>
        <w:ind w:firstLine="660" w:firstLineChars="200"/>
        <w:textAlignment w:val="auto"/>
        <w:rPr>
          <w:rFonts w:hAnsi="仿宋_GB2312" w:eastAsia="仿宋_GB2312"/>
          <w:sz w:val="32"/>
          <w:szCs w:val="32"/>
          <w:highlight w:val="lightGray"/>
        </w:rPr>
      </w:pPr>
      <w:r>
        <w:rPr>
          <w:rFonts w:hint="eastAsia" w:ascii="仿宋" w:hAnsi="仿宋" w:eastAsia="仿宋"/>
          <w:sz w:val="33"/>
          <w:szCs w:val="33"/>
          <w:highlight w:val="none"/>
          <w:lang w:eastAsia="zh-CN"/>
        </w:rPr>
        <w:t>由于宁夏黄河云视</w:t>
      </w:r>
      <w:r>
        <w:rPr>
          <w:rFonts w:hint="eastAsia" w:ascii="仿宋" w:hAnsi="仿宋" w:eastAsia="仿宋"/>
          <w:sz w:val="33"/>
          <w:szCs w:val="33"/>
          <w:highlight w:val="none"/>
          <w:lang w:val="en-US" w:eastAsia="zh-CN"/>
        </w:rPr>
        <w:t>支付了第一年度</w:t>
      </w:r>
      <w:r>
        <w:rPr>
          <w:rFonts w:hint="eastAsia" w:ascii="仿宋" w:hAnsi="仿宋" w:eastAsia="仿宋"/>
          <w:sz w:val="33"/>
          <w:szCs w:val="33"/>
          <w:highlight w:val="none"/>
          <w:lang w:eastAsia="zh-CN"/>
        </w:rPr>
        <w:t>黄河云视等保费用，</w:t>
      </w:r>
      <w:r>
        <w:rPr>
          <w:rFonts w:hint="eastAsia" w:ascii="仿宋" w:hAnsi="仿宋" w:eastAsia="仿宋"/>
          <w:sz w:val="33"/>
          <w:szCs w:val="33"/>
          <w:highlight w:val="none"/>
          <w:lang w:val="en-US" w:eastAsia="zh-CN"/>
        </w:rPr>
        <w:t>故</w:t>
      </w:r>
      <w:r>
        <w:rPr>
          <w:rFonts w:hint="eastAsia" w:ascii="仿宋" w:hAnsi="仿宋" w:eastAsia="仿宋"/>
          <w:sz w:val="33"/>
          <w:szCs w:val="33"/>
          <w:highlight w:val="none"/>
          <w:lang w:eastAsia="zh-CN"/>
        </w:rPr>
        <w:t>使</w:t>
      </w:r>
      <w:r>
        <w:rPr>
          <w:rFonts w:hint="eastAsia" w:ascii="仿宋" w:hAnsi="仿宋" w:eastAsia="仿宋"/>
          <w:sz w:val="33"/>
          <w:szCs w:val="33"/>
          <w:highlight w:val="none"/>
          <w:lang w:val="en-US" w:eastAsia="zh-CN"/>
        </w:rPr>
        <w:t>本项目经费实际</w:t>
      </w:r>
      <w:r>
        <w:rPr>
          <w:rFonts w:hint="eastAsia" w:ascii="仿宋" w:hAnsi="仿宋" w:eastAsia="仿宋"/>
          <w:sz w:val="33"/>
          <w:szCs w:val="33"/>
          <w:highlight w:val="none"/>
          <w:lang w:eastAsia="zh-CN"/>
        </w:rPr>
        <w:t>支付</w:t>
      </w:r>
      <w:r>
        <w:rPr>
          <w:rFonts w:hint="eastAsia" w:ascii="仿宋" w:hAnsi="仿宋" w:eastAsia="仿宋"/>
          <w:sz w:val="33"/>
          <w:szCs w:val="33"/>
          <w:highlight w:val="none"/>
          <w:lang w:val="en-US" w:eastAsia="zh-CN"/>
        </w:rPr>
        <w:t>金额小于该项年初经费预算金额</w:t>
      </w:r>
      <w:r>
        <w:rPr>
          <w:rFonts w:hint="eastAsia" w:ascii="仿宋_GB2312" w:hAnsi="仿宋_GB2312" w:eastAsia="仿宋_GB2312" w:cs="仿宋_GB2312"/>
          <w:sz w:val="32"/>
          <w:szCs w:val="32"/>
          <w:highlight w:val="none"/>
          <w:lang w:eastAsia="zh-CN"/>
        </w:rPr>
        <w:t>。下</w:t>
      </w:r>
      <w:r>
        <w:rPr>
          <w:rFonts w:hint="eastAsia" w:ascii="仿宋" w:hAnsi="仿宋" w:eastAsia="仿宋"/>
          <w:sz w:val="33"/>
          <w:szCs w:val="33"/>
          <w:highlight w:val="none"/>
        </w:rPr>
        <w:t>一年</w:t>
      </w:r>
      <w:r>
        <w:rPr>
          <w:rFonts w:hint="eastAsia" w:ascii="仿宋" w:hAnsi="仿宋" w:eastAsia="仿宋"/>
          <w:sz w:val="33"/>
          <w:szCs w:val="33"/>
          <w:highlight w:val="none"/>
          <w:lang w:val="en-US" w:eastAsia="zh-CN"/>
        </w:rPr>
        <w:t>度</w:t>
      </w:r>
      <w:r>
        <w:rPr>
          <w:rFonts w:hint="eastAsia" w:ascii="仿宋" w:hAnsi="仿宋" w:eastAsia="仿宋"/>
          <w:sz w:val="33"/>
          <w:szCs w:val="33"/>
          <w:highlight w:val="none"/>
        </w:rPr>
        <w:t>我</w:t>
      </w:r>
      <w:r>
        <w:rPr>
          <w:rFonts w:hint="eastAsia" w:ascii="仿宋" w:hAnsi="仿宋" w:eastAsia="仿宋"/>
          <w:sz w:val="33"/>
          <w:szCs w:val="33"/>
          <w:highlight w:val="none"/>
          <w:lang w:eastAsia="zh-CN"/>
        </w:rPr>
        <w:t>中心将</w:t>
      </w:r>
      <w:r>
        <w:rPr>
          <w:rFonts w:hint="eastAsia" w:ascii="仿宋_GB2312" w:hAnsi="仿宋_GB2312" w:eastAsia="仿宋_GB2312" w:cs="仿宋_GB2312"/>
          <w:sz w:val="32"/>
          <w:szCs w:val="32"/>
          <w:highlight w:val="none"/>
          <w:lang w:eastAsia="zh-CN"/>
        </w:rPr>
        <w:t>按照网络安全等级保护要求，加大信息所在地现场测评，使网络安全达到相应网络安全等级要求，进一步提升广播电视安全播出的需求，保障广播电视运行更快、更安全，</w:t>
      </w:r>
      <w:r>
        <w:rPr>
          <w:rFonts w:hint="eastAsia" w:ascii="仿宋_GB2312" w:hAnsi="仿宋_GB2312" w:eastAsia="仿宋_GB2312" w:cs="仿宋_GB2312"/>
          <w:sz w:val="32"/>
          <w:szCs w:val="32"/>
          <w:highlight w:val="none"/>
          <w:lang w:val="en-US" w:eastAsia="zh-CN"/>
        </w:rPr>
        <w:t>并进一步</w:t>
      </w:r>
      <w:bookmarkStart w:id="0" w:name="_GoBack"/>
      <w:bookmarkEnd w:id="0"/>
      <w:r>
        <w:rPr>
          <w:rFonts w:hint="eastAsia" w:ascii="仿宋_GB2312" w:hAnsi="仿宋_GB2312" w:eastAsia="仿宋_GB2312" w:cs="仿宋_GB2312"/>
          <w:sz w:val="32"/>
          <w:szCs w:val="32"/>
          <w:highlight w:val="none"/>
          <w:lang w:val="en-US" w:eastAsia="zh-CN"/>
        </w:rPr>
        <w:t>提高财政资金使用效率</w:t>
      </w:r>
      <w:r>
        <w:rPr>
          <w:rFonts w:hint="eastAsia" w:ascii="仿宋" w:hAnsi="仿宋" w:eastAsia="仿宋"/>
          <w:sz w:val="33"/>
          <w:szCs w:val="33"/>
          <w:highlight w:val="none"/>
        </w:rPr>
        <w:t>。</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四、</w:t>
      </w:r>
      <w:r>
        <w:rPr>
          <w:rFonts w:hint="eastAsia" w:ascii="黑体" w:hAnsi="黑体" w:eastAsia="黑体" w:cs="黑体"/>
          <w:sz w:val="32"/>
          <w:szCs w:val="32"/>
        </w:rPr>
        <w:t>绩效自评结果拟应用和公开情况</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Ansi="仿宋_GB2312" w:eastAsia="仿宋_GB2312"/>
          <w:sz w:val="32"/>
          <w:szCs w:val="32"/>
        </w:rPr>
      </w:pPr>
      <w:r>
        <w:rPr>
          <w:rFonts w:hAnsi="仿宋_GB2312" w:eastAsia="仿宋_GB2312"/>
          <w:sz w:val="32"/>
          <w:szCs w:val="32"/>
        </w:rPr>
        <w:t>开展绩效</w:t>
      </w:r>
      <w:r>
        <w:rPr>
          <w:rFonts w:hint="eastAsia" w:hAnsi="仿宋_GB2312" w:eastAsia="仿宋_GB2312"/>
          <w:sz w:val="32"/>
          <w:szCs w:val="32"/>
          <w:lang w:eastAsia="zh-CN"/>
        </w:rPr>
        <w:t>自评</w:t>
      </w:r>
      <w:r>
        <w:rPr>
          <w:rFonts w:hAnsi="仿宋_GB2312" w:eastAsia="仿宋_GB2312"/>
          <w:sz w:val="32"/>
          <w:szCs w:val="32"/>
        </w:rPr>
        <w:t>工作，是加强财政支出管理、增强资金绩效理念、合理配置公共资源、优化财政支出结构、强化资金管理水平、提高资金使用效益的重要手段。为使绩效评价结果得到合理应用，将绩效评价结果在全单位公开，把此次绩效评价结果作为以后年度资金使用的重要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五、其他需要说明的问题</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中央巡视、各级审计和财政监督检查中发现的问题及其所涉及的金额。</w:t>
      </w:r>
    </w:p>
    <w:p>
      <w:pPr>
        <w:keepNext w:val="0"/>
        <w:keepLines w:val="0"/>
        <w:pageBreakBefore w:val="0"/>
        <w:widowControl w:val="0"/>
        <w:kinsoku/>
        <w:wordWrap/>
        <w:overflowPunct/>
        <w:topLinePunct w:val="0"/>
        <w:autoSpaceDE/>
        <w:autoSpaceDN/>
        <w:bidi w:val="0"/>
        <w:adjustRightInd/>
        <w:snapToGrid/>
        <w:spacing w:line="600" w:lineRule="exact"/>
        <w:ind w:left="638" w:leftChars="304" w:firstLine="7366" w:firstLineChars="2302"/>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附：网络使用费、信息系统网络安全等级保护测评二级等保费项目支出绩效自评表</w:t>
      </w:r>
    </w:p>
    <w:p>
      <w:pPr>
        <w:keepNext w:val="0"/>
        <w:keepLines w:val="0"/>
        <w:pageBreakBefore w:val="0"/>
        <w:widowControl w:val="0"/>
        <w:kinsoku/>
        <w:wordWrap/>
        <w:overflowPunct/>
        <w:topLinePunct w:val="0"/>
        <w:autoSpaceDE/>
        <w:autoSpaceDN/>
        <w:bidi w:val="0"/>
        <w:adjustRightInd/>
        <w:snapToGrid/>
        <w:spacing w:line="600" w:lineRule="exact"/>
        <w:ind w:firstLine="4160" w:firstLineChars="13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盐池县融媒体中心</w:t>
      </w:r>
    </w:p>
    <w:p>
      <w:pPr>
        <w:keepNext w:val="0"/>
        <w:keepLines w:val="0"/>
        <w:pageBreakBefore w:val="0"/>
        <w:widowControl w:val="0"/>
        <w:kinsoku/>
        <w:wordWrap/>
        <w:overflowPunct/>
        <w:topLinePunct w:val="0"/>
        <w:autoSpaceDE/>
        <w:autoSpaceDN/>
        <w:bidi w:val="0"/>
        <w:adjustRightInd/>
        <w:snapToGrid/>
        <w:spacing w:line="600" w:lineRule="exact"/>
        <w:ind w:firstLine="4160" w:firstLineChars="13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2022年5月18日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方正舒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9C6BC6"/>
    <w:multiLevelType w:val="multilevel"/>
    <w:tmpl w:val="179C6BC6"/>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Y4OGUwZTcwYjRkMTE0OWRhZjAzMDRiZTc1OTUxNGMifQ=="/>
  </w:docVars>
  <w:rsids>
    <w:rsidRoot w:val="065054E9"/>
    <w:rsid w:val="00E963F2"/>
    <w:rsid w:val="01CF1B61"/>
    <w:rsid w:val="065054E9"/>
    <w:rsid w:val="07E972F6"/>
    <w:rsid w:val="0802440D"/>
    <w:rsid w:val="0BC1638D"/>
    <w:rsid w:val="134655C2"/>
    <w:rsid w:val="170A2ECF"/>
    <w:rsid w:val="1B710DCB"/>
    <w:rsid w:val="2C1B1649"/>
    <w:rsid w:val="2E9C6935"/>
    <w:rsid w:val="36035A44"/>
    <w:rsid w:val="45AB1FB7"/>
    <w:rsid w:val="476B46C5"/>
    <w:rsid w:val="4FB33084"/>
    <w:rsid w:val="53C45FFC"/>
    <w:rsid w:val="55336AE7"/>
    <w:rsid w:val="6BB02E9A"/>
    <w:rsid w:val="6D911C48"/>
    <w:rsid w:val="783C07E0"/>
    <w:rsid w:val="7C032330"/>
    <w:rsid w:val="7E8C69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Cambria" w:hAnsi="Cambria" w:eastAsia="宋体"/>
      <w:b/>
      <w:bCs/>
      <w:sz w:val="32"/>
      <w:szCs w:val="32"/>
    </w:rPr>
  </w:style>
  <w:style w:type="paragraph" w:styleId="3">
    <w:name w:val="footer"/>
    <w:basedOn w:val="1"/>
    <w:qFormat/>
    <w:uiPriority w:val="0"/>
    <w:pPr>
      <w:tabs>
        <w:tab w:val="center" w:pos="4153"/>
        <w:tab w:val="right" w:pos="8306"/>
      </w:tabs>
      <w:snapToGrid w:val="0"/>
      <w:jc w:val="left"/>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basedOn w:val="6"/>
    <w:unhideWhenUsed/>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1153</Words>
  <Characters>1218</Characters>
  <Lines>0</Lines>
  <Paragraphs>0</Paragraphs>
  <TotalTime>9</TotalTime>
  <ScaleCrop>false</ScaleCrop>
  <LinksUpToDate>false</LinksUpToDate>
  <CharactersWithSpaces>1226</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2021-10-19T02:10:00Z</dcterms:created>
  <dc:creator>纹身女</dc:creator>
  <cp:lastModifiedBy>Jomes</cp:lastModifiedBy>
  <cp:lastPrinted>2022-03-22T07:03:00Z</cp:lastPrinted>
  <dcterms:modified xsi:type="dcterms:W3CDTF">2022-06-07T02:37:09Z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D20F467CD98F471797381B4137E04EDA</vt:lpwstr>
  </property>
</Properties>
</file>