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center"/>
        <w:rPr>
          <w:rFonts w:hint="eastAsia" w:ascii="方正小标宋简体" w:hAnsi="方正小标宋简体" w:eastAsia="方正小标宋简体" w:cs="方正小标宋简体"/>
          <w:b w:val="0"/>
          <w:bCs w:val="0"/>
          <w:kern w:val="2"/>
          <w:sz w:val="44"/>
          <w:szCs w:val="44"/>
          <w:lang w:val="en-US" w:eastAsia="zh-CN" w:bidi="zh-TW"/>
        </w:rPr>
      </w:pPr>
      <w:r>
        <w:rPr>
          <w:rFonts w:hint="eastAsia" w:ascii="方正小标宋简体" w:hAnsi="方正小标宋简体" w:eastAsia="方正小标宋简体" w:cs="方正小标宋简体"/>
          <w:b w:val="0"/>
          <w:bCs w:val="0"/>
          <w:w w:val="95"/>
          <w:kern w:val="2"/>
          <w:sz w:val="44"/>
          <w:szCs w:val="44"/>
          <w:lang w:val="en-US" w:eastAsia="zh-CN" w:bidi="zh-TW"/>
        </w:rPr>
        <w:t>2021年革命老区转移支付项目资金（二标段）</w:t>
      </w:r>
      <w:r>
        <w:rPr>
          <w:rFonts w:hint="eastAsia" w:ascii="方正小标宋简体" w:hAnsi="方正小标宋简体" w:eastAsia="方正小标宋简体" w:cs="方正小标宋简体"/>
          <w:b w:val="0"/>
          <w:bCs w:val="0"/>
          <w:kern w:val="2"/>
          <w:sz w:val="44"/>
          <w:szCs w:val="44"/>
          <w:lang w:val="en-US" w:eastAsia="zh-CN" w:bidi="zh-TW"/>
        </w:rPr>
        <w:t>绩效自评报告</w:t>
      </w:r>
    </w:p>
    <w:p>
      <w:pPr>
        <w:pStyle w:val="2"/>
        <w:keepNext w:val="0"/>
        <w:keepLines w:val="0"/>
        <w:pageBreakBefore w:val="0"/>
        <w:widowControl w:val="0"/>
        <w:kinsoku/>
        <w:wordWrap/>
        <w:overflowPunct/>
        <w:topLinePunct w:val="0"/>
        <w:autoSpaceDE/>
        <w:autoSpaceDN/>
        <w:bidi w:val="0"/>
        <w:adjustRightInd/>
        <w:snapToGrid/>
        <w:spacing w:line="20" w:lineRule="exact"/>
        <w:textAlignment w:val="auto"/>
        <w:rPr>
          <w:rFonts w:hint="eastAsia"/>
          <w:sz w:val="10"/>
          <w:szCs w:val="10"/>
          <w:lang w:eastAsia="zh-CN"/>
        </w:rPr>
      </w:pP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根据盐池县财政局《关于开展</w:t>
      </w:r>
      <w:r>
        <w:rPr>
          <w:rFonts w:hint="eastAsia" w:ascii="仿宋_GB2312" w:hAnsi="仿宋_GB2312" w:eastAsia="仿宋_GB2312" w:cs="仿宋_GB2312"/>
          <w:sz w:val="32"/>
          <w:szCs w:val="32"/>
          <w:lang w:val="en-US" w:eastAsia="zh-CN"/>
        </w:rPr>
        <w:t>2021年部门项目支出绩效自评的通知》（盐财发</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22</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26</w:t>
      </w:r>
      <w:r>
        <w:rPr>
          <w:rFonts w:hint="eastAsia" w:ascii="仿宋_GB2312" w:hAnsi="仿宋_GB2312" w:eastAsia="仿宋_GB2312" w:cs="仿宋_GB2312"/>
          <w:sz w:val="32"/>
          <w:szCs w:val="32"/>
          <w:lang w:eastAsia="zh-CN"/>
        </w:rPr>
        <w:t>号）要求，我局组织相</w:t>
      </w:r>
      <w:r>
        <w:rPr>
          <w:rFonts w:hint="eastAsia" w:ascii="仿宋_GB2312" w:hAnsi="仿宋_GB2312" w:eastAsia="仿宋_GB2312" w:cs="仿宋_GB2312"/>
          <w:sz w:val="32"/>
          <w:szCs w:val="32"/>
          <w:lang w:val="en-US" w:eastAsia="zh-CN"/>
        </w:rPr>
        <w:t>关人员对实施的“2021年革命老区转移支付项目资金（二标段）</w:t>
      </w:r>
      <w:r>
        <w:rPr>
          <w:rFonts w:hint="eastAsia" w:ascii="仿宋_GB2312" w:hAnsi="仿宋_GB2312" w:eastAsia="仿宋_GB2312" w:cs="仿宋_GB2312"/>
          <w:sz w:val="32"/>
          <w:szCs w:val="32"/>
          <w:lang w:eastAsia="zh-CN"/>
        </w:rPr>
        <w:t>”进行自评总结，现将自评情况报告如下：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一、绩效目标批复下达情况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（一）年初批复下达2021年革命老区转移支付项目资金（二标段）预算和绩效目标情况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w:t>
      </w:r>
      <w:r>
        <w:rPr>
          <w:rFonts w:hint="eastAsia" w:ascii="仿宋_GB2312" w:hAnsi="仿宋_GB2312" w:eastAsia="仿宋_GB2312" w:cs="仿宋_GB2312"/>
          <w:sz w:val="32"/>
          <w:szCs w:val="32"/>
          <w:lang w:eastAsia="zh-CN"/>
        </w:rPr>
        <w:t>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年</w:t>
      </w:r>
      <w:r>
        <w:rPr>
          <w:rFonts w:hint="eastAsia" w:ascii="仿宋_GB2312" w:hAnsi="仿宋_GB2312" w:eastAsia="仿宋_GB2312" w:cs="仿宋_GB2312"/>
          <w:sz w:val="32"/>
          <w:szCs w:val="32"/>
          <w:lang w:val="en-US" w:eastAsia="zh-CN"/>
        </w:rPr>
        <w:t>下达</w:t>
      </w:r>
      <w:r>
        <w:rPr>
          <w:rFonts w:hint="eastAsia" w:ascii="仿宋_GB2312" w:hAnsi="仿宋_GB2312" w:eastAsia="仿宋_GB2312" w:cs="仿宋_GB2312"/>
          <w:sz w:val="32"/>
          <w:szCs w:val="32"/>
          <w:lang w:eastAsia="zh-CN"/>
        </w:rPr>
        <w:t>我局</w:t>
      </w:r>
      <w:r>
        <w:rPr>
          <w:rFonts w:hint="eastAsia" w:ascii="仿宋_GB2312" w:hAnsi="仿宋_GB2312" w:eastAsia="仿宋_GB2312" w:cs="仿宋_GB2312"/>
          <w:sz w:val="32"/>
          <w:szCs w:val="32"/>
          <w:lang w:val="en-US" w:eastAsia="zh-CN"/>
        </w:rPr>
        <w:t>2021年革命老区转移支付项目资金（二标段）共502万元。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2、主要绩效目标：</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1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eastAsia="zh-CN"/>
        </w:rPr>
        <w:t>①</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道路工程：新建彩色透水混凝土健身步道，道路红线4.7米，全长1982.288米，其中北侧健身步道991.63米，南侧健身步道990.658米，标线50平方米。</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2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eastAsia="zh-CN"/>
        </w:rPr>
        <w:t>②</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路灯工程：安装6米单叉路灯96盏。敷设路灯电缆2000米。</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3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eastAsia="zh-CN"/>
        </w:rPr>
        <w:t>③</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绿化工程：种植绿篱1387.5平方米，种植品种为侧柏篱，金叶榆篱和紫叶矮樱篱三种，设立爱护花草标识牌30块。</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（二）年度中由县级资金安排下达2021年革命老区转移支付项目资金（二标段）资金预算和绩效目标情况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根据自治区财政厅《关于提前下达</w:t>
      </w:r>
      <w:r>
        <w:rPr>
          <w:rFonts w:hint="eastAsia" w:ascii="仿宋_GB2312" w:hAnsi="仿宋_GB2312" w:eastAsia="仿宋_GB2312" w:cs="仿宋_GB2312"/>
          <w:sz w:val="32"/>
          <w:szCs w:val="32"/>
          <w:lang w:val="en-US" w:eastAsia="zh-CN"/>
        </w:rPr>
        <w:t>2021年革命老区转移支付资金的通知</w:t>
      </w:r>
      <w:r>
        <w:rPr>
          <w:rFonts w:hint="eastAsia" w:ascii="仿宋_GB2312" w:hAnsi="仿宋_GB2312" w:eastAsia="仿宋_GB2312" w:cs="仿宋_GB2312"/>
          <w:sz w:val="32"/>
          <w:szCs w:val="32"/>
          <w:lang w:eastAsia="zh-CN"/>
        </w:rPr>
        <w:t>》（宁财（预）指标〔20</w:t>
      </w:r>
      <w:r>
        <w:rPr>
          <w:rFonts w:hint="eastAsia" w:ascii="仿宋_GB2312" w:hAnsi="仿宋_GB2312" w:eastAsia="仿宋_GB2312" w:cs="仿宋_GB2312"/>
          <w:sz w:val="32"/>
          <w:szCs w:val="32"/>
          <w:lang w:val="en-US" w:eastAsia="zh-CN"/>
        </w:rPr>
        <w:t>20</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574号</w:t>
      </w:r>
      <w:r>
        <w:rPr>
          <w:rFonts w:hint="eastAsia" w:ascii="仿宋_GB2312" w:hAnsi="仿宋_GB2312" w:eastAsia="仿宋_GB2312" w:cs="仿宋_GB2312"/>
          <w:sz w:val="32"/>
          <w:szCs w:val="32"/>
          <w:lang w:eastAsia="zh-CN"/>
        </w:rPr>
        <w:t>）、《关于提前下达</w:t>
      </w:r>
      <w:r>
        <w:rPr>
          <w:rFonts w:hint="eastAsia" w:ascii="仿宋_GB2312" w:hAnsi="仿宋_GB2312" w:eastAsia="仿宋_GB2312" w:cs="仿宋_GB2312"/>
          <w:sz w:val="32"/>
          <w:szCs w:val="32"/>
          <w:lang w:val="en-US" w:eastAsia="zh-CN"/>
        </w:rPr>
        <w:t>2021年革命老区转移支付预算指标的通知</w:t>
      </w:r>
      <w:r>
        <w:rPr>
          <w:rFonts w:hint="eastAsia" w:ascii="仿宋_GB2312" w:hAnsi="仿宋_GB2312" w:eastAsia="仿宋_GB2312" w:cs="仿宋_GB2312"/>
          <w:sz w:val="32"/>
          <w:szCs w:val="32"/>
          <w:lang w:eastAsia="zh-CN"/>
        </w:rPr>
        <w:t>》（宁财（预）指标〔20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310号</w:t>
      </w:r>
      <w:r>
        <w:rPr>
          <w:rFonts w:hint="eastAsia" w:ascii="仿宋_GB2312" w:hAnsi="仿宋_GB2312" w:eastAsia="仿宋_GB2312" w:cs="仿宋_GB2312"/>
          <w:sz w:val="32"/>
          <w:szCs w:val="32"/>
          <w:lang w:eastAsia="zh-CN"/>
        </w:rPr>
        <w:t>）、《盐池县财政局关于下达</w:t>
      </w:r>
      <w:r>
        <w:rPr>
          <w:rFonts w:hint="eastAsia" w:ascii="仿宋_GB2312" w:hAnsi="仿宋_GB2312" w:eastAsia="仿宋_GB2312" w:cs="仿宋_GB2312"/>
          <w:sz w:val="32"/>
          <w:szCs w:val="32"/>
          <w:lang w:val="en-US" w:eastAsia="zh-CN"/>
        </w:rPr>
        <w:t>2021年革命老区转移支付项目资金（第二批）预算指标的通知</w:t>
      </w:r>
      <w:r>
        <w:rPr>
          <w:rFonts w:hint="eastAsia" w:ascii="仿宋_GB2312" w:hAnsi="仿宋_GB2312" w:eastAsia="仿宋_GB2312" w:cs="仿宋_GB2312"/>
          <w:sz w:val="32"/>
          <w:szCs w:val="32"/>
          <w:lang w:eastAsia="zh-CN"/>
        </w:rPr>
        <w:t>》（盐财（预）指标〔20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214</w:t>
      </w:r>
      <w:r>
        <w:rPr>
          <w:rFonts w:hint="eastAsia" w:ascii="仿宋_GB2312" w:hAnsi="仿宋_GB2312" w:eastAsia="仿宋_GB2312" w:cs="仿宋_GB2312"/>
          <w:sz w:val="32"/>
          <w:szCs w:val="32"/>
          <w:lang w:eastAsia="zh-CN"/>
        </w:rPr>
        <w:t>号）</w:t>
      </w:r>
      <w:r>
        <w:rPr>
          <w:rFonts w:hint="eastAsia" w:ascii="仿宋_GB2312" w:hAnsi="仿宋_GB2312" w:eastAsia="仿宋_GB2312" w:cs="仿宋_GB2312"/>
          <w:sz w:val="32"/>
          <w:szCs w:val="32"/>
          <w:lang w:val="en-US" w:eastAsia="zh-CN"/>
        </w:rPr>
        <w:t>文件要求，2021年革命老区转移支付项目资金（二标段）预算指标安排502万元，全部为财政拨款，2021年革命老区转移支付项目资金（二标段）2021年资金已全部到位，内容为革命老区转移支付资金是为了促进革命老区各项社会事业发展，支持革命老区改善和保障民生，设立的专项资金，主要用于革命老区专门事务（包括革命遗址保护、革命纪念场馆的建设和改造、烈士陵园的维护和改造、老红军及军烈属活动场所的建设和维护等)及革命老区民生事务（包括乡村道路、饮水安全等设施的建设维护以及教育、文化、社会保降、卫生等民生事务）。</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（一）资金投入情况分析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1、项目资金到位情况分析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2021年革命老区转移支付项目资金（二标段）预算资金502</w:t>
      </w:r>
      <w:r>
        <w:rPr>
          <w:rFonts w:hint="eastAsia" w:ascii="仿宋_GB2312" w:hAnsi="仿宋_GB2312" w:eastAsia="仿宋_GB2312" w:cs="仿宋_GB2312"/>
          <w:sz w:val="32"/>
          <w:szCs w:val="32"/>
          <w:lang w:eastAsia="zh-CN"/>
        </w:rPr>
        <w:t>万元，实际到位资金</w:t>
      </w:r>
      <w:r>
        <w:rPr>
          <w:rFonts w:hint="eastAsia" w:ascii="仿宋_GB2312" w:hAnsi="仿宋_GB2312" w:eastAsia="仿宋_GB2312" w:cs="仿宋_GB2312"/>
          <w:sz w:val="32"/>
          <w:szCs w:val="32"/>
          <w:lang w:val="en-US" w:eastAsia="zh-CN"/>
        </w:rPr>
        <w:t>502万元</w:t>
      </w:r>
      <w:r>
        <w:rPr>
          <w:rFonts w:hint="eastAsia" w:ascii="仿宋_GB2312" w:hAnsi="仿宋_GB2312" w:eastAsia="仿宋_GB2312" w:cs="仿宋_GB2312"/>
          <w:sz w:val="32"/>
          <w:szCs w:val="32"/>
          <w:lang w:eastAsia="zh-CN"/>
        </w:rPr>
        <w:t>，资金到位率</w:t>
      </w:r>
      <w:r>
        <w:rPr>
          <w:rFonts w:hint="eastAsia" w:ascii="仿宋_GB2312" w:hAnsi="仿宋_GB2312" w:eastAsia="仿宋_GB2312" w:cs="仿宋_GB2312"/>
          <w:sz w:val="32"/>
          <w:szCs w:val="32"/>
          <w:lang w:val="en-US" w:eastAsia="zh-CN"/>
        </w:rPr>
        <w:t>100</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w:t>
      </w:r>
      <w:r>
        <w:rPr>
          <w:rFonts w:hint="eastAsia" w:ascii="仿宋_GB2312" w:hAnsi="仿宋_GB2312" w:eastAsia="仿宋_GB2312" w:cs="仿宋_GB2312"/>
          <w:sz w:val="32"/>
          <w:szCs w:val="32"/>
          <w:lang w:eastAsia="zh-CN"/>
        </w:rPr>
        <w:t>项目资金执行情况分析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2021年革命老区转移支付项目资金（二标段）</w:t>
      </w:r>
      <w:r>
        <w:rPr>
          <w:rFonts w:hint="eastAsia" w:ascii="仿宋_GB2312" w:hAnsi="仿宋_GB2312" w:eastAsia="仿宋_GB2312" w:cs="仿宋_GB2312"/>
          <w:sz w:val="32"/>
          <w:szCs w:val="32"/>
          <w:lang w:eastAsia="zh-CN"/>
        </w:rPr>
        <w:t>预算资金已全部下达，并按资金文件及项目建设要求和进度全部落实到位。20</w:t>
      </w:r>
      <w:r>
        <w:rPr>
          <w:rFonts w:hint="eastAsia" w:ascii="仿宋_GB2312" w:hAnsi="仿宋_GB2312" w:eastAsia="仿宋_GB2312" w:cs="仿宋_GB2312"/>
          <w:sz w:val="32"/>
          <w:szCs w:val="32"/>
          <w:lang w:val="en-US" w:eastAsia="zh-CN"/>
        </w:rPr>
        <w:t>21</w:t>
      </w:r>
      <w:r>
        <w:rPr>
          <w:rFonts w:hint="eastAsia" w:ascii="仿宋_GB2312" w:hAnsi="仿宋_GB2312" w:eastAsia="仿宋_GB2312" w:cs="仿宋_GB2312"/>
          <w:sz w:val="32"/>
          <w:szCs w:val="32"/>
          <w:lang w:eastAsia="zh-CN"/>
        </w:rPr>
        <w:t>实际总支出为</w:t>
      </w:r>
      <w:r>
        <w:rPr>
          <w:rFonts w:hint="eastAsia" w:ascii="仿宋_GB2312" w:hAnsi="仿宋_GB2312" w:eastAsia="仿宋_GB2312" w:cs="仿宋_GB2312"/>
          <w:sz w:val="32"/>
          <w:szCs w:val="32"/>
          <w:lang w:val="en-US" w:eastAsia="zh-CN"/>
        </w:rPr>
        <w:t>166.51637</w:t>
      </w:r>
      <w:r>
        <w:rPr>
          <w:rFonts w:hint="eastAsia" w:ascii="仿宋_GB2312" w:hAnsi="仿宋_GB2312" w:eastAsia="仿宋_GB2312" w:cs="仿宋_GB2312"/>
          <w:sz w:val="32"/>
          <w:szCs w:val="32"/>
          <w:lang w:eastAsia="zh-CN"/>
        </w:rPr>
        <w:t>万元，结余</w:t>
      </w:r>
      <w:r>
        <w:rPr>
          <w:rFonts w:hint="eastAsia" w:ascii="仿宋_GB2312" w:hAnsi="仿宋_GB2312" w:eastAsia="仿宋_GB2312" w:cs="仿宋_GB2312"/>
          <w:sz w:val="32"/>
          <w:szCs w:val="32"/>
          <w:lang w:val="en-US" w:eastAsia="zh-CN"/>
        </w:rPr>
        <w:t>335.48363</w:t>
      </w:r>
      <w:r>
        <w:rPr>
          <w:rFonts w:hint="eastAsia" w:ascii="仿宋_GB2312" w:hAnsi="仿宋_GB2312" w:eastAsia="仿宋_GB2312" w:cs="仿宋_GB2312"/>
          <w:sz w:val="32"/>
          <w:szCs w:val="32"/>
          <w:lang w:eastAsia="zh-CN"/>
        </w:rPr>
        <w:t>万元，资金执行率</w:t>
      </w:r>
      <w:r>
        <w:rPr>
          <w:rFonts w:hint="eastAsia" w:ascii="仿宋_GB2312" w:hAnsi="仿宋_GB2312" w:eastAsia="仿宋_GB2312" w:cs="仿宋_GB2312"/>
          <w:sz w:val="32"/>
          <w:szCs w:val="32"/>
          <w:lang w:val="en-US" w:eastAsia="zh-CN"/>
        </w:rPr>
        <w:t>33.17</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3、</w:t>
      </w:r>
      <w:r>
        <w:rPr>
          <w:rFonts w:hint="eastAsia" w:ascii="仿宋_GB2312" w:hAnsi="仿宋_GB2312" w:eastAsia="仿宋_GB2312" w:cs="仿宋_GB2312"/>
          <w:sz w:val="32"/>
          <w:szCs w:val="32"/>
          <w:lang w:eastAsia="zh-CN"/>
        </w:rPr>
        <w:t>项目资金管理情况分析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革命老区转移支付项目资金（二标段）专项资金严格按照《中央财政专项补助资金管理办法》、《自治区财政专项补助资金管理办法》及《中央对地方专项转移支付绩效目标管理暂行办法》的规定进行管理，资金拨付审批程序完整。在资金用途、支付条件、支付计划等方面，按照分级责任制，由项目管理人员和财务人员分别审核签字，法定代表人最终确认签字制，做到专款专用，无挤占挪用、虚列支出等情况，会计核算准确、财务资料完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（二）绩效目标完成情况分析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1、产出指标完成情况分析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（1）数量指标：完成新建彩色透水混凝土健身步道，道路红线4.7米，全长1982.288米，安装6米单叉路灯96盏，种植绿篱1387.5平方米。</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eastAsia="zh-CN"/>
        </w:rPr>
        <w:t>（2）质量指标：</w:t>
      </w:r>
      <w:r>
        <w:rPr>
          <w:rFonts w:hint="eastAsia" w:ascii="仿宋_GB2312" w:hAnsi="仿宋_GB2312" w:eastAsia="仿宋_GB2312" w:cs="仿宋_GB2312"/>
          <w:sz w:val="32"/>
          <w:szCs w:val="32"/>
          <w:lang w:val="en-US" w:eastAsia="zh-CN"/>
        </w:rPr>
        <w:t>项目施工过程中要求严格“按图施工”，按照相关技术规范标准进行施工，确保符合设计及标准的要求。施工过程中进行严格的质量检验，主要包括班组自检、质检员专检、专业施工员的交接检、监理与建设单位参与的隐蔽工程检验、建设主管部门定期检验，分项、分部评定以及中间验收等程序，施工中每道工序完成后经检查验收合格之后才可进行下一道工序的施工，验收均为合格工程。</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（3）时效指标：按照</w:t>
      </w:r>
      <w:r>
        <w:rPr>
          <w:rFonts w:hint="eastAsia" w:ascii="仿宋_GB2312" w:hAnsi="仿宋_GB2312" w:eastAsia="仿宋_GB2312" w:cs="仿宋_GB2312"/>
          <w:sz w:val="32"/>
          <w:szCs w:val="32"/>
          <w:lang w:val="en-US" w:eastAsia="zh-CN"/>
        </w:rPr>
        <w:t>2021年度绩效目标制定了项目工作计划，并按照工作计划开展了2021年革命老区转移支付项目工作。评价认为，该项目各项工程安排较合理，按照计划进度执行较及时</w:t>
      </w:r>
      <w:r>
        <w:rPr>
          <w:rFonts w:hint="eastAsia" w:ascii="仿宋_GB2312" w:hAnsi="仿宋_GB2312" w:eastAsia="仿宋_GB2312" w:cs="仿宋_GB2312"/>
          <w:sz w:val="32"/>
          <w:szCs w:val="32"/>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（4）成本指标：根据年度预算计划，分解并制定了相应的月度预算使用计划，严格落实。截止目前为止，上年</w:t>
      </w:r>
      <w:r>
        <w:rPr>
          <w:rFonts w:hint="eastAsia" w:ascii="仿宋_GB2312" w:hAnsi="仿宋_GB2312" w:eastAsia="仿宋_GB2312" w:cs="仿宋_GB2312"/>
          <w:sz w:val="32"/>
          <w:szCs w:val="32"/>
          <w:lang w:val="en-US" w:eastAsia="zh-CN"/>
        </w:rPr>
        <w:t>2021年革命老区转移支付项目资金（二标段）</w:t>
      </w:r>
      <w:r>
        <w:rPr>
          <w:rFonts w:hint="eastAsia" w:ascii="仿宋_GB2312" w:hAnsi="仿宋_GB2312" w:eastAsia="仿宋_GB2312" w:cs="仿宋_GB2312"/>
          <w:sz w:val="32"/>
          <w:szCs w:val="32"/>
          <w:lang w:eastAsia="zh-CN"/>
        </w:rPr>
        <w:t>已全部落实，支付依据合规合法，执行情况良好。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2、效益指标完成情况分析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（1）社会效益：</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1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eastAsia="zh-CN"/>
        </w:rPr>
        <w:t>①</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该项目的建设，将促进沿线产业结构的优化调整，改普沿线地区的区位优势和投资环境，加快规模经济的形成，促进城市的发展。同时还能带动沿线地区人口、劳动力由乡村向城镇转移，使人们的思想观念得到进一步解放，从而推动城乡一体化的进程，为沿线城镇的大力开发与建设打下坚实的基础。</w:t>
      </w:r>
      <w:r>
        <w:rPr>
          <w:rFonts w:hint="eastAsia" w:ascii="仿宋_GB2312" w:hAnsi="仿宋_GB2312" w:eastAsia="仿宋_GB2312" w:cs="仿宋_GB2312"/>
          <w:sz w:val="32"/>
          <w:szCs w:val="32"/>
          <w:lang w:val="en-US" w:eastAsia="zh-CN"/>
        </w:rPr>
        <w:fldChar w:fldCharType="begin"/>
      </w:r>
      <w:r>
        <w:rPr>
          <w:rFonts w:hint="eastAsia" w:ascii="仿宋_GB2312" w:hAnsi="仿宋_GB2312" w:eastAsia="仿宋_GB2312" w:cs="仿宋_GB2312"/>
          <w:sz w:val="32"/>
          <w:szCs w:val="32"/>
          <w:lang w:val="en-US" w:eastAsia="zh-CN"/>
        </w:rPr>
        <w:instrText xml:space="preserve"> = 2 \* GB3 \* MERGEFORMAT </w:instrText>
      </w:r>
      <w:r>
        <w:rPr>
          <w:rFonts w:hint="eastAsia" w:ascii="仿宋_GB2312" w:hAnsi="仿宋_GB2312" w:eastAsia="仿宋_GB2312" w:cs="仿宋_GB2312"/>
          <w:sz w:val="32"/>
          <w:szCs w:val="32"/>
          <w:lang w:val="en-US" w:eastAsia="zh-CN"/>
        </w:rPr>
        <w:fldChar w:fldCharType="separate"/>
      </w:r>
      <w:r>
        <w:rPr>
          <w:rFonts w:hint="eastAsia" w:ascii="仿宋_GB2312" w:hAnsi="仿宋_GB2312" w:eastAsia="仿宋_GB2312" w:cs="仿宋_GB2312"/>
          <w:sz w:val="32"/>
          <w:szCs w:val="32"/>
          <w:lang w:eastAsia="zh-CN"/>
        </w:rPr>
        <w:t>②</w:t>
      </w:r>
      <w:r>
        <w:rPr>
          <w:rFonts w:hint="eastAsia" w:ascii="仿宋_GB2312" w:hAnsi="仿宋_GB2312" w:eastAsia="仿宋_GB2312" w:cs="仿宋_GB2312"/>
          <w:sz w:val="32"/>
          <w:szCs w:val="32"/>
          <w:lang w:val="en-US" w:eastAsia="zh-CN"/>
        </w:rPr>
        <w:fldChar w:fldCharType="end"/>
      </w:r>
      <w:r>
        <w:rPr>
          <w:rFonts w:hint="eastAsia" w:ascii="仿宋_GB2312" w:hAnsi="仿宋_GB2312" w:eastAsia="仿宋_GB2312" w:cs="仿宋_GB2312"/>
          <w:sz w:val="32"/>
          <w:szCs w:val="32"/>
          <w:lang w:val="en-US" w:eastAsia="zh-CN"/>
        </w:rPr>
        <w:t>该项目的实施，必然贯彻最新的施工技术和理念，为本地区其他项目的建设提供可靠的技术支持和经验传递。而且随着本项目的投入和运营，使本地区的投资吸引力大为提升，很多行业的介入和外来企业的进壁将促进本地区在技术方面的进步，从而更好地服务于社会经济的发展。</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（2）经济效益：该项目的建设对盐池县城北的发展必将产生积极的影响，包括对文化教育、社会安全与稳定、民族关系、人民生活（生活资料供应、出行等）、技术进步等影响，对于促进地区经济、国民经济和</w:t>
      </w:r>
      <w:bookmarkStart w:id="0" w:name="_GoBack"/>
      <w:bookmarkEnd w:id="0"/>
      <w:r>
        <w:rPr>
          <w:rFonts w:hint="eastAsia" w:ascii="仿宋_GB2312" w:hAnsi="仿宋_GB2312" w:eastAsia="仿宋_GB2312" w:cs="仿宋_GB2312"/>
          <w:sz w:val="32"/>
          <w:szCs w:val="32"/>
          <w:lang w:val="en-US" w:eastAsia="zh-CN"/>
        </w:rPr>
        <w:t>行业的发展，提高就业效益、国土开发效益、节约能源效益和自然资源综合利用效益等会起到极大的推动作用。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（3）生态效益：2021年革命老区转移支付项目将极大地完善城区的想象，</w:t>
      </w:r>
      <w:r>
        <w:rPr>
          <w:rFonts w:hint="eastAsia" w:ascii="仿宋_GB2312" w:hAnsi="仿宋_GB2312" w:eastAsia="仿宋_GB2312" w:cs="仿宋_GB2312"/>
          <w:sz w:val="32"/>
          <w:szCs w:val="32"/>
          <w:lang w:eastAsia="zh-CN"/>
        </w:rPr>
        <w:t>通过路容路貌整治建设，无乱堆乱放现象，路况得到明显改善，</w:t>
      </w:r>
      <w:r>
        <w:rPr>
          <w:rFonts w:hint="eastAsia" w:ascii="仿宋_GB2312" w:hAnsi="仿宋_GB2312" w:eastAsia="仿宋_GB2312" w:cs="仿宋_GB2312"/>
          <w:sz w:val="32"/>
          <w:szCs w:val="32"/>
          <w:lang w:val="en-US" w:eastAsia="zh-CN"/>
        </w:rPr>
        <w:t>道路与照明等附属设施的建设也将有效的提高城镇环境、生态质量，为居民创建优美、健康、整洁的生态空间。</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（4）可持续影响：</w:t>
      </w:r>
      <w:r>
        <w:rPr>
          <w:rFonts w:hint="eastAsia" w:ascii="仿宋_GB2312" w:hAnsi="仿宋_GB2312" w:eastAsia="仿宋_GB2312" w:cs="仿宋_GB2312"/>
          <w:sz w:val="32"/>
          <w:szCs w:val="32"/>
          <w:lang w:eastAsia="zh-CN"/>
        </w:rPr>
        <w:t>本项目建设形态凸显本地特色，与周边景区和谐统一，充分体现了地域文化，对形象展示及区域影响力提升等方面有重要的意义，对于改善城市景观环境、提高人民群众生活质量、促进城市的可持续发展具有重要作用。</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3、满意度指标完成情况分析</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自2021年以来，我单位对全部项目实施和整体社会效益及满意度等各项指标调查，基本情况是群众对项目实施满意度达90%。项目社会效益和经济效益明显，达到了预期效果。</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三、偏离绩效目标的原因和下一步改进措施</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2021年革命老区转移支付项目资金（二标段）2021年度目标全部完成实施，均达到了绩效目标。</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下一步改进措施：</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严格依照《宁夏回族自治区招标投标管理办法》招标范围的相关要求，进行公开、公平、公正的招投标程序，给予各承包方同等竞争机会，选取具有资质的中标单位开展项目，实行市场化运作，规范政府采购程序，统一管理。</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加强档案管理，通过对档案资料按照文件类、合同类、施工资料等分类、统一管理，进一步完善管理制度并严格执行。</w:t>
      </w:r>
    </w:p>
    <w:p>
      <w:pPr>
        <w:keepNext w:val="0"/>
        <w:keepLines w:val="0"/>
        <w:pageBreakBefore w:val="0"/>
        <w:widowControl w:val="0"/>
        <w:numPr>
          <w:ilvl w:val="0"/>
          <w:numId w:val="1"/>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项目完工后，应加强交通管理措施及宣传力度，坚持以人为本的原则。人、车各行其道，并设置必要的标志和标线，保证行人的安全，为盐池县的建设和发展创造一个良好的交通环境。</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四、绩效自评结果拟应用和公开情况</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（一）根据项目绩效自评表将项目目标进行量化评价，发现项目实施中的不足。该项目自评指标得分95分。</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（二）项目主管部门将对绩效自评结果进行抽查，将绩效自评结果与下一年度项目预算联系，作为以后年度项目立项和经费支持的重要依据。</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（三）项目主管部门将按照财政部门的统一要求，对绩效评价情况予以公开。</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黑体" w:hAnsi="黑体" w:eastAsia="黑体" w:cs="黑体"/>
          <w:sz w:val="32"/>
          <w:szCs w:val="32"/>
          <w:lang w:eastAsia="zh-CN"/>
        </w:rPr>
      </w:pPr>
      <w:r>
        <w:rPr>
          <w:rFonts w:hint="eastAsia" w:ascii="黑体" w:hAnsi="黑体" w:eastAsia="黑体" w:cs="黑体"/>
          <w:sz w:val="32"/>
          <w:szCs w:val="32"/>
          <w:lang w:eastAsia="zh-CN"/>
        </w:rPr>
        <w:t>五、其他需要说明的问题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该项目无需要说明的其他问题。</w:t>
      </w:r>
    </w:p>
    <w:p>
      <w:pPr>
        <w:keepNext w:val="0"/>
        <w:keepLines w:val="0"/>
        <w:pageBreakBefore w:val="0"/>
        <w:widowControl w:val="0"/>
        <w:numPr>
          <w:ilvl w:val="0"/>
          <w:numId w:val="0"/>
        </w:numPr>
        <w:kinsoku/>
        <w:wordWrap/>
        <w:overflowPunct/>
        <w:topLinePunct w:val="0"/>
        <w:autoSpaceDE/>
        <w:autoSpaceDN/>
        <w:bidi w:val="0"/>
        <w:adjustRightInd/>
        <w:snapToGrid/>
        <w:spacing w:line="240" w:lineRule="auto"/>
        <w:ind w:left="0" w:leftChars="0" w:firstLine="640" w:firstLineChars="200"/>
        <w:jc w:val="both"/>
        <w:textAlignment w:val="auto"/>
        <w:rPr>
          <w:rFonts w:hint="eastAsia" w:ascii="仿宋_GB2312" w:hAnsi="仿宋_GB2312" w:eastAsia="仿宋_GB2312" w:cs="仿宋_GB2312"/>
          <w:sz w:val="32"/>
          <w:szCs w:val="32"/>
          <w:lang w:val="en-US" w:eastAsia="zh-CN"/>
        </w:rPr>
      </w:pPr>
    </w:p>
    <w:sectPr>
      <w:footerReference r:id="rId3" w:type="default"/>
      <w:pgSz w:w="11906" w:h="16838"/>
      <w:pgMar w:top="1440" w:right="1689" w:bottom="1440" w:left="1689"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w:panose1 w:val="02040503050406030204"/>
    <w:charset w:val="00"/>
    <w:family w:val="roman"/>
    <w:pitch w:val="default"/>
    <w:sig w:usb0="E00002FF" w:usb1="400004FF" w:usb2="00000000" w:usb3="00000000" w:csb0="2000019F" w:csb1="00000000"/>
  </w:font>
  <w:font w:name="方正小标宋简体">
    <w:altName w:val="微软雅黑"/>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0" w:leftChars="0" w:firstLine="0" w:firstLineChars="0"/>
      <w:jc w:val="both"/>
    </w:pPr>
    <w:r>
      <w:rPr>
        <w:sz w:val="18"/>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rPr>
                              <w:rFonts w:hint="eastAsia" w:ascii="仿宋" w:hAnsi="仿宋" w:eastAsia="仿宋" w:cs="仿宋"/>
                              <w:sz w:val="22"/>
                              <w:szCs w:val="22"/>
                              <w:lang w:eastAsia="zh-CN"/>
                            </w:rPr>
                          </w:pPr>
                          <w:r>
                            <w:rPr>
                              <w:rFonts w:hint="eastAsia" w:ascii="仿宋" w:hAnsi="仿宋" w:eastAsia="仿宋" w:cs="仿宋"/>
                              <w:sz w:val="22"/>
                              <w:szCs w:val="22"/>
                              <w:lang w:eastAsia="zh-CN"/>
                            </w:rPr>
                            <w:fldChar w:fldCharType="begin"/>
                          </w:r>
                          <w:r>
                            <w:rPr>
                              <w:rFonts w:hint="eastAsia" w:ascii="仿宋" w:hAnsi="仿宋" w:eastAsia="仿宋" w:cs="仿宋"/>
                              <w:sz w:val="22"/>
                              <w:szCs w:val="22"/>
                              <w:lang w:eastAsia="zh-CN"/>
                            </w:rPr>
                            <w:instrText xml:space="preserve"> PAGE  \* MERGEFORMAT </w:instrText>
                          </w:r>
                          <w:r>
                            <w:rPr>
                              <w:rFonts w:hint="eastAsia" w:ascii="仿宋" w:hAnsi="仿宋" w:eastAsia="仿宋" w:cs="仿宋"/>
                              <w:sz w:val="22"/>
                              <w:szCs w:val="22"/>
                              <w:lang w:eastAsia="zh-CN"/>
                            </w:rPr>
                            <w:fldChar w:fldCharType="separate"/>
                          </w:r>
                          <w:r>
                            <w:rPr>
                              <w:rFonts w:hint="eastAsia" w:ascii="仿宋" w:hAnsi="仿宋" w:eastAsia="仿宋" w:cs="仿宋"/>
                              <w:sz w:val="22"/>
                              <w:szCs w:val="22"/>
                              <w:lang w:eastAsia="zh-CN"/>
                            </w:rPr>
                            <w:t>1</w:t>
                          </w:r>
                          <w:r>
                            <w:rPr>
                              <w:rFonts w:hint="eastAsia" w:ascii="仿宋" w:hAnsi="仿宋" w:eastAsia="仿宋" w:cs="仿宋"/>
                              <w:sz w:val="22"/>
                              <w:szCs w:val="22"/>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EhxuIyAgAAYw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ESHG4jICAABjBAAADgAAAAAAAAABACAAAAAfAQAAZHJzL2Uyb0RvYy54bWxQSwUG&#10;AAAAAAYABgBZAQAAwwUAAAAA&#10;">
              <v:fill on="f" focussize="0,0"/>
              <v:stroke on="f" weight="0.5pt"/>
              <v:imagedata o:title=""/>
              <o:lock v:ext="edit" aspectratio="f"/>
              <v:textbox inset="0mm,0mm,0mm,0mm" style="mso-fit-shape-to-text:t;">
                <w:txbxContent>
                  <w:p>
                    <w:pPr>
                      <w:pStyle w:val="3"/>
                      <w:rPr>
                        <w:rFonts w:hint="eastAsia" w:ascii="仿宋" w:hAnsi="仿宋" w:eastAsia="仿宋" w:cs="仿宋"/>
                        <w:sz w:val="22"/>
                        <w:szCs w:val="22"/>
                        <w:lang w:eastAsia="zh-CN"/>
                      </w:rPr>
                    </w:pPr>
                    <w:r>
                      <w:rPr>
                        <w:rFonts w:hint="eastAsia" w:ascii="仿宋" w:hAnsi="仿宋" w:eastAsia="仿宋" w:cs="仿宋"/>
                        <w:sz w:val="22"/>
                        <w:szCs w:val="22"/>
                        <w:lang w:eastAsia="zh-CN"/>
                      </w:rPr>
                      <w:fldChar w:fldCharType="begin"/>
                    </w:r>
                    <w:r>
                      <w:rPr>
                        <w:rFonts w:hint="eastAsia" w:ascii="仿宋" w:hAnsi="仿宋" w:eastAsia="仿宋" w:cs="仿宋"/>
                        <w:sz w:val="22"/>
                        <w:szCs w:val="22"/>
                        <w:lang w:eastAsia="zh-CN"/>
                      </w:rPr>
                      <w:instrText xml:space="preserve"> PAGE  \* MERGEFORMAT </w:instrText>
                    </w:r>
                    <w:r>
                      <w:rPr>
                        <w:rFonts w:hint="eastAsia" w:ascii="仿宋" w:hAnsi="仿宋" w:eastAsia="仿宋" w:cs="仿宋"/>
                        <w:sz w:val="22"/>
                        <w:szCs w:val="22"/>
                        <w:lang w:eastAsia="zh-CN"/>
                      </w:rPr>
                      <w:fldChar w:fldCharType="separate"/>
                    </w:r>
                    <w:r>
                      <w:rPr>
                        <w:rFonts w:hint="eastAsia" w:ascii="仿宋" w:hAnsi="仿宋" w:eastAsia="仿宋" w:cs="仿宋"/>
                        <w:sz w:val="22"/>
                        <w:szCs w:val="22"/>
                        <w:lang w:eastAsia="zh-CN"/>
                      </w:rPr>
                      <w:t>1</w:t>
                    </w:r>
                    <w:r>
                      <w:rPr>
                        <w:rFonts w:hint="eastAsia" w:ascii="仿宋" w:hAnsi="仿宋" w:eastAsia="仿宋" w:cs="仿宋"/>
                        <w:sz w:val="22"/>
                        <w:szCs w:val="22"/>
                        <w:lang w:eastAsia="zh-CN"/>
                      </w:rPr>
                      <w:fldChar w:fldCharType="end"/>
                    </w:r>
                  </w:p>
                </w:txbxContent>
              </v:textbox>
            </v:shape>
          </w:pict>
        </mc:Fallback>
      </mc:AlternateContent>
    </w: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3"/>
                            <w:ind w:left="0" w:leftChars="0" w:firstLine="0" w:firstLineChars="0"/>
                            <w:jc w:val="both"/>
                            <w:rPr>
                              <w:rFonts w:hint="eastAsia" w:ascii="黑体" w:hAnsi="黑体" w:eastAsia="黑体" w:cs="黑体"/>
                              <w:sz w:val="24"/>
                              <w:szCs w:val="24"/>
                              <w:lang w:val="en-US" w:eastAsia="zh-CN"/>
                            </w:rPr>
                          </w:pP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Akgka0MQIAAGEEAAAOAAAAAAAAAAEAIAAAAB8BAABkcnMvZTJvRG9jLnhtbFBLBQYA&#10;AAAABgAGAFkBAADCBQAAAAA=&#10;">
              <v:fill on="f" focussize="0,0"/>
              <v:stroke on="f" weight="0.5pt"/>
              <v:imagedata o:title=""/>
              <o:lock v:ext="edit" aspectratio="f"/>
              <v:textbox inset="0mm,0mm,0mm,0mm" style="mso-fit-shape-to-text:t;">
                <w:txbxContent>
                  <w:p>
                    <w:pPr>
                      <w:pStyle w:val="3"/>
                      <w:ind w:left="0" w:leftChars="0" w:firstLine="0" w:firstLineChars="0"/>
                      <w:jc w:val="both"/>
                      <w:rPr>
                        <w:rFonts w:hint="eastAsia" w:ascii="黑体" w:hAnsi="黑体" w:eastAsia="黑体" w:cs="黑体"/>
                        <w:sz w:val="24"/>
                        <w:szCs w:val="24"/>
                        <w:lang w:val="en-US" w:eastAsia="zh-CN"/>
                      </w:rPr>
                    </w:pP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8EB3DD3"/>
    <w:multiLevelType w:val="singleLevel"/>
    <w:tmpl w:val="78EB3DD3"/>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EyMWEzZjcwMDc4NTNiZmUzY2VmNjBhNWE1ODI5YTAifQ=="/>
  </w:docVars>
  <w:rsids>
    <w:rsidRoot w:val="004D2AA7"/>
    <w:rsid w:val="00156D41"/>
    <w:rsid w:val="004D2AA7"/>
    <w:rsid w:val="00EF12BB"/>
    <w:rsid w:val="01476709"/>
    <w:rsid w:val="014F2DB1"/>
    <w:rsid w:val="01705F30"/>
    <w:rsid w:val="01DD0C0E"/>
    <w:rsid w:val="02BA29A2"/>
    <w:rsid w:val="03570490"/>
    <w:rsid w:val="041E24E3"/>
    <w:rsid w:val="052E1289"/>
    <w:rsid w:val="054B711F"/>
    <w:rsid w:val="056B0532"/>
    <w:rsid w:val="05EE1582"/>
    <w:rsid w:val="061037B9"/>
    <w:rsid w:val="072C6FDB"/>
    <w:rsid w:val="072E3447"/>
    <w:rsid w:val="07C122AA"/>
    <w:rsid w:val="082B10F4"/>
    <w:rsid w:val="08AD444C"/>
    <w:rsid w:val="09015EAD"/>
    <w:rsid w:val="095A2880"/>
    <w:rsid w:val="09723454"/>
    <w:rsid w:val="09A02799"/>
    <w:rsid w:val="09AC3916"/>
    <w:rsid w:val="0A355FD4"/>
    <w:rsid w:val="0A8C2CA0"/>
    <w:rsid w:val="0B3C7EEC"/>
    <w:rsid w:val="0B804783"/>
    <w:rsid w:val="0C3056A1"/>
    <w:rsid w:val="0E331EC0"/>
    <w:rsid w:val="0E754B96"/>
    <w:rsid w:val="0ED42023"/>
    <w:rsid w:val="0FEB48FF"/>
    <w:rsid w:val="10583BD6"/>
    <w:rsid w:val="105A1505"/>
    <w:rsid w:val="1066393F"/>
    <w:rsid w:val="117166C7"/>
    <w:rsid w:val="117A6FBC"/>
    <w:rsid w:val="1274516D"/>
    <w:rsid w:val="13F26608"/>
    <w:rsid w:val="13FC1F08"/>
    <w:rsid w:val="146F7312"/>
    <w:rsid w:val="14896E79"/>
    <w:rsid w:val="14C4499C"/>
    <w:rsid w:val="14EF42C1"/>
    <w:rsid w:val="152B6E66"/>
    <w:rsid w:val="16E54694"/>
    <w:rsid w:val="16F76538"/>
    <w:rsid w:val="17136AF0"/>
    <w:rsid w:val="174D447C"/>
    <w:rsid w:val="175D6B9B"/>
    <w:rsid w:val="17CF40C9"/>
    <w:rsid w:val="18EE211E"/>
    <w:rsid w:val="19217FBE"/>
    <w:rsid w:val="19AE5285"/>
    <w:rsid w:val="1A1D09EE"/>
    <w:rsid w:val="1A3E3AF7"/>
    <w:rsid w:val="1B8C5E59"/>
    <w:rsid w:val="1B965EE2"/>
    <w:rsid w:val="1C612191"/>
    <w:rsid w:val="1CA461FC"/>
    <w:rsid w:val="1CAA3CD9"/>
    <w:rsid w:val="1CE76BFD"/>
    <w:rsid w:val="1D2B521C"/>
    <w:rsid w:val="1DC274D0"/>
    <w:rsid w:val="1DF25307"/>
    <w:rsid w:val="1E4A4593"/>
    <w:rsid w:val="1E4E7908"/>
    <w:rsid w:val="1EAD6EE0"/>
    <w:rsid w:val="1EC3648C"/>
    <w:rsid w:val="1F890B97"/>
    <w:rsid w:val="201E4E88"/>
    <w:rsid w:val="20EF6725"/>
    <w:rsid w:val="214C7276"/>
    <w:rsid w:val="21743A03"/>
    <w:rsid w:val="227D3758"/>
    <w:rsid w:val="22C2273E"/>
    <w:rsid w:val="238713AA"/>
    <w:rsid w:val="242376F2"/>
    <w:rsid w:val="246B0D04"/>
    <w:rsid w:val="24BF4EBC"/>
    <w:rsid w:val="26A1499A"/>
    <w:rsid w:val="26BF2C26"/>
    <w:rsid w:val="289F72C1"/>
    <w:rsid w:val="28A54230"/>
    <w:rsid w:val="291148A3"/>
    <w:rsid w:val="2C2B3683"/>
    <w:rsid w:val="2CB22384"/>
    <w:rsid w:val="2D0B38EE"/>
    <w:rsid w:val="2D7D57E2"/>
    <w:rsid w:val="2E0C6550"/>
    <w:rsid w:val="2E7B0BF5"/>
    <w:rsid w:val="2F6418C4"/>
    <w:rsid w:val="31ED334A"/>
    <w:rsid w:val="31FB1041"/>
    <w:rsid w:val="324003E3"/>
    <w:rsid w:val="325A0656"/>
    <w:rsid w:val="329A0EE5"/>
    <w:rsid w:val="329B6B7E"/>
    <w:rsid w:val="32D5170C"/>
    <w:rsid w:val="33BA12DA"/>
    <w:rsid w:val="34BD6234"/>
    <w:rsid w:val="353F27FF"/>
    <w:rsid w:val="389F61F0"/>
    <w:rsid w:val="398165A3"/>
    <w:rsid w:val="39B57A61"/>
    <w:rsid w:val="3A1F160B"/>
    <w:rsid w:val="3A534962"/>
    <w:rsid w:val="3A571945"/>
    <w:rsid w:val="3AC3625D"/>
    <w:rsid w:val="3BE935A3"/>
    <w:rsid w:val="3C150741"/>
    <w:rsid w:val="3C686E8F"/>
    <w:rsid w:val="3CE01B09"/>
    <w:rsid w:val="3D7F0A50"/>
    <w:rsid w:val="3EA12676"/>
    <w:rsid w:val="3F2D010C"/>
    <w:rsid w:val="3F4473EE"/>
    <w:rsid w:val="40C275C9"/>
    <w:rsid w:val="41466C72"/>
    <w:rsid w:val="4157436B"/>
    <w:rsid w:val="432D1938"/>
    <w:rsid w:val="436F57BE"/>
    <w:rsid w:val="44105FA0"/>
    <w:rsid w:val="444B087F"/>
    <w:rsid w:val="44A83F9D"/>
    <w:rsid w:val="462677A8"/>
    <w:rsid w:val="474403C6"/>
    <w:rsid w:val="47A36D22"/>
    <w:rsid w:val="489F4B4F"/>
    <w:rsid w:val="48B64AC7"/>
    <w:rsid w:val="49D22C53"/>
    <w:rsid w:val="4A107EE4"/>
    <w:rsid w:val="4A9851F2"/>
    <w:rsid w:val="4B123432"/>
    <w:rsid w:val="4C6D1EC8"/>
    <w:rsid w:val="4E0114A6"/>
    <w:rsid w:val="4E134FEE"/>
    <w:rsid w:val="4E1877EB"/>
    <w:rsid w:val="4E377B00"/>
    <w:rsid w:val="4E3B3335"/>
    <w:rsid w:val="4E772EBB"/>
    <w:rsid w:val="4F025ADA"/>
    <w:rsid w:val="4FA60C94"/>
    <w:rsid w:val="4FB10340"/>
    <w:rsid w:val="4FFB1A68"/>
    <w:rsid w:val="50E56349"/>
    <w:rsid w:val="518F5A2D"/>
    <w:rsid w:val="522C7AD0"/>
    <w:rsid w:val="532F2C5C"/>
    <w:rsid w:val="534907B9"/>
    <w:rsid w:val="53995CC0"/>
    <w:rsid w:val="54BF5D2B"/>
    <w:rsid w:val="556D5C05"/>
    <w:rsid w:val="55CB4B7F"/>
    <w:rsid w:val="56E228E8"/>
    <w:rsid w:val="572B3EB7"/>
    <w:rsid w:val="57972EE6"/>
    <w:rsid w:val="584074D7"/>
    <w:rsid w:val="595D08BB"/>
    <w:rsid w:val="59A16E69"/>
    <w:rsid w:val="5A142F27"/>
    <w:rsid w:val="5BDB767F"/>
    <w:rsid w:val="5F45758F"/>
    <w:rsid w:val="60F278B2"/>
    <w:rsid w:val="62147E68"/>
    <w:rsid w:val="622D71A7"/>
    <w:rsid w:val="6259189D"/>
    <w:rsid w:val="6290038E"/>
    <w:rsid w:val="62A6123F"/>
    <w:rsid w:val="62CF1B72"/>
    <w:rsid w:val="62D52BBE"/>
    <w:rsid w:val="63054880"/>
    <w:rsid w:val="630C299B"/>
    <w:rsid w:val="63611007"/>
    <w:rsid w:val="63DD291B"/>
    <w:rsid w:val="64E77403"/>
    <w:rsid w:val="667565AD"/>
    <w:rsid w:val="69502CFB"/>
    <w:rsid w:val="69801B41"/>
    <w:rsid w:val="6A5C369C"/>
    <w:rsid w:val="6AFD0058"/>
    <w:rsid w:val="6B60424A"/>
    <w:rsid w:val="6C8D215F"/>
    <w:rsid w:val="6D925960"/>
    <w:rsid w:val="6D9A67DE"/>
    <w:rsid w:val="6DDB5C05"/>
    <w:rsid w:val="701E7C21"/>
    <w:rsid w:val="70BD037D"/>
    <w:rsid w:val="713D3C53"/>
    <w:rsid w:val="71E15476"/>
    <w:rsid w:val="71F0656A"/>
    <w:rsid w:val="7237430B"/>
    <w:rsid w:val="72C81A35"/>
    <w:rsid w:val="73125E10"/>
    <w:rsid w:val="738D438B"/>
    <w:rsid w:val="73C145D5"/>
    <w:rsid w:val="740E217D"/>
    <w:rsid w:val="743F6CEA"/>
    <w:rsid w:val="760468BE"/>
    <w:rsid w:val="765F3C2F"/>
    <w:rsid w:val="76936052"/>
    <w:rsid w:val="77C21B94"/>
    <w:rsid w:val="792F515C"/>
    <w:rsid w:val="79CA5CBF"/>
    <w:rsid w:val="7B1F54FC"/>
    <w:rsid w:val="7B3548A8"/>
    <w:rsid w:val="7DF35727"/>
    <w:rsid w:val="7E036FAF"/>
    <w:rsid w:val="7E753248"/>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7">
    <w:name w:val="Default Paragraph Font"/>
    <w:autoRedefine/>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keepNext w:val="0"/>
      <w:keepLines w:val="0"/>
      <w:pageBreakBefore w:val="0"/>
      <w:widowControl w:val="0"/>
      <w:suppressLineNumbers w:val="0"/>
      <w:pBdr>
        <w:top w:val="none" w:color="auto" w:sz="0" w:space="0"/>
        <w:left w:val="none" w:color="auto" w:sz="0" w:space="0"/>
        <w:bottom w:val="none" w:color="auto" w:sz="0" w:space="0"/>
        <w:right w:val="none" w:color="auto" w:sz="0" w:space="0"/>
      </w:pBdr>
      <w:suppressAutoHyphens w:val="0"/>
      <w:kinsoku/>
      <w:wordWrap/>
      <w:overflowPunct/>
      <w:topLinePunct w:val="0"/>
      <w:autoSpaceDE/>
      <w:autoSpaceDN/>
      <w:bidi w:val="0"/>
      <w:adjustRightInd/>
      <w:snapToGrid/>
      <w:spacing w:before="50" w:beforeLines="50" w:beforeAutospacing="0" w:after="60" w:afterAutospacing="0" w:line="240" w:lineRule="auto"/>
      <w:ind w:left="0" w:right="0" w:firstLine="200" w:firstLineChars="200"/>
      <w:jc w:val="center"/>
      <w:textAlignment w:val="auto"/>
      <w:outlineLvl w:val="0"/>
    </w:pPr>
    <w:rPr>
      <w:rFonts w:ascii="Cambria" w:hAnsi="Cambria" w:eastAsia="宋体" w:cs="Times New Roman"/>
      <w:b/>
      <w:bCs/>
      <w:snapToGrid/>
      <w:color w:val="auto"/>
      <w:spacing w:val="0"/>
      <w:w w:val="100"/>
      <w:kern w:val="2"/>
      <w:position w:val="0"/>
      <w:sz w:val="32"/>
      <w:szCs w:val="32"/>
      <w:u w:val="none" w:color="auto"/>
      <w:vertAlign w:val="baseline"/>
      <w:lang w:val="en-US" w:eastAsia="zh-CN" w:bidi="ar-SA"/>
    </w:rPr>
  </w:style>
  <w:style w:type="paragraph" w:styleId="3">
    <w:name w:val="footer"/>
    <w:basedOn w:val="1"/>
    <w:qFormat/>
    <w:uiPriority w:val="99"/>
    <w:pPr>
      <w:tabs>
        <w:tab w:val="center" w:pos="4153"/>
        <w:tab w:val="right" w:pos="8306"/>
      </w:tabs>
      <w:snapToGrid w:val="0"/>
    </w:pPr>
    <w:rPr>
      <w:rFonts w:ascii="Times New Roman" w:hAnsi="Times New Roman"/>
      <w:sz w:val="18"/>
      <w:szCs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FollowedHyperlink"/>
    <w:basedOn w:val="7"/>
    <w:qFormat/>
    <w:uiPriority w:val="0"/>
    <w:rPr>
      <w:color w:val="333333"/>
      <w:u w:val="none"/>
    </w:rPr>
  </w:style>
  <w:style w:type="character" w:styleId="10">
    <w:name w:val="Hyperlink"/>
    <w:basedOn w:val="7"/>
    <w:qFormat/>
    <w:uiPriority w:val="0"/>
    <w:rPr>
      <w:color w:val="333333"/>
      <w:u w:val="none"/>
    </w:rPr>
  </w:style>
  <w:style w:type="paragraph" w:customStyle="1" w:styleId="11">
    <w:name w:val="报告正文"/>
    <w:basedOn w:val="1"/>
    <w:qFormat/>
    <w:uiPriority w:val="0"/>
    <w:pPr>
      <w:ind w:firstLine="200" w:firstLineChars="200"/>
    </w:pPr>
    <w:rPr>
      <w:rFonts w:ascii="Times New Roman" w:hAnsi="Times New Roman"/>
      <w:kern w:val="0"/>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Pages>
  <Words>2845</Words>
  <Characters>3013</Characters>
  <Lines>0</Lines>
  <Paragraphs>0</Paragraphs>
  <TotalTime>6</TotalTime>
  <ScaleCrop>false</ScaleCrop>
  <LinksUpToDate>false</LinksUpToDate>
  <CharactersWithSpaces>3013</CharactersWithSpaces>
  <Application>WPS Office_12.1.0.16388_F1E327BC-269C-435d-A152-05C5408002CA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2020-06-15T09:39:00Z</dcterms:created>
  <dc:creator>Administrator</dc:creator>
  <cp:lastModifiedBy>Administrator</cp:lastModifiedBy>
  <cp:lastPrinted>2020-07-17T01:52:00Z</cp:lastPrinted>
  <dcterms:modified xsi:type="dcterms:W3CDTF">2024-03-11T01:13:25Z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2052-12.1.0.16388</vt:lpwstr>
  </property>
  <property fmtid="{D5CDD505-2E9C-101B-9397-08002B2CF9AE}" pid="3" name="ICV">
    <vt:lpwstr>DF401E31418749E0915325FB29DFAD63</vt:lpwstr>
  </property>
</Properties>
</file>