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宋体"/>
          <w:bCs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  <w:t>宁夏盐池工业园区绿化项目</w:t>
      </w:r>
      <w:r>
        <w:rPr>
          <w:rFonts w:hint="eastAsia" w:ascii="方正小标宋简体" w:hAnsi="宋体" w:eastAsia="方正小标宋简体" w:cs="宋体"/>
          <w:bCs/>
          <w:spacing w:val="-20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  <w:t>绩效自评报告</w:t>
      </w:r>
    </w:p>
    <w:p>
      <w:pPr>
        <w:rPr>
          <w:rFonts w:ascii="仿宋_GB2312" w:hAnsi="宋体" w:eastAsia="仿宋_GB2312" w:cs="宋体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line="570" w:lineRule="exact"/>
        <w:ind w:firstLineChars="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绩效目标批复下达情况</w:t>
      </w:r>
    </w:p>
    <w:p>
      <w:pPr>
        <w:pStyle w:val="11"/>
        <w:numPr>
          <w:ilvl w:val="0"/>
          <w:numId w:val="2"/>
        </w:numPr>
        <w:spacing w:line="570" w:lineRule="exact"/>
        <w:ind w:firstLineChars="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宁夏盐池工业园区绿化项目由《盐池县审批服务</w:t>
      </w:r>
    </w:p>
    <w:p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管理局关于〈宁夏盐池工业园区绿化项目初步设计〉的批复（盐审服管发〔2022〕78号）》同意建设，项目资金预算1495.02万元，绩效目标为：</w:t>
      </w:r>
      <w:r>
        <w:rPr>
          <w:rFonts w:hint="eastAsia" w:eastAsia="仿宋_GB2312"/>
          <w:sz w:val="32"/>
          <w:szCs w:val="32"/>
        </w:rPr>
        <w:t>设计绿化面积为1552.5亩，及土方工程、灌溉工程、水泥砖铺装等内容。</w:t>
      </w:r>
    </w:p>
    <w:p>
      <w:pPr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（二）年度中由县级资金安排下达宁夏盐池工业园区绿化项目资金预算1300万元，绩效目标为：</w:t>
      </w:r>
      <w:r>
        <w:rPr>
          <w:rFonts w:hint="eastAsia" w:eastAsia="仿宋_GB2312"/>
          <w:sz w:val="32"/>
          <w:szCs w:val="32"/>
        </w:rPr>
        <w:t>完成绿化面积为1552.5亩，及土方工程、灌溉工程、水泥砖铺装等内容。</w:t>
      </w:r>
    </w:p>
    <w:p>
      <w:pPr>
        <w:spacing w:line="570" w:lineRule="exact"/>
        <w:ind w:firstLine="643" w:firstLineChars="200"/>
        <w:rPr>
          <w:rFonts w:ascii="仿宋_GB2312" w:hAnsi="宋体" w:eastAsia="仿宋_GB2312" w:cs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sz w:val="32"/>
          <w:szCs w:val="32"/>
        </w:rPr>
        <w:t>二、绩效目标完成情况分析</w:t>
      </w:r>
    </w:p>
    <w:p>
      <w:pPr>
        <w:spacing w:line="57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资金投入情况分析</w:t>
      </w:r>
    </w:p>
    <w:p>
      <w:pPr>
        <w:spacing w:line="57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分析。该项目预算资金1495.02万元，由《盐池县财政局关于下达2021年地方政府新增一般债券资金（第二批）预算指标的通知（盐财（预）指标〔2021〕457号》下达资金指标1300万元，实际到位1300万元，资金到位率86.93%。</w:t>
      </w:r>
    </w:p>
    <w:p>
      <w:pPr>
        <w:spacing w:line="57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2、项目资金执行情况分析。该项目养护期为三年，项目资金分三年按比例支付，第一年已完成资金支付576.5万元。   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3、项目资金管理情况分析。针对本项目资金，我委严格按照内控制度等有关规定的资金管理制度进行管理，资金使用规范，资金的支付有完整的审批程序，经委务会议集体决策、相关领导签字审批</w:t>
      </w:r>
      <w:r>
        <w:rPr>
          <w:rFonts w:ascii="仿宋_GB2312" w:eastAsia="仿宋_GB2312"/>
          <w:sz w:val="32"/>
          <w:szCs w:val="32"/>
        </w:rPr>
        <w:t>、相关财务人员审核无误后予以支付。能够做到专款专用，无</w:t>
      </w:r>
      <w:r>
        <w:rPr>
          <w:rFonts w:hint="eastAsia" w:ascii="仿宋_GB2312" w:eastAsia="仿宋_GB2312"/>
          <w:sz w:val="32"/>
          <w:szCs w:val="32"/>
        </w:rPr>
        <w:t>截留、挤占、挪用、虚列支出等情况。会计核算准确、账务资料完整。</w:t>
      </w:r>
    </w:p>
    <w:p>
      <w:pPr>
        <w:spacing w:line="570" w:lineRule="exact"/>
        <w:ind w:firstLine="643" w:firstLineChars="200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绩效目标完成情况分析</w:t>
      </w:r>
    </w:p>
    <w:p>
      <w:pPr>
        <w:spacing w:line="57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1、产出指标完成情况分析</w:t>
      </w:r>
    </w:p>
    <w:p>
      <w:pPr>
        <w:spacing w:line="57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（1）数量指标。完成</w:t>
      </w:r>
      <w:r>
        <w:rPr>
          <w:rFonts w:hint="eastAsia" w:eastAsia="仿宋_GB2312"/>
          <w:sz w:val="32"/>
          <w:szCs w:val="32"/>
        </w:rPr>
        <w:t>绿化面积1552.5亩。</w:t>
      </w:r>
    </w:p>
    <w:p>
      <w:pPr>
        <w:spacing w:line="57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（2）质量指标。2022年验收成活率为85%，未达到成活率标准，2023、2024年补植补造，直至2024年养护期满后苗木成活率须达到90%。</w:t>
      </w:r>
    </w:p>
    <w:p>
      <w:pPr>
        <w:spacing w:line="57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（3）时效指标。该项目批复建设期限为2022年3月—2022年10月，实际完成时间为2022年5月。</w:t>
      </w:r>
    </w:p>
    <w:p>
      <w:pPr>
        <w:spacing w:line="57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（4）成本指标。项目资金预算1495.02万元，</w:t>
      </w:r>
      <w:r>
        <w:rPr>
          <w:rFonts w:hint="eastAsia" w:ascii="仿宋_GB2312" w:eastAsia="仿宋_GB2312"/>
          <w:sz w:val="32"/>
          <w:szCs w:val="32"/>
        </w:rPr>
        <w:t>资金分三年按比例支付，第一年已完成资金支付576.5万元。</w:t>
      </w:r>
    </w:p>
    <w:p>
      <w:pPr>
        <w:spacing w:line="57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2、效益指标完成情况分析</w:t>
      </w:r>
    </w:p>
    <w:p>
      <w:pPr>
        <w:spacing w:line="57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（1）经济效益。紧紧抓住大规模国土绿化战略，强化工业园区投资环境改造提升，把生态林业建设和经济发展有机结合起来。</w:t>
      </w:r>
      <w:r>
        <w:rPr>
          <w:rFonts w:ascii="仿宋_GB2312" w:eastAsia="仿宋_GB2312"/>
          <w:sz w:val="32"/>
          <w:szCs w:val="32"/>
        </w:rPr>
        <w:t>工业园区是一种随着经济发展而产生的特殊空间类型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是为了在对内对外的经济活动中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实现特定的经济目标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而在特定范围内开辟的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实施特殊的经济政策和特殊的经济管理</w:t>
      </w:r>
      <w:r>
        <w:rPr>
          <w:rFonts w:hint="eastAsia" w:ascii="仿宋_GB2312" w:eastAsia="仿宋_GB2312"/>
          <w:sz w:val="32"/>
          <w:szCs w:val="32"/>
        </w:rPr>
        <w:t>体质的经济性区域。工业园区的生态环境是社会公众对当地政府投资环境、整体印象、感受与评价，是对园区综合环境的集中反映。通过此次绿化设计，有效提升工业园区的生态体系，极大促进工业园区经济的全面发展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社会效益。该项目设计将以生态景观建设为主导，打造集生态性、景观性、功能性于一体的天然绿色屏障，最终达到即兼具美化、彩化的作用，又保护和清洁的作用。植物选择根据每个园区现状地形地貌、土质条件，因地制宜、适地适树，以可持续发展为主线，力求达到达到好看、好管、好活的长期景观效果。塑造“现代化、生态化、人性化、科技化”的工业园区新形象。不同的道路上种植品种多样的树木，形成工业园区道路骨架体系，打造“一路一树，一街一景”。把三个区块建设成为空气清新、生态良好、环境优美、人与自然和谐的生态绿色工业园区，实现整个工业园区“园区园林化、道路林荫化、节点景观化、企业花园化”的“四化”发展目标。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（3）生态效益。</w:t>
      </w:r>
      <w:r>
        <w:rPr>
          <w:rFonts w:ascii="仿宋_GB2312" w:hAnsi="宋体" w:eastAsia="仿宋_GB2312" w:cs="宋体"/>
          <w:bCs/>
          <w:sz w:val="32"/>
          <w:szCs w:val="32"/>
        </w:rPr>
        <w:t>该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项目</w:t>
      </w:r>
      <w:r>
        <w:rPr>
          <w:rFonts w:ascii="仿宋_GB2312" w:hAnsi="宋体" w:eastAsia="仿宋_GB2312" w:cs="宋体"/>
          <w:bCs/>
          <w:sz w:val="32"/>
          <w:szCs w:val="32"/>
        </w:rPr>
        <w:t>不仅改善</w:t>
      </w:r>
      <w:r>
        <w:rPr>
          <w:rFonts w:hint="eastAsia" w:ascii="仿宋_GB2312" w:hAnsi="宋体" w:eastAsia="仿宋_GB2312" w:cs="宋体"/>
          <w:bCs/>
          <w:sz w:val="32"/>
          <w:szCs w:val="32"/>
        </w:rPr>
        <w:t>盐池</w:t>
      </w:r>
      <w:r>
        <w:rPr>
          <w:rFonts w:ascii="仿宋_GB2312" w:hAnsi="宋体" w:eastAsia="仿宋_GB2312" w:cs="宋体"/>
          <w:bCs/>
          <w:sz w:val="32"/>
          <w:szCs w:val="32"/>
        </w:rPr>
        <w:t>工业园区生态环境，还可以增加规划区的植被覆盖度，而且有效防治土地沙化和水土流失，净化空气、维护生物多样性，具有良好的综合生态效益。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（4）可持续影响。</w:t>
      </w:r>
      <w:r>
        <w:rPr>
          <w:rFonts w:ascii="仿宋_GB2312" w:hAnsi="宋体" w:eastAsia="仿宋_GB2312" w:cs="宋体"/>
          <w:bCs/>
          <w:sz w:val="32"/>
          <w:szCs w:val="32"/>
        </w:rPr>
        <w:t>以习近平生态文明建设思想为指导，以践行“绿水青山就是金山银山”为总要求，按照自治区“十四五”国土绿化和湿地保护修复规划和盐池县自然资源局关于报送2022年国土绿化需求部署要求，多途径、多方式增加改造提升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工业园区</w:t>
      </w:r>
      <w:r>
        <w:rPr>
          <w:rFonts w:ascii="仿宋_GB2312" w:hAnsi="宋体" w:eastAsia="仿宋_GB2312" w:cs="宋体"/>
          <w:bCs/>
          <w:sz w:val="32"/>
          <w:szCs w:val="32"/>
        </w:rPr>
        <w:t>的绿色资源总量，为</w:t>
      </w:r>
      <w:r>
        <w:rPr>
          <w:rFonts w:hint="eastAsia" w:ascii="仿宋_GB2312" w:hAnsi="宋体" w:eastAsia="仿宋_GB2312" w:cs="宋体"/>
          <w:bCs/>
          <w:sz w:val="32"/>
          <w:szCs w:val="32"/>
        </w:rPr>
        <w:t>盐池</w:t>
      </w:r>
      <w:r>
        <w:rPr>
          <w:rFonts w:ascii="仿宋_GB2312" w:hAnsi="宋体" w:eastAsia="仿宋_GB2312" w:cs="宋体"/>
          <w:bCs/>
          <w:sz w:val="32"/>
          <w:szCs w:val="32"/>
        </w:rPr>
        <w:t>工业园区可持续发展奠定坚实的生态基础。</w:t>
      </w:r>
    </w:p>
    <w:p>
      <w:pPr>
        <w:spacing w:line="570" w:lineRule="exact"/>
        <w:ind w:firstLine="640" w:firstLineChars="200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3、满意度指标完成情况分析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我委通过实地调研、企业座谈等形式，对项目实施后园区企业满意度进行了调查，调查结果为满意度90%以上。绩效设定分值为100分，经综合评定得分为95.4分，评定为优。</w:t>
      </w:r>
    </w:p>
    <w:p>
      <w:pPr>
        <w:spacing w:line="570" w:lineRule="exact"/>
        <w:ind w:firstLine="643" w:firstLineChars="200"/>
        <w:rPr>
          <w:rFonts w:ascii="仿宋_GB2312" w:hAnsi="宋体" w:eastAsia="仿宋_GB2312" w:cs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sz w:val="32"/>
          <w:szCs w:val="32"/>
        </w:rPr>
        <w:t>三、偏离绩效目标的原因和下一步改进措施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该项目按预期达到了设定的绩效目标，无偏离绩效目标的情况。</w:t>
      </w:r>
    </w:p>
    <w:p>
      <w:pPr>
        <w:spacing w:line="570" w:lineRule="exact"/>
        <w:ind w:firstLine="643" w:firstLineChars="200"/>
        <w:rPr>
          <w:rFonts w:ascii="仿宋_GB2312" w:hAnsi="宋体" w:eastAsia="仿宋_GB2312" w:cs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sz w:val="32"/>
          <w:szCs w:val="32"/>
        </w:rPr>
        <w:t>四、绩效自评结果拟应用和公开情况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（一）应用于本单位进行项目管理的自我评价，促进项目优化管理，作为下一年度部门预算编制参考依据；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（二）将绩效自评结果与下一年度项目预算联系，作为以后年度项目立项和经费支持的重要依据；</w:t>
      </w:r>
    </w:p>
    <w:p>
      <w:pPr>
        <w:spacing w:line="57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（三）项目主管部门按照财政部门的统一要求信息公，开展社会监督和结果认定工作。</w:t>
      </w:r>
    </w:p>
    <w:p>
      <w:pPr>
        <w:spacing w:line="570" w:lineRule="exact"/>
        <w:ind w:firstLine="643" w:firstLineChars="200"/>
        <w:rPr>
          <w:rFonts w:ascii="仿宋_GB2312" w:hAnsi="宋体" w:eastAsia="仿宋_GB2312" w:cs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sz w:val="32"/>
          <w:szCs w:val="32"/>
        </w:rPr>
        <w:t>五、其他需要说明的问题</w:t>
      </w:r>
    </w:p>
    <w:p>
      <w:pPr>
        <w:spacing w:line="570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该项目在实施督查过程中，未发现重大问题等其他需要说明的问题。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附件：项目支出绩效自评表 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宁夏盐池工业园区管理委员会</w:t>
      </w:r>
    </w:p>
    <w:p>
      <w:pPr>
        <w:ind w:firstLine="5120" w:firstLineChars="16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2023年4月1日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</w:pPr>
    </w:p>
    <w:sectPr>
      <w:footerReference r:id="rId3" w:type="default"/>
      <w:footerReference r:id="rId4" w:type="even"/>
      <w:pgSz w:w="11906" w:h="16838"/>
      <w:pgMar w:top="1871" w:right="1797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saCH2AAAAAkBAAAPAAAAAAAAAAEAIAAAACIAAABkcnMv&#10;ZG93bnJldi54bWxQSwECFAAUAAAACACHTuJAxib/68oBAACZAwAADgAAAAAAAAABACAAAAAnAQAA&#10;ZHJzL2Uyb0RvYy54bWxQSwUGAAAAAAYABgBZAQAAY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Style w:val="9"/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9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Style w:val="9"/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9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179"/>
    <w:multiLevelType w:val="multilevel"/>
    <w:tmpl w:val="23E66179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65E13A2"/>
    <w:multiLevelType w:val="multilevel"/>
    <w:tmpl w:val="265E13A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5YjlmMzU5YWM2YWNjZGVlZWFiZGQxY2I5NGYwNjMifQ=="/>
  </w:docVars>
  <w:rsids>
    <w:rsidRoot w:val="731219A4"/>
    <w:rsid w:val="00053DB5"/>
    <w:rsid w:val="00123A40"/>
    <w:rsid w:val="001903AF"/>
    <w:rsid w:val="001E1C70"/>
    <w:rsid w:val="00256754"/>
    <w:rsid w:val="003D5093"/>
    <w:rsid w:val="004920EB"/>
    <w:rsid w:val="005251E7"/>
    <w:rsid w:val="005347D2"/>
    <w:rsid w:val="005A4EDC"/>
    <w:rsid w:val="005B6126"/>
    <w:rsid w:val="006E50FC"/>
    <w:rsid w:val="00825153"/>
    <w:rsid w:val="00861DF3"/>
    <w:rsid w:val="00941A80"/>
    <w:rsid w:val="00AB7A64"/>
    <w:rsid w:val="00BF134F"/>
    <w:rsid w:val="00C77A12"/>
    <w:rsid w:val="00C91B68"/>
    <w:rsid w:val="00CD3AF7"/>
    <w:rsid w:val="00E40242"/>
    <w:rsid w:val="00ED30B7"/>
    <w:rsid w:val="00FB212A"/>
    <w:rsid w:val="00FE78B5"/>
    <w:rsid w:val="013A0DB1"/>
    <w:rsid w:val="01945110"/>
    <w:rsid w:val="020F7B7E"/>
    <w:rsid w:val="037800D1"/>
    <w:rsid w:val="05F74355"/>
    <w:rsid w:val="05F957BA"/>
    <w:rsid w:val="06842D46"/>
    <w:rsid w:val="071874D5"/>
    <w:rsid w:val="08A64255"/>
    <w:rsid w:val="095A5E85"/>
    <w:rsid w:val="097846E4"/>
    <w:rsid w:val="097C3D4B"/>
    <w:rsid w:val="0A5E13C9"/>
    <w:rsid w:val="0B264B74"/>
    <w:rsid w:val="0BBE627A"/>
    <w:rsid w:val="0C391812"/>
    <w:rsid w:val="0E370B89"/>
    <w:rsid w:val="0EB6617B"/>
    <w:rsid w:val="0ECD57F8"/>
    <w:rsid w:val="0EEA79A9"/>
    <w:rsid w:val="0EFA12B5"/>
    <w:rsid w:val="0FB104C7"/>
    <w:rsid w:val="106F0166"/>
    <w:rsid w:val="10797237"/>
    <w:rsid w:val="10B04A58"/>
    <w:rsid w:val="10B85FB1"/>
    <w:rsid w:val="12595CD7"/>
    <w:rsid w:val="12946BAA"/>
    <w:rsid w:val="129F412F"/>
    <w:rsid w:val="12A34319"/>
    <w:rsid w:val="142B0848"/>
    <w:rsid w:val="15312179"/>
    <w:rsid w:val="1582694A"/>
    <w:rsid w:val="15D951B4"/>
    <w:rsid w:val="164107F7"/>
    <w:rsid w:val="164275D4"/>
    <w:rsid w:val="16EA7BD4"/>
    <w:rsid w:val="170C2695"/>
    <w:rsid w:val="1787470C"/>
    <w:rsid w:val="1963464B"/>
    <w:rsid w:val="198A6011"/>
    <w:rsid w:val="1A552112"/>
    <w:rsid w:val="1B230273"/>
    <w:rsid w:val="1D0209C3"/>
    <w:rsid w:val="1EA65D01"/>
    <w:rsid w:val="1F8F130C"/>
    <w:rsid w:val="20144074"/>
    <w:rsid w:val="2043454C"/>
    <w:rsid w:val="208C5A42"/>
    <w:rsid w:val="20D41148"/>
    <w:rsid w:val="21392DF4"/>
    <w:rsid w:val="219F3CDF"/>
    <w:rsid w:val="2228286B"/>
    <w:rsid w:val="222C235B"/>
    <w:rsid w:val="22EE13BE"/>
    <w:rsid w:val="23103A2A"/>
    <w:rsid w:val="232272BA"/>
    <w:rsid w:val="23284A00"/>
    <w:rsid w:val="238F1B78"/>
    <w:rsid w:val="23C2167B"/>
    <w:rsid w:val="24082044"/>
    <w:rsid w:val="24987A51"/>
    <w:rsid w:val="24A74F2C"/>
    <w:rsid w:val="26C714B2"/>
    <w:rsid w:val="28E91D7B"/>
    <w:rsid w:val="294066EC"/>
    <w:rsid w:val="297B061E"/>
    <w:rsid w:val="2B623213"/>
    <w:rsid w:val="2C0D5453"/>
    <w:rsid w:val="2C146461"/>
    <w:rsid w:val="2C636846"/>
    <w:rsid w:val="2C7F564A"/>
    <w:rsid w:val="2D9C07B7"/>
    <w:rsid w:val="2E1900FA"/>
    <w:rsid w:val="2E3F51C4"/>
    <w:rsid w:val="2E8D66E7"/>
    <w:rsid w:val="2F7838CE"/>
    <w:rsid w:val="2F7C27D7"/>
    <w:rsid w:val="2FE328DD"/>
    <w:rsid w:val="30EC3582"/>
    <w:rsid w:val="30FD34B3"/>
    <w:rsid w:val="311A0BB0"/>
    <w:rsid w:val="322B0A92"/>
    <w:rsid w:val="32DD797E"/>
    <w:rsid w:val="33484B1B"/>
    <w:rsid w:val="36107451"/>
    <w:rsid w:val="36187BB5"/>
    <w:rsid w:val="376B3AB6"/>
    <w:rsid w:val="377821B1"/>
    <w:rsid w:val="37C5275A"/>
    <w:rsid w:val="38906EF8"/>
    <w:rsid w:val="3A0D43C8"/>
    <w:rsid w:val="3D4C5207"/>
    <w:rsid w:val="3D50334B"/>
    <w:rsid w:val="3F3E6DD2"/>
    <w:rsid w:val="3F6011B0"/>
    <w:rsid w:val="3F655DD7"/>
    <w:rsid w:val="3F93291A"/>
    <w:rsid w:val="3FA07A8C"/>
    <w:rsid w:val="403B4D83"/>
    <w:rsid w:val="405718FF"/>
    <w:rsid w:val="40B1798F"/>
    <w:rsid w:val="414E59C2"/>
    <w:rsid w:val="41810B95"/>
    <w:rsid w:val="418625DE"/>
    <w:rsid w:val="41870F04"/>
    <w:rsid w:val="42821243"/>
    <w:rsid w:val="433F747C"/>
    <w:rsid w:val="44703ED1"/>
    <w:rsid w:val="44AA351F"/>
    <w:rsid w:val="44C7417E"/>
    <w:rsid w:val="44EE2D42"/>
    <w:rsid w:val="45BB5ADA"/>
    <w:rsid w:val="45E43F65"/>
    <w:rsid w:val="4628508A"/>
    <w:rsid w:val="486B1E15"/>
    <w:rsid w:val="48A40E9F"/>
    <w:rsid w:val="4A745D9D"/>
    <w:rsid w:val="4A9106FD"/>
    <w:rsid w:val="4B68797B"/>
    <w:rsid w:val="4D096C71"/>
    <w:rsid w:val="4E386F08"/>
    <w:rsid w:val="4FFB28E6"/>
    <w:rsid w:val="50FE2DF4"/>
    <w:rsid w:val="51EC31B3"/>
    <w:rsid w:val="5208077B"/>
    <w:rsid w:val="529F3D5B"/>
    <w:rsid w:val="5390722B"/>
    <w:rsid w:val="549B7AEE"/>
    <w:rsid w:val="54DC4C6B"/>
    <w:rsid w:val="55B87A0F"/>
    <w:rsid w:val="563F0829"/>
    <w:rsid w:val="56544185"/>
    <w:rsid w:val="57DF1EF5"/>
    <w:rsid w:val="591C73C9"/>
    <w:rsid w:val="5A551E88"/>
    <w:rsid w:val="5A810B67"/>
    <w:rsid w:val="5AB346C0"/>
    <w:rsid w:val="5B295E9E"/>
    <w:rsid w:val="5BB46942"/>
    <w:rsid w:val="5EB16D0F"/>
    <w:rsid w:val="5F564AEC"/>
    <w:rsid w:val="600234CA"/>
    <w:rsid w:val="606F0F1E"/>
    <w:rsid w:val="613E0485"/>
    <w:rsid w:val="61435CBB"/>
    <w:rsid w:val="63443DB1"/>
    <w:rsid w:val="64666247"/>
    <w:rsid w:val="653140AA"/>
    <w:rsid w:val="65B04FE2"/>
    <w:rsid w:val="663716BC"/>
    <w:rsid w:val="66C97369"/>
    <w:rsid w:val="670F05EC"/>
    <w:rsid w:val="67AE2497"/>
    <w:rsid w:val="68051895"/>
    <w:rsid w:val="693D1977"/>
    <w:rsid w:val="696656C4"/>
    <w:rsid w:val="699C1747"/>
    <w:rsid w:val="69C139C5"/>
    <w:rsid w:val="6A8B23A9"/>
    <w:rsid w:val="6BA8358E"/>
    <w:rsid w:val="6BAE1C75"/>
    <w:rsid w:val="6BC537F2"/>
    <w:rsid w:val="6BF4397C"/>
    <w:rsid w:val="6BFF7765"/>
    <w:rsid w:val="6C1B28B0"/>
    <w:rsid w:val="6DBE3833"/>
    <w:rsid w:val="6E2D63F4"/>
    <w:rsid w:val="6E5A07F8"/>
    <w:rsid w:val="701437F7"/>
    <w:rsid w:val="71211E90"/>
    <w:rsid w:val="726348C4"/>
    <w:rsid w:val="727F028B"/>
    <w:rsid w:val="731219A4"/>
    <w:rsid w:val="7318735E"/>
    <w:rsid w:val="73E211B1"/>
    <w:rsid w:val="74894A36"/>
    <w:rsid w:val="7561030B"/>
    <w:rsid w:val="75BF7F65"/>
    <w:rsid w:val="782431E1"/>
    <w:rsid w:val="789B25C4"/>
    <w:rsid w:val="7961721F"/>
    <w:rsid w:val="7B2A7673"/>
    <w:rsid w:val="7B5E3E2C"/>
    <w:rsid w:val="7BE424D4"/>
    <w:rsid w:val="7E926217"/>
    <w:rsid w:val="7EB31782"/>
    <w:rsid w:val="C5DFA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288</Words>
  <Characters>1645</Characters>
  <Lines>13</Lines>
  <Paragraphs>3</Paragraphs>
  <TotalTime>1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2023-03-28T02:41:00Z</dcterms:created>
  <dc:creator>Erik19980313</dc:creator>
  <cp:lastModifiedBy>lenovo</cp:lastModifiedBy>
  <dcterms:modified xsi:type="dcterms:W3CDTF">2023-04-03T07:20:59Z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02096D51425A439C84ED1182227E9F24</vt:lpwstr>
  </property>
</Properties>
</file>