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bCs/>
          <w:sz w:val="44"/>
          <w:szCs w:val="44"/>
        </w:rPr>
      </w:pPr>
      <w:r>
        <w:rPr>
          <w:rFonts w:eastAsia="方正小标宋简体"/>
          <w:bCs/>
          <w:sz w:val="44"/>
          <w:szCs w:val="44"/>
        </w:rPr>
        <w:t>宁夏盐池工业园区区块二（高沙窝北）</w:t>
      </w:r>
    </w:p>
    <w:p>
      <w:pPr>
        <w:spacing w:line="600" w:lineRule="exact"/>
        <w:jc w:val="center"/>
        <w:rPr>
          <w:rFonts w:eastAsia="方正小标宋简体"/>
          <w:bCs/>
          <w:sz w:val="44"/>
          <w:szCs w:val="44"/>
        </w:rPr>
      </w:pPr>
      <w:r>
        <w:rPr>
          <w:rFonts w:eastAsia="方正小标宋简体"/>
          <w:bCs/>
          <w:sz w:val="44"/>
          <w:szCs w:val="44"/>
        </w:rPr>
        <w:t>纬六路道路及雨污管线改造工程</w:t>
      </w:r>
      <w:r>
        <w:rPr>
          <w:rFonts w:hint="eastAsia" w:eastAsia="方正小标宋简体"/>
          <w:bCs/>
          <w:sz w:val="44"/>
          <w:szCs w:val="44"/>
          <w:lang w:val="en-US" w:eastAsia="zh-CN"/>
        </w:rPr>
        <w:t>项目支出</w:t>
      </w:r>
      <w:r>
        <w:rPr>
          <w:rFonts w:eastAsia="方正小标宋简体"/>
          <w:bCs/>
          <w:sz w:val="44"/>
          <w:szCs w:val="44"/>
        </w:rPr>
        <w:t>绩效自评报告</w:t>
      </w:r>
    </w:p>
    <w:p>
      <w:pPr>
        <w:rPr>
          <w:rFonts w:eastAsia="仿宋_GB2312"/>
          <w:sz w:val="32"/>
          <w:szCs w:val="32"/>
        </w:rPr>
      </w:pPr>
    </w:p>
    <w:p>
      <w:pPr>
        <w:pStyle w:val="12"/>
        <w:numPr>
          <w:ilvl w:val="0"/>
          <w:numId w:val="1"/>
        </w:numPr>
        <w:spacing w:line="570" w:lineRule="exact"/>
        <w:ind w:firstLineChars="0"/>
        <w:rPr>
          <w:rFonts w:eastAsia="仿宋_GB2312"/>
          <w:b/>
          <w:bCs/>
          <w:sz w:val="32"/>
          <w:szCs w:val="32"/>
        </w:rPr>
      </w:pPr>
      <w:r>
        <w:rPr>
          <w:rFonts w:eastAsia="仿宋_GB2312"/>
          <w:b/>
          <w:bCs/>
          <w:sz w:val="32"/>
          <w:szCs w:val="32"/>
        </w:rPr>
        <w:t>绩效目标批复下达情况</w:t>
      </w:r>
    </w:p>
    <w:p>
      <w:pPr>
        <w:autoSpaceDE w:val="0"/>
        <w:autoSpaceDN w:val="0"/>
        <w:adjustRightInd w:val="0"/>
        <w:ind w:firstLine="640" w:firstLineChars="200"/>
        <w:jc w:val="left"/>
        <w:rPr>
          <w:rFonts w:eastAsia="仿宋_GB2312"/>
          <w:sz w:val="32"/>
          <w:szCs w:val="32"/>
        </w:rPr>
      </w:pPr>
      <w:r>
        <w:rPr>
          <w:rFonts w:eastAsia="仿宋_GB2312"/>
          <w:kern w:val="0"/>
          <w:sz w:val="32"/>
          <w:szCs w:val="32"/>
        </w:rPr>
        <w:t>宁夏盐池工业园区区块二（高沙窝北）纬六路道路及雨污管线改造工程</w:t>
      </w:r>
      <w:r>
        <w:rPr>
          <w:rFonts w:eastAsia="仿宋_GB2312"/>
          <w:bCs/>
          <w:sz w:val="32"/>
          <w:szCs w:val="32"/>
        </w:rPr>
        <w:t>由《盐池县审批服务管理局关于同意变更</w:t>
      </w:r>
      <w:r>
        <w:rPr>
          <w:rFonts w:eastAsia="仿宋_GB2312"/>
          <w:kern w:val="0"/>
          <w:sz w:val="32"/>
          <w:szCs w:val="32"/>
        </w:rPr>
        <w:t>宁夏盐池工业园区区块二（高沙窝北）纬六路道路及雨污管线改造工程</w:t>
      </w:r>
      <w:r>
        <w:rPr>
          <w:rFonts w:eastAsia="仿宋_GB2312"/>
          <w:bCs/>
          <w:sz w:val="32"/>
          <w:szCs w:val="32"/>
        </w:rPr>
        <w:t>建设内容的批复（盐审服管发〔2022〕289号）》同意建设，项目资金预算1391.06万元，绩效目标为：</w:t>
      </w:r>
      <w:r>
        <w:rPr>
          <w:rFonts w:eastAsia="仿宋_GB2312"/>
          <w:sz w:val="32"/>
          <w:szCs w:val="32"/>
        </w:rPr>
        <w:t>新建纬六路（郭巴线</w:t>
      </w:r>
      <w:r>
        <w:rPr>
          <w:rFonts w:eastAsiaTheme="minorEastAsia"/>
          <w:sz w:val="32"/>
          <w:szCs w:val="32"/>
        </w:rPr>
        <w:t>—</w:t>
      </w:r>
      <w:r>
        <w:rPr>
          <w:rFonts w:eastAsia="仿宋_GB2312"/>
          <w:sz w:val="32"/>
          <w:szCs w:val="32"/>
        </w:rPr>
        <w:t>经九路），道路长度1356.944米，道路红线宽20米，配套污水、雨水、照明等附属工程。</w:t>
      </w:r>
    </w:p>
    <w:p>
      <w:pPr>
        <w:autoSpaceDE w:val="0"/>
        <w:autoSpaceDN w:val="0"/>
        <w:adjustRightInd w:val="0"/>
        <w:ind w:firstLine="640" w:firstLineChars="200"/>
        <w:jc w:val="left"/>
        <w:rPr>
          <w:rFonts w:eastAsia="仿宋_GB2312"/>
          <w:sz w:val="32"/>
          <w:szCs w:val="32"/>
        </w:rPr>
      </w:pPr>
      <w:r>
        <w:rPr>
          <w:rFonts w:eastAsia="仿宋_GB2312"/>
          <w:bCs/>
          <w:sz w:val="32"/>
          <w:szCs w:val="32"/>
        </w:rPr>
        <w:t>（二）年度中由县级资金安排下达</w:t>
      </w:r>
      <w:r>
        <w:rPr>
          <w:rFonts w:eastAsia="仿宋_GB2312"/>
          <w:kern w:val="0"/>
          <w:sz w:val="32"/>
          <w:szCs w:val="32"/>
        </w:rPr>
        <w:t>宁夏盐池工业园区区块二（高沙窝北）纬六路道路及雨污管线改造工程</w:t>
      </w:r>
      <w:r>
        <w:rPr>
          <w:rFonts w:eastAsia="仿宋_GB2312"/>
          <w:bCs/>
          <w:sz w:val="32"/>
          <w:szCs w:val="32"/>
        </w:rPr>
        <w:t>资金预算</w:t>
      </w:r>
      <w:r>
        <w:rPr>
          <w:rFonts w:hint="eastAsia" w:eastAsia="仿宋_GB2312"/>
          <w:bCs/>
          <w:sz w:val="32"/>
          <w:szCs w:val="32"/>
        </w:rPr>
        <w:t>1100</w:t>
      </w:r>
      <w:r>
        <w:rPr>
          <w:rFonts w:eastAsia="仿宋_GB2312"/>
          <w:bCs/>
          <w:sz w:val="32"/>
          <w:szCs w:val="32"/>
        </w:rPr>
        <w:t>万元，绩效目标为：</w:t>
      </w:r>
      <w:r>
        <w:rPr>
          <w:rFonts w:eastAsia="仿宋_GB2312"/>
          <w:sz w:val="32"/>
          <w:szCs w:val="32"/>
        </w:rPr>
        <w:t>新建纬六路（郭巴线</w:t>
      </w:r>
      <w:r>
        <w:rPr>
          <w:rFonts w:eastAsiaTheme="minorEastAsia"/>
          <w:sz w:val="32"/>
          <w:szCs w:val="32"/>
        </w:rPr>
        <w:t>—</w:t>
      </w:r>
      <w:r>
        <w:rPr>
          <w:rFonts w:eastAsia="仿宋_GB2312"/>
          <w:sz w:val="32"/>
          <w:szCs w:val="32"/>
        </w:rPr>
        <w:t>经九路），道路长度1356.944米，道路红线宽20米，配套污水、雨水、照明等附属工程。</w:t>
      </w:r>
    </w:p>
    <w:p>
      <w:pPr>
        <w:spacing w:line="570" w:lineRule="exact"/>
        <w:ind w:firstLine="643" w:firstLineChars="200"/>
        <w:rPr>
          <w:rFonts w:eastAsia="仿宋_GB2312"/>
          <w:b/>
          <w:bCs w:val="0"/>
          <w:sz w:val="32"/>
          <w:szCs w:val="32"/>
        </w:rPr>
      </w:pPr>
      <w:r>
        <w:rPr>
          <w:rFonts w:eastAsia="仿宋_GB2312"/>
          <w:b/>
          <w:bCs w:val="0"/>
          <w:sz w:val="32"/>
          <w:szCs w:val="32"/>
        </w:rPr>
        <w:t>二、绩效目标完成情况分析</w:t>
      </w:r>
    </w:p>
    <w:p>
      <w:pPr>
        <w:spacing w:line="570" w:lineRule="exact"/>
        <w:ind w:firstLine="643" w:firstLineChars="200"/>
        <w:rPr>
          <w:rFonts w:eastAsia="仿宋_GB2312"/>
          <w:b/>
          <w:bCs/>
          <w:sz w:val="32"/>
          <w:szCs w:val="32"/>
        </w:rPr>
      </w:pPr>
      <w:r>
        <w:rPr>
          <w:rFonts w:hint="eastAsia" w:eastAsia="仿宋_GB2312"/>
          <w:b/>
          <w:bCs/>
          <w:sz w:val="32"/>
          <w:szCs w:val="32"/>
          <w:lang w:eastAsia="zh-CN"/>
        </w:rPr>
        <w:t>（</w:t>
      </w:r>
      <w:r>
        <w:rPr>
          <w:rFonts w:hint="eastAsia" w:eastAsia="仿宋_GB2312"/>
          <w:b/>
          <w:bCs/>
          <w:sz w:val="32"/>
          <w:szCs w:val="32"/>
          <w:lang w:val="en-US" w:eastAsia="zh-CN"/>
        </w:rPr>
        <w:t>一</w:t>
      </w:r>
      <w:r>
        <w:rPr>
          <w:rFonts w:hint="eastAsia" w:eastAsia="仿宋_GB2312"/>
          <w:b/>
          <w:bCs/>
          <w:sz w:val="32"/>
          <w:szCs w:val="32"/>
          <w:lang w:eastAsia="zh-CN"/>
        </w:rPr>
        <w:t>）</w:t>
      </w:r>
      <w:r>
        <w:rPr>
          <w:rFonts w:eastAsia="仿宋_GB2312"/>
          <w:b/>
          <w:bCs/>
          <w:sz w:val="32"/>
          <w:szCs w:val="32"/>
        </w:rPr>
        <w:t>资金投入情况分析</w:t>
      </w:r>
    </w:p>
    <w:p>
      <w:pPr>
        <w:spacing w:line="570" w:lineRule="exact"/>
        <w:ind w:firstLine="630"/>
        <w:rPr>
          <w:rFonts w:eastAsia="仿宋_GB2312"/>
          <w:sz w:val="32"/>
          <w:szCs w:val="32"/>
        </w:rPr>
      </w:pPr>
      <w:r>
        <w:rPr>
          <w:rFonts w:eastAsia="仿宋_GB2312"/>
          <w:sz w:val="32"/>
          <w:szCs w:val="32"/>
        </w:rPr>
        <w:t>1、项目资金到位情况分析。该项目预算资金</w:t>
      </w:r>
      <w:r>
        <w:rPr>
          <w:rFonts w:hint="eastAsia" w:eastAsia="仿宋_GB2312"/>
          <w:sz w:val="32"/>
          <w:szCs w:val="32"/>
        </w:rPr>
        <w:t>1391.06</w:t>
      </w:r>
      <w:r>
        <w:rPr>
          <w:rFonts w:eastAsia="仿宋_GB2312"/>
          <w:sz w:val="32"/>
          <w:szCs w:val="32"/>
        </w:rPr>
        <w:t>万元，由</w:t>
      </w:r>
      <w:r>
        <w:rPr>
          <w:rFonts w:hint="eastAsia" w:eastAsia="仿宋_GB2312"/>
          <w:sz w:val="32"/>
          <w:szCs w:val="32"/>
        </w:rPr>
        <w:t>盐池县财政局</w:t>
      </w:r>
      <w:r>
        <w:rPr>
          <w:rFonts w:eastAsia="仿宋_GB2312"/>
          <w:sz w:val="32"/>
          <w:szCs w:val="32"/>
        </w:rPr>
        <w:t>下达资金指标</w:t>
      </w:r>
      <w:r>
        <w:rPr>
          <w:rFonts w:hint="eastAsia" w:eastAsia="仿宋_GB2312"/>
          <w:sz w:val="32"/>
          <w:szCs w:val="32"/>
        </w:rPr>
        <w:t>1100</w:t>
      </w:r>
      <w:r>
        <w:rPr>
          <w:rFonts w:eastAsia="仿宋_GB2312"/>
          <w:sz w:val="32"/>
          <w:szCs w:val="32"/>
        </w:rPr>
        <w:t>万元，实际到位</w:t>
      </w:r>
      <w:r>
        <w:rPr>
          <w:rFonts w:hint="eastAsia" w:eastAsia="仿宋_GB2312"/>
          <w:sz w:val="32"/>
          <w:szCs w:val="32"/>
        </w:rPr>
        <w:t>1100</w:t>
      </w:r>
      <w:r>
        <w:rPr>
          <w:rFonts w:eastAsia="仿宋_GB2312"/>
          <w:sz w:val="32"/>
          <w:szCs w:val="32"/>
        </w:rPr>
        <w:t>万元，资金到位率</w:t>
      </w:r>
      <w:r>
        <w:rPr>
          <w:rFonts w:hint="eastAsia" w:eastAsia="仿宋_GB2312"/>
          <w:sz w:val="32"/>
          <w:szCs w:val="32"/>
        </w:rPr>
        <w:t>79.08</w:t>
      </w:r>
      <w:r>
        <w:rPr>
          <w:rFonts w:eastAsia="仿宋_GB2312"/>
          <w:sz w:val="32"/>
          <w:szCs w:val="32"/>
        </w:rPr>
        <w:t>%。</w:t>
      </w:r>
    </w:p>
    <w:p>
      <w:pPr>
        <w:spacing w:line="570" w:lineRule="exact"/>
        <w:ind w:firstLine="630"/>
        <w:rPr>
          <w:rFonts w:eastAsia="仿宋_GB2312"/>
          <w:sz w:val="32"/>
          <w:szCs w:val="32"/>
        </w:rPr>
      </w:pPr>
      <w:r>
        <w:rPr>
          <w:rFonts w:eastAsia="仿宋_GB2312"/>
          <w:sz w:val="32"/>
          <w:szCs w:val="32"/>
        </w:rPr>
        <w:t>2、项目资金执行情况分析。该项目资金预算</w:t>
      </w:r>
      <w:r>
        <w:rPr>
          <w:rFonts w:hint="eastAsia" w:eastAsia="仿宋_GB2312"/>
          <w:sz w:val="32"/>
          <w:szCs w:val="32"/>
        </w:rPr>
        <w:t>1391.06</w:t>
      </w:r>
      <w:r>
        <w:rPr>
          <w:rFonts w:eastAsia="仿宋_GB2312"/>
          <w:sz w:val="32"/>
          <w:szCs w:val="32"/>
        </w:rPr>
        <w:t>万元，合同金额</w:t>
      </w:r>
      <w:r>
        <w:rPr>
          <w:rFonts w:hint="eastAsia" w:eastAsia="仿宋_GB2312"/>
          <w:sz w:val="32"/>
          <w:szCs w:val="32"/>
        </w:rPr>
        <w:t>1136.18</w:t>
      </w:r>
      <w:r>
        <w:rPr>
          <w:rFonts w:eastAsia="仿宋_GB2312"/>
          <w:sz w:val="32"/>
          <w:szCs w:val="32"/>
        </w:rPr>
        <w:t>万元，因</w:t>
      </w:r>
      <w:r>
        <w:rPr>
          <w:rFonts w:hint="eastAsia" w:eastAsia="仿宋_GB2312"/>
          <w:sz w:val="32"/>
          <w:szCs w:val="32"/>
        </w:rPr>
        <w:t>未到质保期满</w:t>
      </w:r>
      <w:r>
        <w:rPr>
          <w:rFonts w:eastAsia="仿宋_GB2312"/>
          <w:sz w:val="32"/>
          <w:szCs w:val="32"/>
        </w:rPr>
        <w:t>，截止目前完成资金支付</w:t>
      </w:r>
      <w:r>
        <w:rPr>
          <w:rFonts w:hint="eastAsia" w:eastAsia="仿宋_GB2312"/>
          <w:sz w:val="32"/>
          <w:szCs w:val="32"/>
        </w:rPr>
        <w:t>922.6</w:t>
      </w:r>
      <w:r>
        <w:rPr>
          <w:rFonts w:eastAsia="仿宋_GB2312"/>
          <w:sz w:val="32"/>
          <w:szCs w:val="32"/>
        </w:rPr>
        <w:t xml:space="preserve">万元。    </w:t>
      </w:r>
    </w:p>
    <w:p>
      <w:pPr>
        <w:spacing w:line="570" w:lineRule="exact"/>
        <w:ind w:firstLine="640" w:firstLineChars="200"/>
        <w:rPr>
          <w:rFonts w:eastAsia="仿宋_GB2312"/>
          <w:sz w:val="32"/>
          <w:szCs w:val="32"/>
        </w:rPr>
      </w:pPr>
      <w:r>
        <w:rPr>
          <w:rFonts w:eastAsia="仿宋_GB2312"/>
          <w:sz w:val="32"/>
          <w:szCs w:val="32"/>
        </w:rPr>
        <w:t>3、项目资金管理情况分析。针对本项目资金，我委严格按照内控制度等有关规定的资金管理制度进行管理，资金使用规范，资金的支付有完整的审批程序，经委务会议集体决策、相关领导签字审批、相关财务人员审核无误后予以支付。能够做到专款专用，无截留、挤占、挪用、虚列支出等情况。会计核算准确、账务资料完整。</w:t>
      </w:r>
    </w:p>
    <w:p>
      <w:pPr>
        <w:spacing w:line="570" w:lineRule="exact"/>
        <w:ind w:firstLine="643" w:firstLineChars="200"/>
        <w:rPr>
          <w:rFonts w:eastAsia="仿宋_GB2312"/>
          <w:b/>
          <w:bCs/>
          <w:sz w:val="32"/>
          <w:szCs w:val="32"/>
        </w:rPr>
      </w:pPr>
      <w:r>
        <w:rPr>
          <w:rFonts w:eastAsia="仿宋_GB2312"/>
          <w:b/>
          <w:bCs/>
          <w:sz w:val="32"/>
          <w:szCs w:val="32"/>
        </w:rPr>
        <w:t>（二）绩效目标完成情况分析</w:t>
      </w:r>
    </w:p>
    <w:p>
      <w:pPr>
        <w:spacing w:line="570" w:lineRule="exact"/>
        <w:ind w:firstLine="630"/>
        <w:rPr>
          <w:rFonts w:eastAsia="仿宋_GB2312"/>
          <w:sz w:val="32"/>
          <w:szCs w:val="32"/>
        </w:rPr>
      </w:pPr>
      <w:r>
        <w:rPr>
          <w:rFonts w:eastAsia="仿宋_GB2312"/>
          <w:sz w:val="32"/>
          <w:szCs w:val="32"/>
        </w:rPr>
        <w:t>1、产出指标完成情况分析</w:t>
      </w:r>
    </w:p>
    <w:p>
      <w:pPr>
        <w:spacing w:line="570" w:lineRule="exact"/>
        <w:ind w:firstLine="630"/>
        <w:rPr>
          <w:rFonts w:eastAsia="仿宋_GB2312"/>
          <w:sz w:val="32"/>
          <w:szCs w:val="32"/>
        </w:rPr>
      </w:pPr>
      <w:r>
        <w:rPr>
          <w:rFonts w:eastAsia="仿宋_GB2312"/>
          <w:sz w:val="32"/>
          <w:szCs w:val="32"/>
        </w:rPr>
        <w:t>（1）数量指标。新建道路1356.944</w:t>
      </w:r>
      <w:r>
        <w:rPr>
          <w:rFonts w:hint="eastAsia" w:eastAsia="仿宋_GB2312"/>
          <w:sz w:val="32"/>
          <w:szCs w:val="32"/>
        </w:rPr>
        <w:t>米</w:t>
      </w:r>
      <w:r>
        <w:rPr>
          <w:rFonts w:eastAsia="仿宋_GB2312"/>
          <w:sz w:val="32"/>
          <w:szCs w:val="32"/>
        </w:rPr>
        <w:t>，路灯共计8</w:t>
      </w:r>
      <w:r>
        <w:rPr>
          <w:rFonts w:hint="eastAsia" w:eastAsia="仿宋_GB2312"/>
          <w:sz w:val="32"/>
          <w:szCs w:val="32"/>
        </w:rPr>
        <w:t>2</w:t>
      </w:r>
      <w:r>
        <w:rPr>
          <w:rFonts w:eastAsia="仿宋_GB2312"/>
          <w:sz w:val="32"/>
          <w:szCs w:val="32"/>
        </w:rPr>
        <w:t>盏。</w:t>
      </w:r>
    </w:p>
    <w:p>
      <w:pPr>
        <w:spacing w:line="570" w:lineRule="exact"/>
        <w:ind w:firstLine="630"/>
        <w:rPr>
          <w:rFonts w:eastAsia="仿宋_GB2312"/>
          <w:sz w:val="32"/>
          <w:szCs w:val="32"/>
        </w:rPr>
      </w:pPr>
      <w:r>
        <w:rPr>
          <w:rFonts w:eastAsia="仿宋_GB2312"/>
          <w:sz w:val="32"/>
          <w:szCs w:val="32"/>
        </w:rPr>
        <w:t>（2）质量指标。验收合格率为100%。</w:t>
      </w:r>
    </w:p>
    <w:p>
      <w:pPr>
        <w:spacing w:line="570" w:lineRule="exact"/>
        <w:ind w:firstLine="630"/>
        <w:rPr>
          <w:rFonts w:eastAsia="仿宋_GB2312"/>
          <w:sz w:val="32"/>
          <w:szCs w:val="32"/>
        </w:rPr>
      </w:pPr>
      <w:r>
        <w:rPr>
          <w:rFonts w:eastAsia="仿宋_GB2312"/>
          <w:sz w:val="32"/>
          <w:szCs w:val="32"/>
        </w:rPr>
        <w:t>（3）时效指标。该项目批复建设期限为2022年</w:t>
      </w:r>
      <w:r>
        <w:rPr>
          <w:rFonts w:hint="eastAsia" w:eastAsia="仿宋_GB2312"/>
          <w:sz w:val="32"/>
          <w:szCs w:val="32"/>
        </w:rPr>
        <w:t>8</w:t>
      </w:r>
      <w:r>
        <w:rPr>
          <w:rFonts w:eastAsia="仿宋_GB2312"/>
          <w:sz w:val="32"/>
          <w:szCs w:val="32"/>
        </w:rPr>
        <w:t>月—2022年11月，实际完成时间为2022年11月。</w:t>
      </w:r>
    </w:p>
    <w:p>
      <w:pPr>
        <w:spacing w:line="570" w:lineRule="exact"/>
        <w:ind w:firstLine="630"/>
        <w:rPr>
          <w:rFonts w:eastAsia="仿宋_GB2312"/>
          <w:sz w:val="32"/>
          <w:szCs w:val="32"/>
        </w:rPr>
      </w:pPr>
      <w:r>
        <w:rPr>
          <w:rFonts w:eastAsia="仿宋_GB2312"/>
          <w:sz w:val="32"/>
          <w:szCs w:val="32"/>
        </w:rPr>
        <w:t>（4）成本指标。项目资金预算</w:t>
      </w:r>
      <w:r>
        <w:rPr>
          <w:rFonts w:hint="eastAsia" w:eastAsia="仿宋_GB2312"/>
          <w:sz w:val="32"/>
          <w:szCs w:val="32"/>
        </w:rPr>
        <w:t>1391.06</w:t>
      </w:r>
      <w:r>
        <w:rPr>
          <w:rFonts w:eastAsia="仿宋_GB2312"/>
          <w:sz w:val="32"/>
          <w:szCs w:val="32"/>
        </w:rPr>
        <w:t>万元，合同金额</w:t>
      </w:r>
      <w:r>
        <w:rPr>
          <w:rFonts w:hint="eastAsia" w:eastAsia="仿宋_GB2312"/>
          <w:sz w:val="32"/>
          <w:szCs w:val="32"/>
        </w:rPr>
        <w:t>1136.18</w:t>
      </w:r>
      <w:r>
        <w:rPr>
          <w:rFonts w:eastAsia="仿宋_GB2312"/>
          <w:sz w:val="32"/>
          <w:szCs w:val="32"/>
        </w:rPr>
        <w:t>万元，因</w:t>
      </w:r>
      <w:r>
        <w:rPr>
          <w:rFonts w:hint="eastAsia" w:eastAsia="仿宋_GB2312"/>
          <w:sz w:val="32"/>
          <w:szCs w:val="32"/>
        </w:rPr>
        <w:t>未到质保期满</w:t>
      </w:r>
      <w:r>
        <w:rPr>
          <w:rFonts w:eastAsia="仿宋_GB2312"/>
          <w:sz w:val="32"/>
          <w:szCs w:val="32"/>
        </w:rPr>
        <w:t>，截止目前完成资金支付</w:t>
      </w:r>
      <w:r>
        <w:rPr>
          <w:rFonts w:hint="eastAsia" w:eastAsia="仿宋_GB2312"/>
          <w:sz w:val="32"/>
          <w:szCs w:val="32"/>
        </w:rPr>
        <w:t>922.6</w:t>
      </w:r>
      <w:r>
        <w:rPr>
          <w:rFonts w:eastAsia="仿宋_GB2312"/>
          <w:sz w:val="32"/>
          <w:szCs w:val="32"/>
        </w:rPr>
        <w:t xml:space="preserve">万元。    </w:t>
      </w:r>
    </w:p>
    <w:p>
      <w:pPr>
        <w:spacing w:line="570" w:lineRule="exact"/>
        <w:ind w:firstLine="630"/>
        <w:rPr>
          <w:rFonts w:eastAsia="仿宋_GB2312"/>
          <w:sz w:val="32"/>
          <w:szCs w:val="32"/>
        </w:rPr>
      </w:pPr>
      <w:r>
        <w:rPr>
          <w:rFonts w:eastAsia="仿宋_GB2312"/>
          <w:sz w:val="32"/>
          <w:szCs w:val="32"/>
        </w:rPr>
        <w:t>2、效益指标完成情况分析</w:t>
      </w:r>
    </w:p>
    <w:p>
      <w:pPr>
        <w:spacing w:line="570" w:lineRule="exact"/>
        <w:ind w:firstLine="630"/>
        <w:rPr>
          <w:rFonts w:eastAsia="仿宋_GB2312"/>
          <w:sz w:val="32"/>
          <w:szCs w:val="32"/>
        </w:rPr>
      </w:pPr>
      <w:r>
        <w:rPr>
          <w:rFonts w:eastAsia="仿宋_GB2312"/>
          <w:sz w:val="32"/>
          <w:szCs w:val="32"/>
        </w:rPr>
        <w:t>（1）经济效益。该项目的实施将加快项目区基础设施的建设步伐，能有效改善项目区生产条件和生活条件，有利于招商引资，推进工业园区工业化发展进程，对于改善区域投资环境，发展区域社会经济均有着十分重要的现实意义。</w:t>
      </w:r>
    </w:p>
    <w:p>
      <w:pPr>
        <w:spacing w:line="570" w:lineRule="exact"/>
        <w:ind w:firstLine="630"/>
        <w:rPr>
          <w:rFonts w:eastAsia="仿宋_GB2312"/>
          <w:sz w:val="32"/>
          <w:szCs w:val="32"/>
        </w:rPr>
      </w:pPr>
      <w:r>
        <w:rPr>
          <w:rFonts w:eastAsia="仿宋_GB2312"/>
          <w:sz w:val="32"/>
          <w:szCs w:val="32"/>
        </w:rPr>
        <w:t>（2）社会效益。该项目建设将进一步缓解宁夏盐池工业园区高沙窝区块东区交通落后的不利局面，进一步拓展工业园区路网结构，使高沙窝区块的自然环境与社会环境更加和谐。使整个盐池县社会走上生产发展、生活富裕、生态良好的文明发展道路。</w:t>
      </w:r>
    </w:p>
    <w:p>
      <w:pPr>
        <w:spacing w:line="570" w:lineRule="exact"/>
        <w:ind w:firstLine="640" w:firstLineChars="200"/>
        <w:rPr>
          <w:rFonts w:eastAsia="仿宋_GB2312"/>
          <w:bCs/>
          <w:sz w:val="32"/>
          <w:szCs w:val="32"/>
        </w:rPr>
      </w:pPr>
      <w:r>
        <w:rPr>
          <w:rFonts w:eastAsia="仿宋_GB2312"/>
          <w:sz w:val="32"/>
          <w:szCs w:val="32"/>
        </w:rPr>
        <w:t>（3）生态效益。</w:t>
      </w:r>
      <w:r>
        <w:rPr>
          <w:rFonts w:eastAsia="仿宋_GB2312"/>
          <w:bCs/>
          <w:sz w:val="32"/>
          <w:szCs w:val="32"/>
        </w:rPr>
        <w:t>该项目不仅改善盐池工业园区路网结构，还可以增加规划区的植被覆盖度，而且有效防治土地沙化和水土流失，净化空气、维护生物多样性，具有良好的综合生态效益。</w:t>
      </w:r>
    </w:p>
    <w:p>
      <w:pPr>
        <w:spacing w:line="570" w:lineRule="exact"/>
        <w:ind w:firstLine="640" w:firstLineChars="200"/>
        <w:rPr>
          <w:rFonts w:eastAsia="仿宋_GB2312"/>
          <w:bCs/>
          <w:sz w:val="32"/>
          <w:szCs w:val="32"/>
        </w:rPr>
      </w:pPr>
      <w:r>
        <w:rPr>
          <w:rFonts w:eastAsia="仿宋_GB2312"/>
          <w:bCs/>
          <w:sz w:val="32"/>
          <w:szCs w:val="32"/>
        </w:rPr>
        <w:t>（4）可持续影响。项目的建设将加快推动盐池县高沙窝镇一二三产业融合发展，通过本项目建设形成一二三产业聚集，大力发展旅游业，带动提升一二产业快速发展。聚集全国优质的社会化服务企业资源和产业要素，在盐池做好示范工程和探索样本，为在宁夏</w:t>
      </w:r>
      <w:r>
        <w:rPr>
          <w:rFonts w:hint="eastAsia" w:eastAsia="仿宋_GB2312"/>
          <w:bCs/>
          <w:sz w:val="32"/>
          <w:szCs w:val="32"/>
          <w:lang w:eastAsia="zh-CN"/>
        </w:rPr>
        <w:t>回族</w:t>
      </w:r>
      <w:r>
        <w:rPr>
          <w:rFonts w:eastAsia="仿宋_GB2312"/>
          <w:bCs/>
          <w:sz w:val="32"/>
          <w:szCs w:val="32"/>
        </w:rPr>
        <w:t>自治区乃至周边辐射区域快速复制推广产业融合发展新模式打下坚实的基础，为盐池工业园区可持续发展奠定坚实的生态基础。</w:t>
      </w:r>
    </w:p>
    <w:p>
      <w:pPr>
        <w:spacing w:line="570" w:lineRule="exact"/>
        <w:ind w:firstLine="640" w:firstLineChars="200"/>
        <w:rPr>
          <w:rFonts w:eastAsia="仿宋_GB2312"/>
          <w:bCs/>
          <w:sz w:val="32"/>
          <w:szCs w:val="32"/>
        </w:rPr>
      </w:pPr>
      <w:r>
        <w:rPr>
          <w:rFonts w:eastAsia="仿宋_GB2312"/>
          <w:bCs/>
          <w:sz w:val="32"/>
          <w:szCs w:val="32"/>
        </w:rPr>
        <w:t>3、满意度指标完成情况分析</w:t>
      </w:r>
    </w:p>
    <w:p>
      <w:pPr>
        <w:spacing w:line="570" w:lineRule="exact"/>
        <w:ind w:firstLine="640" w:firstLineChars="200"/>
        <w:rPr>
          <w:rFonts w:eastAsia="仿宋_GB2312"/>
          <w:sz w:val="32"/>
          <w:szCs w:val="32"/>
        </w:rPr>
      </w:pPr>
      <w:r>
        <w:rPr>
          <w:rFonts w:eastAsia="仿宋_GB2312"/>
          <w:sz w:val="32"/>
          <w:szCs w:val="32"/>
        </w:rPr>
        <w:t>我委通过实地调研、企业座谈等形式，对项目实施后园区企业满意度进行了调查，调查结果为满意度90%以上。绩效设定分值为100分，经综合评定得分为9</w:t>
      </w:r>
      <w:r>
        <w:rPr>
          <w:rFonts w:hint="eastAsia" w:eastAsia="仿宋_GB2312"/>
          <w:sz w:val="32"/>
          <w:szCs w:val="32"/>
        </w:rPr>
        <w:t>3</w:t>
      </w:r>
      <w:r>
        <w:rPr>
          <w:rFonts w:eastAsia="仿宋_GB2312"/>
          <w:sz w:val="32"/>
          <w:szCs w:val="32"/>
        </w:rPr>
        <w:t>分，评定为优。</w:t>
      </w:r>
    </w:p>
    <w:p>
      <w:pPr>
        <w:spacing w:line="570" w:lineRule="exact"/>
        <w:ind w:firstLine="643" w:firstLineChars="200"/>
        <w:rPr>
          <w:rFonts w:eastAsia="仿宋_GB2312"/>
          <w:b/>
          <w:bCs w:val="0"/>
          <w:sz w:val="32"/>
          <w:szCs w:val="32"/>
        </w:rPr>
      </w:pPr>
      <w:r>
        <w:rPr>
          <w:rFonts w:eastAsia="仿宋_GB2312"/>
          <w:b/>
          <w:bCs w:val="0"/>
          <w:sz w:val="32"/>
          <w:szCs w:val="32"/>
        </w:rPr>
        <w:t>三、偏离绩效目标的原因和下一步改进措施</w:t>
      </w:r>
    </w:p>
    <w:p>
      <w:pPr>
        <w:spacing w:line="570" w:lineRule="exact"/>
        <w:ind w:firstLine="640" w:firstLineChars="200"/>
        <w:rPr>
          <w:rFonts w:eastAsia="仿宋_GB2312"/>
          <w:bCs/>
          <w:sz w:val="32"/>
          <w:szCs w:val="32"/>
        </w:rPr>
      </w:pPr>
      <w:r>
        <w:rPr>
          <w:rFonts w:eastAsia="仿宋_GB2312"/>
          <w:bCs/>
          <w:sz w:val="32"/>
          <w:szCs w:val="32"/>
        </w:rPr>
        <w:t>该项目按预期达到了设定的绩效目标，无偏离绩效目标的情况。</w:t>
      </w:r>
    </w:p>
    <w:p>
      <w:pPr>
        <w:spacing w:line="570" w:lineRule="exact"/>
        <w:ind w:firstLine="643" w:firstLineChars="200"/>
        <w:rPr>
          <w:rFonts w:eastAsia="仿宋_GB2312"/>
          <w:b/>
          <w:bCs w:val="0"/>
          <w:sz w:val="32"/>
          <w:szCs w:val="32"/>
        </w:rPr>
      </w:pPr>
      <w:r>
        <w:rPr>
          <w:rFonts w:eastAsia="仿宋_GB2312"/>
          <w:b/>
          <w:bCs w:val="0"/>
          <w:sz w:val="32"/>
          <w:szCs w:val="32"/>
        </w:rPr>
        <w:t>四、绩效自评结果拟应用和公开情况</w:t>
      </w:r>
    </w:p>
    <w:p>
      <w:pPr>
        <w:spacing w:line="570" w:lineRule="exact"/>
        <w:ind w:firstLine="640" w:firstLineChars="200"/>
        <w:rPr>
          <w:rFonts w:eastAsia="仿宋_GB2312"/>
          <w:bCs/>
          <w:sz w:val="32"/>
          <w:szCs w:val="32"/>
        </w:rPr>
      </w:pPr>
      <w:r>
        <w:rPr>
          <w:rFonts w:eastAsia="仿宋_GB2312"/>
          <w:bCs/>
          <w:sz w:val="32"/>
          <w:szCs w:val="32"/>
        </w:rPr>
        <w:t>（一）应用于本单位进行项目管理的自我评价，促进项目优化管理，作为下一年度部门预算编制参考依据；</w:t>
      </w:r>
    </w:p>
    <w:p>
      <w:pPr>
        <w:spacing w:line="570" w:lineRule="exact"/>
        <w:ind w:firstLine="640" w:firstLineChars="200"/>
        <w:rPr>
          <w:rFonts w:eastAsia="仿宋_GB2312"/>
          <w:bCs/>
          <w:sz w:val="32"/>
          <w:szCs w:val="32"/>
        </w:rPr>
      </w:pPr>
      <w:r>
        <w:rPr>
          <w:rFonts w:eastAsia="仿宋_GB2312"/>
          <w:bCs/>
          <w:sz w:val="32"/>
          <w:szCs w:val="32"/>
        </w:rPr>
        <w:t>（二）将绩效自评结果与下一年度项目预算联系，作为以后年度项目立项和经费支持的重要依据；</w:t>
      </w:r>
    </w:p>
    <w:p>
      <w:pPr>
        <w:spacing w:line="570" w:lineRule="exact"/>
        <w:ind w:firstLine="640" w:firstLineChars="200"/>
        <w:rPr>
          <w:rFonts w:eastAsia="仿宋_GB2312"/>
          <w:bCs/>
          <w:sz w:val="32"/>
          <w:szCs w:val="32"/>
        </w:rPr>
      </w:pPr>
      <w:r>
        <w:rPr>
          <w:rFonts w:eastAsia="仿宋_GB2312"/>
          <w:bCs/>
          <w:sz w:val="32"/>
          <w:szCs w:val="32"/>
        </w:rPr>
        <w:t>（三）项目主管部门按照财政部门的统一要求信息公，</w:t>
      </w:r>
      <w:r>
        <w:rPr>
          <w:rFonts w:hint="eastAsia" w:eastAsia="仿宋_GB2312"/>
          <w:bCs/>
          <w:sz w:val="32"/>
          <w:szCs w:val="32"/>
          <w:lang w:eastAsia="zh-CN"/>
        </w:rPr>
        <w:t>主动</w:t>
      </w:r>
      <w:r>
        <w:rPr>
          <w:rFonts w:eastAsia="仿宋_GB2312"/>
          <w:bCs/>
          <w:sz w:val="32"/>
          <w:szCs w:val="32"/>
        </w:rPr>
        <w:t>开展社会监督和结果认定工作。</w:t>
      </w:r>
    </w:p>
    <w:p>
      <w:pPr>
        <w:spacing w:line="570" w:lineRule="exact"/>
        <w:ind w:firstLine="643" w:firstLineChars="200"/>
        <w:rPr>
          <w:rFonts w:eastAsia="仿宋_GB2312"/>
          <w:b/>
          <w:bCs w:val="0"/>
          <w:sz w:val="32"/>
          <w:szCs w:val="32"/>
        </w:rPr>
      </w:pPr>
      <w:r>
        <w:rPr>
          <w:rFonts w:eastAsia="仿宋_GB2312"/>
          <w:b/>
          <w:bCs w:val="0"/>
          <w:sz w:val="32"/>
          <w:szCs w:val="32"/>
        </w:rPr>
        <w:t>五、其他需要说明的问题</w:t>
      </w:r>
      <w:bookmarkStart w:id="0" w:name="_GoBack"/>
      <w:bookmarkEnd w:id="0"/>
    </w:p>
    <w:p>
      <w:pPr>
        <w:spacing w:line="570" w:lineRule="exact"/>
        <w:ind w:firstLine="640" w:firstLineChars="200"/>
        <w:rPr>
          <w:rFonts w:eastAsia="仿宋_GB2312"/>
          <w:bCs/>
          <w:sz w:val="32"/>
          <w:szCs w:val="32"/>
        </w:rPr>
      </w:pPr>
      <w:r>
        <w:rPr>
          <w:rFonts w:eastAsia="仿宋_GB2312"/>
          <w:bCs/>
          <w:sz w:val="32"/>
          <w:szCs w:val="32"/>
        </w:rPr>
        <w:t>该项目在实施督查过程中，未发现重大问题等其他需要说明的问题。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附件：项目支出绩效自评表 </w:t>
      </w: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b w:val="0"/>
          <w:bCs w:val="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 w:hAnsi="仿宋" w:eastAsia="仿宋" w:cs="仿宋"/>
          <w:b w:val="0"/>
          <w:bCs w:val="0"/>
          <w:color w:val="auto"/>
          <w:kern w:val="2"/>
          <w:sz w:val="32"/>
          <w:szCs w:val="32"/>
          <w:lang w:val="en-US" w:eastAsia="zh-CN" w:bidi="ar-SA"/>
        </w:rPr>
        <w:t xml:space="preserve">        宁夏盐池工业园区管理委员会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2023年4月1日</w:t>
      </w:r>
    </w:p>
    <w:p>
      <w:pPr>
        <w:pStyle w:val="2"/>
      </w:pPr>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sectPr>
      <w:footerReference r:id="rId3" w:type="default"/>
      <w:footerReference r:id="rId4" w:type="even"/>
      <w:pgSz w:w="11906" w:h="16838"/>
      <w:pgMar w:top="2098" w:right="1797"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left:364.2pt;margin-top:-16.15pt;height:18.15pt;width:61.05pt;mso-position-horizontal-relative:margin;z-index:251659264;mso-width-relative:page;mso-height-relative:page;" filled="f" stroked="f" coordsize="21600,21600" o:gfxdata="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saCH2AAAAAkBAAAPAAAAAAAAAAEAIAAAACIAAABkcnMv&#10;ZG93bnJldi54bWxQSwECFAAUAAAACACHTuJAxib/68oBAACZAwAADgAAAAAAAAABACAAAAAnAQAA&#10;ZHJzL2Uyb0RvYy54bWxQSwUGAAAAAAYABgBZAQAAYwUAAAAA&#10;">
          <v:path/>
          <v:fill on="f" focussize="0,0"/>
          <v:stroke on="f" joinstyle="miter"/>
          <v:imagedata o:title=""/>
          <o:lock v:ext="edit"/>
          <v:textbox inset="0mm,0mm,0mm,0mm" style="mso-fit-shape-to-text:t;">
            <w:txbxContent>
              <w:p>
                <w:pPr>
                  <w:pStyle w:val="5"/>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5</w:t>
                </w:r>
                <w:r>
                  <w:rPr>
                    <w:sz w:val="28"/>
                    <w:szCs w:val="28"/>
                  </w:rPr>
                  <w:fldChar w:fldCharType="end"/>
                </w:r>
                <w:r>
                  <w:rPr>
                    <w:rFonts w:hint="eastAsia"/>
                    <w:sz w:val="28"/>
                    <w:szCs w:val="28"/>
                  </w:rPr>
                  <w:t xml:space="preserve"> </w:t>
                </w:r>
                <w:r>
                  <w:rPr>
                    <w:rStyle w:val="10"/>
                    <w:rFonts w:hint="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7" o:spid="_x0000_s1027" o:spt="202" type="#_x0000_t202" style="position:absolute;left:0pt;margin-left:15.15pt;margin-top:-22.15pt;height:18.15pt;width:49.05pt;mso-position-horizontal-relative:margin;mso-wrap-style:none;z-index:251660288;mso-width-relative:page;mso-height-relative:page;" filled="f" stroked="f" coordsize="21600,21600" o:gfxdata="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Ql9bTUAAAACQEAAA8AAAAAAAAAAQAgAAAAIgAA&#10;AGRycy9kb3ducmV2LnhtbFBLAQIUABQAAAAIAIdO4kDSVkzU0wEAAKUDAAAOAAAAAAAAAAEAIAAA&#10;ACMBAABkcnMvZTJvRG9jLnhtbFBLBQYAAAAABgAGAFkBAABoBQAAAAA=&#10;">
          <v:path/>
          <v:fill on="f" focussize="0,0"/>
          <v:stroke on="f" joinstyle="miter"/>
          <v:imagedata o:title=""/>
          <o:lock v:ext="edit"/>
          <v:textbox inset="0mm,0mm,0mm,0mm" style="mso-fit-shape-to-text:t;">
            <w:txbxContent>
              <w:p>
                <w:pPr>
                  <w:pStyle w:val="5"/>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Fonts w:hint="eastAsia"/>
                    <w:sz w:val="28"/>
                    <w:szCs w:val="28"/>
                  </w:rPr>
                  <w:t xml:space="preserve"> </w:t>
                </w:r>
                <w:r>
                  <w:rPr>
                    <w:rStyle w:val="10"/>
                    <w:rFonts w:hint="eastAsia"/>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E13A2"/>
    <w:multiLevelType w:val="multilevel"/>
    <w:tmpl w:val="265E13A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wOGM2YjNiZjhmMTZjM2EwOWNjMjVmZDJlZDE4NGMifQ=="/>
  </w:docVars>
  <w:rsids>
    <w:rsidRoot w:val="731219A4"/>
    <w:rsid w:val="00001DF6"/>
    <w:rsid w:val="00053DB5"/>
    <w:rsid w:val="00123A40"/>
    <w:rsid w:val="00175B13"/>
    <w:rsid w:val="001903AF"/>
    <w:rsid w:val="00190DF6"/>
    <w:rsid w:val="001A30F9"/>
    <w:rsid w:val="001A510C"/>
    <w:rsid w:val="001E1C70"/>
    <w:rsid w:val="00256754"/>
    <w:rsid w:val="002F5A54"/>
    <w:rsid w:val="003776C0"/>
    <w:rsid w:val="003D5093"/>
    <w:rsid w:val="00425C76"/>
    <w:rsid w:val="004920EB"/>
    <w:rsid w:val="004E7788"/>
    <w:rsid w:val="005251E7"/>
    <w:rsid w:val="005347D2"/>
    <w:rsid w:val="00560429"/>
    <w:rsid w:val="005A4EDC"/>
    <w:rsid w:val="005B6126"/>
    <w:rsid w:val="005F1BD8"/>
    <w:rsid w:val="0060006C"/>
    <w:rsid w:val="006C665D"/>
    <w:rsid w:val="006E50FC"/>
    <w:rsid w:val="007C478D"/>
    <w:rsid w:val="00825153"/>
    <w:rsid w:val="00861DF3"/>
    <w:rsid w:val="008D07AD"/>
    <w:rsid w:val="009051E8"/>
    <w:rsid w:val="00941A80"/>
    <w:rsid w:val="00992E41"/>
    <w:rsid w:val="00A374F0"/>
    <w:rsid w:val="00A63E98"/>
    <w:rsid w:val="00AB7A64"/>
    <w:rsid w:val="00BF134F"/>
    <w:rsid w:val="00C77A12"/>
    <w:rsid w:val="00C91B68"/>
    <w:rsid w:val="00CD3AF7"/>
    <w:rsid w:val="00D029EF"/>
    <w:rsid w:val="00D52571"/>
    <w:rsid w:val="00E03B7B"/>
    <w:rsid w:val="00E40242"/>
    <w:rsid w:val="00ED30B7"/>
    <w:rsid w:val="00F134F3"/>
    <w:rsid w:val="00F24DE9"/>
    <w:rsid w:val="00FB212A"/>
    <w:rsid w:val="00FE78B5"/>
    <w:rsid w:val="013A0DB1"/>
    <w:rsid w:val="01945110"/>
    <w:rsid w:val="020F7B7E"/>
    <w:rsid w:val="037800D1"/>
    <w:rsid w:val="05F74355"/>
    <w:rsid w:val="05F957BA"/>
    <w:rsid w:val="06842D46"/>
    <w:rsid w:val="071874D5"/>
    <w:rsid w:val="08526FA3"/>
    <w:rsid w:val="08A64255"/>
    <w:rsid w:val="095A5E85"/>
    <w:rsid w:val="097846E4"/>
    <w:rsid w:val="097C3D4B"/>
    <w:rsid w:val="0A5E13C9"/>
    <w:rsid w:val="0B264B74"/>
    <w:rsid w:val="0BBE627A"/>
    <w:rsid w:val="0C391812"/>
    <w:rsid w:val="0E370B89"/>
    <w:rsid w:val="0EB6617B"/>
    <w:rsid w:val="0ECD57F8"/>
    <w:rsid w:val="0EEA79A9"/>
    <w:rsid w:val="0EFA12B5"/>
    <w:rsid w:val="0FB104C7"/>
    <w:rsid w:val="106F0166"/>
    <w:rsid w:val="10797237"/>
    <w:rsid w:val="10B04A58"/>
    <w:rsid w:val="10B85FB1"/>
    <w:rsid w:val="12595CD7"/>
    <w:rsid w:val="12946BAA"/>
    <w:rsid w:val="129F412F"/>
    <w:rsid w:val="12A34319"/>
    <w:rsid w:val="142B0848"/>
    <w:rsid w:val="15312179"/>
    <w:rsid w:val="1582694A"/>
    <w:rsid w:val="15D951B4"/>
    <w:rsid w:val="164107F7"/>
    <w:rsid w:val="164275D4"/>
    <w:rsid w:val="16EA7BD4"/>
    <w:rsid w:val="170C2695"/>
    <w:rsid w:val="1787470C"/>
    <w:rsid w:val="1963464B"/>
    <w:rsid w:val="198A6011"/>
    <w:rsid w:val="1A552112"/>
    <w:rsid w:val="1B230273"/>
    <w:rsid w:val="1D0209C3"/>
    <w:rsid w:val="1EA65D01"/>
    <w:rsid w:val="1F8F130C"/>
    <w:rsid w:val="20144074"/>
    <w:rsid w:val="2043454C"/>
    <w:rsid w:val="208C5A42"/>
    <w:rsid w:val="20D41148"/>
    <w:rsid w:val="21392DF4"/>
    <w:rsid w:val="219F3CDF"/>
    <w:rsid w:val="2228286B"/>
    <w:rsid w:val="222C235B"/>
    <w:rsid w:val="22EE13BE"/>
    <w:rsid w:val="23103A2A"/>
    <w:rsid w:val="232272BA"/>
    <w:rsid w:val="23284A00"/>
    <w:rsid w:val="238F1B78"/>
    <w:rsid w:val="23C2167B"/>
    <w:rsid w:val="24082044"/>
    <w:rsid w:val="24987A51"/>
    <w:rsid w:val="24A74F2C"/>
    <w:rsid w:val="26C714B2"/>
    <w:rsid w:val="28E91D7B"/>
    <w:rsid w:val="294066EC"/>
    <w:rsid w:val="297B061E"/>
    <w:rsid w:val="2B623213"/>
    <w:rsid w:val="2C0D5453"/>
    <w:rsid w:val="2C146461"/>
    <w:rsid w:val="2C636846"/>
    <w:rsid w:val="2C7F564A"/>
    <w:rsid w:val="2D9C07B7"/>
    <w:rsid w:val="2E1900FA"/>
    <w:rsid w:val="2E3F51C4"/>
    <w:rsid w:val="2E8D66E7"/>
    <w:rsid w:val="2F7838CE"/>
    <w:rsid w:val="2F7C27D7"/>
    <w:rsid w:val="2FE328DD"/>
    <w:rsid w:val="30EC3582"/>
    <w:rsid w:val="30FD34B3"/>
    <w:rsid w:val="311A0BB0"/>
    <w:rsid w:val="322B0A92"/>
    <w:rsid w:val="32DD797E"/>
    <w:rsid w:val="33484B1B"/>
    <w:rsid w:val="36107451"/>
    <w:rsid w:val="36187BB5"/>
    <w:rsid w:val="376B3AB6"/>
    <w:rsid w:val="377821B1"/>
    <w:rsid w:val="37C5275A"/>
    <w:rsid w:val="381628B9"/>
    <w:rsid w:val="38906EF8"/>
    <w:rsid w:val="3A0D43C8"/>
    <w:rsid w:val="3D4C5207"/>
    <w:rsid w:val="3D50334B"/>
    <w:rsid w:val="3F3E6DD2"/>
    <w:rsid w:val="3F6011B0"/>
    <w:rsid w:val="3F655DD7"/>
    <w:rsid w:val="3F93291A"/>
    <w:rsid w:val="3FA07A8C"/>
    <w:rsid w:val="403B4D83"/>
    <w:rsid w:val="405718FF"/>
    <w:rsid w:val="40B1798F"/>
    <w:rsid w:val="414E59C2"/>
    <w:rsid w:val="41810B95"/>
    <w:rsid w:val="418625DE"/>
    <w:rsid w:val="41870F04"/>
    <w:rsid w:val="42821243"/>
    <w:rsid w:val="433F747C"/>
    <w:rsid w:val="44703ED1"/>
    <w:rsid w:val="44AA351F"/>
    <w:rsid w:val="44C7417E"/>
    <w:rsid w:val="44EE2D42"/>
    <w:rsid w:val="45E43F65"/>
    <w:rsid w:val="4628508A"/>
    <w:rsid w:val="486B1E15"/>
    <w:rsid w:val="48A40E9F"/>
    <w:rsid w:val="4A745D9D"/>
    <w:rsid w:val="4A9106FD"/>
    <w:rsid w:val="4B68797B"/>
    <w:rsid w:val="4D096C71"/>
    <w:rsid w:val="4E386F08"/>
    <w:rsid w:val="4FFB28E6"/>
    <w:rsid w:val="50FE2DF4"/>
    <w:rsid w:val="51EC31B3"/>
    <w:rsid w:val="5208077B"/>
    <w:rsid w:val="529F3D5B"/>
    <w:rsid w:val="5390722B"/>
    <w:rsid w:val="549B7AEE"/>
    <w:rsid w:val="54DC4C6B"/>
    <w:rsid w:val="55B87A0F"/>
    <w:rsid w:val="563F0829"/>
    <w:rsid w:val="56544185"/>
    <w:rsid w:val="57DF1EF5"/>
    <w:rsid w:val="591C73C9"/>
    <w:rsid w:val="5A551E88"/>
    <w:rsid w:val="5A810B67"/>
    <w:rsid w:val="5AB346C0"/>
    <w:rsid w:val="5B295E9E"/>
    <w:rsid w:val="5BB46942"/>
    <w:rsid w:val="5EB16D0F"/>
    <w:rsid w:val="5F564AEC"/>
    <w:rsid w:val="600234CA"/>
    <w:rsid w:val="606F0F1E"/>
    <w:rsid w:val="613E0485"/>
    <w:rsid w:val="61435CBB"/>
    <w:rsid w:val="63443DB1"/>
    <w:rsid w:val="64666247"/>
    <w:rsid w:val="653140AA"/>
    <w:rsid w:val="663716BC"/>
    <w:rsid w:val="66C97369"/>
    <w:rsid w:val="670F05EC"/>
    <w:rsid w:val="67AE2497"/>
    <w:rsid w:val="68051895"/>
    <w:rsid w:val="693D1977"/>
    <w:rsid w:val="696656C4"/>
    <w:rsid w:val="699C1747"/>
    <w:rsid w:val="69C139C5"/>
    <w:rsid w:val="6A8B23A9"/>
    <w:rsid w:val="6BA8358E"/>
    <w:rsid w:val="6BAE1C75"/>
    <w:rsid w:val="6BC537F2"/>
    <w:rsid w:val="6BF4397C"/>
    <w:rsid w:val="6BFF7765"/>
    <w:rsid w:val="6C1B28B0"/>
    <w:rsid w:val="6DBE3833"/>
    <w:rsid w:val="6E2D63F4"/>
    <w:rsid w:val="6E5A07F8"/>
    <w:rsid w:val="701437F7"/>
    <w:rsid w:val="71211E90"/>
    <w:rsid w:val="726348C4"/>
    <w:rsid w:val="727F028B"/>
    <w:rsid w:val="731219A4"/>
    <w:rsid w:val="7318735E"/>
    <w:rsid w:val="73E211B1"/>
    <w:rsid w:val="74894A36"/>
    <w:rsid w:val="7561030B"/>
    <w:rsid w:val="75BF7F65"/>
    <w:rsid w:val="782431E1"/>
    <w:rsid w:val="789B25C4"/>
    <w:rsid w:val="7961721F"/>
    <w:rsid w:val="7B2A7673"/>
    <w:rsid w:val="7B5E3E2C"/>
    <w:rsid w:val="7BE424D4"/>
    <w:rsid w:val="7E926217"/>
    <w:rsid w:val="7EB31782"/>
    <w:rsid w:val="C5DFA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List 2"/>
    <w:basedOn w:val="1"/>
    <w:qFormat/>
    <w:uiPriority w:val="0"/>
    <w:pPr>
      <w:ind w:left="100" w:leftChars="200" w:hanging="200" w:hangingChars="200"/>
    </w:pPr>
  </w:style>
  <w:style w:type="paragraph" w:styleId="4">
    <w:name w:val="Balloon Text"/>
    <w:basedOn w:val="1"/>
    <w:link w:val="13"/>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unhideWhenUsed/>
    <w:qFormat/>
    <w:uiPriority w:val="99"/>
  </w:style>
  <w:style w:type="character" w:customStyle="1" w:styleId="11">
    <w:name w:val="页眉 Char"/>
    <w:basedOn w:val="9"/>
    <w:link w:val="6"/>
    <w:uiPriority w:val="0"/>
    <w:rPr>
      <w:kern w:val="2"/>
      <w:sz w:val="18"/>
      <w:szCs w:val="18"/>
    </w:rPr>
  </w:style>
  <w:style w:type="paragraph" w:styleId="12">
    <w:name w:val="List Paragraph"/>
    <w:basedOn w:val="1"/>
    <w:unhideWhenUsed/>
    <w:uiPriority w:val="99"/>
    <w:pPr>
      <w:ind w:firstLine="420" w:firstLineChars="200"/>
    </w:pPr>
  </w:style>
  <w:style w:type="character" w:customStyle="1" w:styleId="13">
    <w:name w:val="批注框文本 Char"/>
    <w:basedOn w:val="9"/>
    <w:link w:val="4"/>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1580</Words>
  <Characters>1690</Characters>
  <Lines>12</Lines>
  <Paragraphs>3</Paragraphs>
  <TotalTime>1</TotalTime>
  <ScaleCrop>false</ScaleCrop>
  <LinksUpToDate>false</LinksUpToDate>
  <CharactersWithSpaces>1714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2023-03-28T02:41:00Z</dcterms:created>
  <dc:creator>Erik19980313</dc:creator>
  <cp:lastModifiedBy>付國佳</cp:lastModifiedBy>
  <dcterms:modified xsi:type="dcterms:W3CDTF">2023-05-23T01:00:51Z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02096D51425A439C84ED1182227E9F24</vt:lpwstr>
  </property>
</Properties>
</file>