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spacing w:val="-18"/>
          <w:kern w:val="0"/>
          <w:sz w:val="44"/>
          <w:szCs w:val="44"/>
        </w:rPr>
      </w:pPr>
      <w:r>
        <w:rPr>
          <w:rFonts w:hint="eastAsia" w:ascii="黑体" w:hAnsi="黑体" w:eastAsia="黑体"/>
          <w:spacing w:val="-18"/>
          <w:kern w:val="0"/>
          <w:sz w:val="44"/>
          <w:szCs w:val="44"/>
        </w:rPr>
        <w:t>盐池县201</w:t>
      </w:r>
      <w:r>
        <w:rPr>
          <w:rFonts w:hint="eastAsia" w:ascii="黑体" w:hAnsi="黑体" w:eastAsia="黑体"/>
          <w:spacing w:val="-18"/>
          <w:kern w:val="0"/>
          <w:sz w:val="44"/>
          <w:szCs w:val="44"/>
          <w:lang w:val="en-US" w:eastAsia="zh-CN"/>
        </w:rPr>
        <w:t>9</w:t>
      </w:r>
      <w:r>
        <w:rPr>
          <w:rFonts w:hint="eastAsia" w:ascii="黑体" w:hAnsi="黑体" w:eastAsia="黑体"/>
          <w:spacing w:val="-18"/>
          <w:kern w:val="0"/>
          <w:sz w:val="44"/>
          <w:szCs w:val="44"/>
        </w:rPr>
        <w:t>年国民经济和社会发展统计公报</w:t>
      </w:r>
    </w:p>
    <w:p>
      <w:pPr>
        <w:widowControl/>
        <w:shd w:val="clear" w:color="auto" w:fill="FFFFFF"/>
        <w:spacing w:line="620" w:lineRule="exact"/>
        <w:ind w:firstLine="720" w:firstLineChars="200"/>
        <w:jc w:val="left"/>
        <w:rPr>
          <w:rFonts w:ascii="仿宋" w:hAnsi="仿宋" w:eastAsia="仿宋"/>
          <w:kern w:val="0"/>
          <w:sz w:val="36"/>
          <w:szCs w:val="36"/>
        </w:rPr>
      </w:pPr>
    </w:p>
    <w:p>
      <w:pPr>
        <w:keepNext w:val="0"/>
        <w:keepLines w:val="0"/>
        <w:pageBreakBefore w:val="0"/>
        <w:widowControl/>
        <w:shd w:val="clear" w:color="auto" w:fill="FFFFFF"/>
        <w:kinsoku/>
        <w:overflowPunct/>
        <w:topLinePunct w:val="0"/>
        <w:autoSpaceDE/>
        <w:autoSpaceDN/>
        <w:bidi w:val="0"/>
        <w:adjustRightInd/>
        <w:snapToGrid/>
        <w:spacing w:line="600" w:lineRule="exact"/>
        <w:ind w:firstLine="704" w:firstLineChars="200"/>
        <w:textAlignment w:val="auto"/>
        <w:rPr>
          <w:rFonts w:hint="eastAsia" w:ascii="仿宋" w:hAnsi="仿宋" w:eastAsia="仿宋" w:cs="宋体"/>
          <w:color w:val="000000"/>
          <w:spacing w:val="16"/>
          <w:kern w:val="0"/>
          <w:sz w:val="32"/>
          <w:szCs w:val="32"/>
          <w:lang w:val="en-US" w:eastAsia="zh-CN"/>
        </w:rPr>
      </w:pPr>
      <w:r>
        <w:rPr>
          <w:rFonts w:hint="eastAsia" w:ascii="仿宋" w:hAnsi="仿宋" w:eastAsia="仿宋" w:cs="宋体"/>
          <w:color w:val="000000"/>
          <w:spacing w:val="16"/>
          <w:kern w:val="0"/>
          <w:sz w:val="32"/>
          <w:szCs w:val="32"/>
          <w:lang w:val="en-US" w:eastAsia="zh-CN"/>
        </w:rPr>
        <w:t>2019年</w:t>
      </w:r>
      <w:r>
        <w:rPr>
          <w:rFonts w:hint="eastAsia" w:ascii="仿宋" w:hAnsi="仿宋" w:eastAsia="仿宋" w:cs="宋体"/>
          <w:color w:val="000000"/>
          <w:spacing w:val="16"/>
          <w:kern w:val="0"/>
          <w:sz w:val="32"/>
          <w:szCs w:val="32"/>
        </w:rPr>
        <w:t>，在县委、政府的坚强领导下，坚持稳中求进工作总基调，坚持实施“三大战略”，</w:t>
      </w:r>
      <w:r>
        <w:rPr>
          <w:rFonts w:hint="eastAsia" w:ascii="仿宋" w:hAnsi="仿宋" w:eastAsia="仿宋" w:cs="宋体"/>
          <w:color w:val="000000"/>
          <w:spacing w:val="16"/>
          <w:kern w:val="0"/>
          <w:sz w:val="32"/>
          <w:szCs w:val="32"/>
          <w:lang w:val="en-US" w:eastAsia="zh-CN"/>
        </w:rPr>
        <w:t>扎实做好</w:t>
      </w:r>
      <w:r>
        <w:rPr>
          <w:rFonts w:hint="eastAsia" w:ascii="仿宋" w:hAnsi="仿宋" w:eastAsia="仿宋" w:cs="宋体"/>
          <w:color w:val="000000"/>
          <w:spacing w:val="16"/>
          <w:kern w:val="0"/>
          <w:sz w:val="32"/>
          <w:szCs w:val="32"/>
        </w:rPr>
        <w:t>稳就业、稳金融、稳投资、稳预期各项工作，</w:t>
      </w:r>
      <w:r>
        <w:rPr>
          <w:rFonts w:hint="eastAsia" w:ascii="仿宋" w:hAnsi="仿宋" w:eastAsia="仿宋" w:cs="宋体"/>
          <w:color w:val="000000"/>
          <w:spacing w:val="16"/>
          <w:kern w:val="0"/>
          <w:sz w:val="32"/>
          <w:szCs w:val="32"/>
          <w:lang w:val="en-US" w:eastAsia="zh-CN"/>
        </w:rPr>
        <w:t>国民经济运行总体平稳，总量突破百亿大关，发展质量稳步提升，为全面建成小康社会奠定了坚实基础。</w:t>
      </w:r>
    </w:p>
    <w:p>
      <w:pPr>
        <w:widowControl/>
        <w:jc w:val="center"/>
        <w:rPr>
          <w:rFonts w:ascii="黑体" w:hAnsi="黑体" w:eastAsia="黑体"/>
          <w:kern w:val="0"/>
          <w:sz w:val="32"/>
          <w:szCs w:val="32"/>
        </w:rPr>
      </w:pPr>
      <w:r>
        <w:rPr>
          <w:rFonts w:hint="eastAsia" w:ascii="黑体" w:hAnsi="黑体" w:eastAsia="黑体"/>
          <w:kern w:val="0"/>
          <w:sz w:val="32"/>
          <w:szCs w:val="32"/>
        </w:rPr>
        <w:t>一、综合</w:t>
      </w:r>
    </w:p>
    <w:p>
      <w:pPr>
        <w:keepNext w:val="0"/>
        <w:keepLines w:val="0"/>
        <w:pageBreakBefore w:val="0"/>
        <w:widowControl/>
        <w:kinsoku/>
        <w:overflowPunct/>
        <w:topLinePunct w:val="0"/>
        <w:autoSpaceDE/>
        <w:autoSpaceDN/>
        <w:bidi w:val="0"/>
        <w:adjustRightInd/>
        <w:snapToGrid/>
        <w:spacing w:line="600" w:lineRule="exact"/>
        <w:ind w:firstLine="643" w:firstLineChars="200"/>
        <w:textAlignment w:val="auto"/>
        <w:rPr>
          <w:rFonts w:hint="eastAsia" w:ascii="仿宋" w:hAnsi="仿宋" w:eastAsia="仿宋" w:cs="宋体"/>
          <w:color w:val="000000"/>
          <w:kern w:val="0"/>
          <w:sz w:val="32"/>
          <w:szCs w:val="32"/>
          <w:lang w:val="en-US" w:eastAsia="zh-CN"/>
        </w:rPr>
      </w:pPr>
      <w:r>
        <w:rPr>
          <w:rFonts w:ascii="仿宋" w:hAnsi="仿宋" w:eastAsia="仿宋" w:cs="宋体"/>
          <w:b/>
          <w:color w:val="000000"/>
          <w:kern w:val="0"/>
          <w:sz w:val="32"/>
          <w:szCs w:val="32"/>
        </w:rPr>
        <w:t>经济运行</w:t>
      </w:r>
      <w:r>
        <w:rPr>
          <w:rFonts w:hint="eastAsia" w:ascii="仿宋" w:hAnsi="仿宋" w:eastAsia="仿宋" w:cs="宋体"/>
          <w:b/>
          <w:color w:val="000000"/>
          <w:kern w:val="0"/>
          <w:sz w:val="32"/>
          <w:szCs w:val="32"/>
          <w:lang w:val="en-US" w:eastAsia="zh-CN"/>
        </w:rPr>
        <w:t>保持平稳</w:t>
      </w:r>
      <w:r>
        <w:rPr>
          <w:rFonts w:ascii="仿宋" w:hAnsi="仿宋" w:eastAsia="仿宋" w:cs="宋体"/>
          <w:color w:val="000000"/>
          <w:kern w:val="0"/>
          <w:sz w:val="32"/>
          <w:szCs w:val="32"/>
        </w:rPr>
        <w:t>。</w:t>
      </w:r>
      <w:r>
        <w:rPr>
          <w:rFonts w:hint="eastAsia" w:ascii="仿宋" w:hAnsi="仿宋" w:eastAsia="仿宋" w:cs="宋体"/>
          <w:b/>
          <w:color w:val="000000"/>
          <w:spacing w:val="16"/>
          <w:kern w:val="0"/>
          <w:sz w:val="32"/>
          <w:szCs w:val="32"/>
        </w:rPr>
        <w:t>初步核算，</w:t>
      </w:r>
      <w:r>
        <w:rPr>
          <w:rFonts w:hint="eastAsia" w:ascii="仿宋" w:hAnsi="仿宋" w:eastAsia="仿宋" w:cs="宋体"/>
          <w:color w:val="000000"/>
          <w:spacing w:val="16"/>
          <w:kern w:val="0"/>
          <w:sz w:val="32"/>
          <w:szCs w:val="32"/>
          <w:lang w:val="en-US" w:eastAsia="zh-CN"/>
        </w:rPr>
        <w:t>2019年</w:t>
      </w:r>
      <w:r>
        <w:rPr>
          <w:rFonts w:hint="eastAsia" w:ascii="仿宋" w:hAnsi="仿宋" w:eastAsia="仿宋" w:cs="宋体"/>
          <w:color w:val="000000"/>
          <w:spacing w:val="16"/>
          <w:kern w:val="0"/>
          <w:sz w:val="32"/>
          <w:szCs w:val="32"/>
        </w:rPr>
        <w:t>全县实现地区生产总值</w:t>
      </w:r>
      <w:r>
        <w:rPr>
          <w:rFonts w:hint="eastAsia" w:ascii="仿宋" w:hAnsi="仿宋" w:eastAsia="仿宋" w:cs="宋体"/>
          <w:color w:val="000000"/>
          <w:spacing w:val="16"/>
          <w:kern w:val="0"/>
          <w:sz w:val="32"/>
          <w:szCs w:val="32"/>
          <w:lang w:val="en-US" w:eastAsia="zh-CN"/>
        </w:rPr>
        <w:t>105.64</w:t>
      </w:r>
      <w:r>
        <w:rPr>
          <w:rFonts w:hint="eastAsia" w:ascii="仿宋" w:hAnsi="仿宋" w:eastAsia="仿宋" w:cs="宋体"/>
          <w:color w:val="000000"/>
          <w:spacing w:val="16"/>
          <w:kern w:val="0"/>
          <w:sz w:val="32"/>
          <w:szCs w:val="32"/>
        </w:rPr>
        <w:t>亿元，同比增长</w:t>
      </w:r>
      <w:r>
        <w:rPr>
          <w:rFonts w:hint="eastAsia" w:ascii="仿宋" w:hAnsi="仿宋" w:eastAsia="仿宋" w:cs="宋体"/>
          <w:color w:val="000000"/>
          <w:spacing w:val="16"/>
          <w:kern w:val="0"/>
          <w:sz w:val="32"/>
          <w:szCs w:val="32"/>
          <w:lang w:val="en-US" w:eastAsia="zh-CN"/>
        </w:rPr>
        <w:t>8.0</w:t>
      </w:r>
      <w:r>
        <w:rPr>
          <w:rFonts w:hint="eastAsia" w:ascii="仿宋" w:hAnsi="仿宋" w:eastAsia="仿宋" w:cs="宋体"/>
          <w:color w:val="000000"/>
          <w:spacing w:val="16"/>
          <w:kern w:val="0"/>
          <w:sz w:val="32"/>
          <w:szCs w:val="32"/>
        </w:rPr>
        <w:t>%（可比价格，下同）</w:t>
      </w:r>
      <w:r>
        <w:rPr>
          <w:rFonts w:hint="eastAsia" w:ascii="仿宋" w:hAnsi="仿宋" w:eastAsia="仿宋" w:cs="宋体"/>
          <w:b/>
          <w:color w:val="000000"/>
          <w:spacing w:val="16"/>
          <w:kern w:val="0"/>
          <w:sz w:val="32"/>
          <w:szCs w:val="32"/>
        </w:rPr>
        <w:t>。分产业看，</w:t>
      </w:r>
      <w:r>
        <w:rPr>
          <w:rFonts w:hint="eastAsia" w:ascii="仿宋" w:hAnsi="仿宋" w:eastAsia="仿宋" w:cs="宋体"/>
          <w:color w:val="000000"/>
          <w:spacing w:val="16"/>
          <w:kern w:val="0"/>
          <w:sz w:val="32"/>
          <w:szCs w:val="32"/>
        </w:rPr>
        <w:t>第一产业增加值</w:t>
      </w:r>
      <w:r>
        <w:rPr>
          <w:rFonts w:hint="eastAsia" w:ascii="仿宋" w:hAnsi="仿宋" w:eastAsia="仿宋" w:cs="宋体"/>
          <w:color w:val="000000"/>
          <w:spacing w:val="16"/>
          <w:kern w:val="0"/>
          <w:sz w:val="32"/>
          <w:szCs w:val="32"/>
          <w:lang w:val="en-US" w:eastAsia="zh-CN"/>
        </w:rPr>
        <w:t>8.53</w:t>
      </w:r>
      <w:r>
        <w:rPr>
          <w:rFonts w:hint="eastAsia" w:ascii="仿宋" w:hAnsi="仿宋" w:eastAsia="仿宋" w:cs="宋体"/>
          <w:color w:val="000000"/>
          <w:spacing w:val="16"/>
          <w:kern w:val="0"/>
          <w:sz w:val="32"/>
          <w:szCs w:val="32"/>
        </w:rPr>
        <w:t>亿元，增长</w:t>
      </w:r>
      <w:r>
        <w:rPr>
          <w:rFonts w:hint="eastAsia" w:ascii="仿宋" w:hAnsi="仿宋" w:eastAsia="仿宋" w:cs="宋体"/>
          <w:color w:val="000000"/>
          <w:spacing w:val="16"/>
          <w:kern w:val="0"/>
          <w:sz w:val="32"/>
          <w:szCs w:val="32"/>
          <w:lang w:val="en-US" w:eastAsia="zh-CN"/>
        </w:rPr>
        <w:t>4.1</w:t>
      </w:r>
      <w:r>
        <w:rPr>
          <w:rFonts w:hint="eastAsia" w:ascii="仿宋" w:hAnsi="仿宋" w:eastAsia="仿宋" w:cs="宋体"/>
          <w:color w:val="000000"/>
          <w:spacing w:val="16"/>
          <w:kern w:val="0"/>
          <w:sz w:val="32"/>
          <w:szCs w:val="32"/>
        </w:rPr>
        <w:t>%；第二产业增加值</w:t>
      </w:r>
      <w:r>
        <w:rPr>
          <w:rFonts w:hint="eastAsia" w:ascii="仿宋" w:hAnsi="仿宋" w:eastAsia="仿宋" w:cs="宋体"/>
          <w:color w:val="000000"/>
          <w:spacing w:val="16"/>
          <w:kern w:val="0"/>
          <w:sz w:val="32"/>
          <w:szCs w:val="32"/>
          <w:lang w:val="en-US" w:eastAsia="zh-CN"/>
        </w:rPr>
        <w:t>55.07</w:t>
      </w:r>
      <w:r>
        <w:rPr>
          <w:rFonts w:hint="eastAsia" w:ascii="仿宋" w:hAnsi="仿宋" w:eastAsia="仿宋" w:cs="宋体"/>
          <w:color w:val="000000"/>
          <w:spacing w:val="16"/>
          <w:kern w:val="0"/>
          <w:sz w:val="32"/>
          <w:szCs w:val="32"/>
        </w:rPr>
        <w:t>亿元，增长</w:t>
      </w:r>
      <w:r>
        <w:rPr>
          <w:rFonts w:hint="eastAsia" w:ascii="仿宋" w:hAnsi="仿宋" w:eastAsia="仿宋" w:cs="宋体"/>
          <w:color w:val="000000"/>
          <w:spacing w:val="16"/>
          <w:kern w:val="0"/>
          <w:sz w:val="32"/>
          <w:szCs w:val="32"/>
          <w:lang w:val="en-US" w:eastAsia="zh-CN"/>
        </w:rPr>
        <w:t>8.7</w:t>
      </w:r>
      <w:r>
        <w:rPr>
          <w:rFonts w:hint="eastAsia" w:ascii="仿宋" w:hAnsi="仿宋" w:eastAsia="仿宋" w:cs="宋体"/>
          <w:color w:val="000000"/>
          <w:spacing w:val="16"/>
          <w:kern w:val="0"/>
          <w:sz w:val="32"/>
          <w:szCs w:val="32"/>
        </w:rPr>
        <w:t>%；第三产业增加值</w:t>
      </w:r>
      <w:r>
        <w:rPr>
          <w:rFonts w:hint="eastAsia" w:ascii="仿宋" w:hAnsi="仿宋" w:eastAsia="仿宋" w:cs="宋体"/>
          <w:color w:val="000000"/>
          <w:spacing w:val="16"/>
          <w:kern w:val="0"/>
          <w:sz w:val="32"/>
          <w:szCs w:val="32"/>
          <w:lang w:val="en-US" w:eastAsia="zh-CN"/>
        </w:rPr>
        <w:t>42.04</w:t>
      </w:r>
      <w:r>
        <w:rPr>
          <w:rFonts w:hint="eastAsia" w:ascii="仿宋" w:hAnsi="仿宋" w:eastAsia="仿宋" w:cs="宋体"/>
          <w:color w:val="000000"/>
          <w:spacing w:val="16"/>
          <w:kern w:val="0"/>
          <w:sz w:val="32"/>
          <w:szCs w:val="32"/>
        </w:rPr>
        <w:t>亿元，增长</w:t>
      </w:r>
      <w:r>
        <w:rPr>
          <w:rFonts w:hint="eastAsia" w:ascii="仿宋" w:hAnsi="仿宋" w:eastAsia="仿宋" w:cs="宋体"/>
          <w:color w:val="000000"/>
          <w:spacing w:val="16"/>
          <w:kern w:val="0"/>
          <w:sz w:val="32"/>
          <w:szCs w:val="32"/>
          <w:lang w:val="en-US" w:eastAsia="zh-CN"/>
        </w:rPr>
        <w:t>7.8</w:t>
      </w:r>
      <w:r>
        <w:rPr>
          <w:rFonts w:hint="eastAsia" w:ascii="仿宋" w:hAnsi="仿宋" w:eastAsia="仿宋" w:cs="宋体"/>
          <w:color w:val="000000"/>
          <w:spacing w:val="16"/>
          <w:kern w:val="0"/>
          <w:sz w:val="32"/>
          <w:szCs w:val="32"/>
        </w:rPr>
        <w:t>%。</w:t>
      </w:r>
      <w:r>
        <w:rPr>
          <w:rFonts w:hint="eastAsia" w:ascii="仿宋" w:hAnsi="仿宋" w:eastAsia="仿宋" w:cs="宋体"/>
          <w:b/>
          <w:color w:val="000000"/>
          <w:spacing w:val="16"/>
          <w:kern w:val="0"/>
          <w:sz w:val="32"/>
          <w:szCs w:val="32"/>
        </w:rPr>
        <w:t>从产业结构看，</w:t>
      </w:r>
      <w:r>
        <w:rPr>
          <w:rFonts w:hint="eastAsia" w:ascii="仿宋" w:hAnsi="仿宋" w:eastAsia="仿宋" w:cs="宋体"/>
          <w:color w:val="000000"/>
          <w:spacing w:val="16"/>
          <w:kern w:val="0"/>
          <w:sz w:val="32"/>
          <w:szCs w:val="32"/>
        </w:rPr>
        <w:t>三次产业增加值结构由上年同期的</w:t>
      </w:r>
      <w:r>
        <w:rPr>
          <w:rFonts w:hint="eastAsia" w:ascii="仿宋" w:hAnsi="仿宋" w:eastAsia="仿宋" w:cs="宋体"/>
          <w:color w:val="000000"/>
          <w:spacing w:val="16"/>
          <w:kern w:val="0"/>
          <w:sz w:val="32"/>
          <w:szCs w:val="32"/>
          <w:lang w:val="en-US" w:eastAsia="zh-CN"/>
        </w:rPr>
        <w:t>7.4：53.8：38.8</w:t>
      </w:r>
      <w:r>
        <w:rPr>
          <w:rFonts w:hint="eastAsia" w:ascii="仿宋" w:hAnsi="仿宋" w:eastAsia="仿宋" w:cs="宋体"/>
          <w:color w:val="000000"/>
          <w:spacing w:val="16"/>
          <w:kern w:val="0"/>
          <w:sz w:val="32"/>
          <w:szCs w:val="32"/>
        </w:rPr>
        <w:t>调整为今年的</w:t>
      </w:r>
      <w:r>
        <w:rPr>
          <w:rFonts w:hint="eastAsia" w:ascii="仿宋" w:hAnsi="仿宋" w:eastAsia="仿宋" w:cs="宋体"/>
          <w:color w:val="000000"/>
          <w:spacing w:val="16"/>
          <w:kern w:val="0"/>
          <w:sz w:val="32"/>
          <w:szCs w:val="32"/>
          <w:lang w:val="en-US" w:eastAsia="zh-CN"/>
        </w:rPr>
        <w:t>8.1</w:t>
      </w:r>
      <w:r>
        <w:rPr>
          <w:rFonts w:hint="eastAsia" w:ascii="仿宋" w:hAnsi="仿宋" w:eastAsia="仿宋" w:cs="宋体"/>
          <w:color w:val="000000"/>
          <w:spacing w:val="16"/>
          <w:kern w:val="0"/>
          <w:sz w:val="32"/>
          <w:szCs w:val="32"/>
        </w:rPr>
        <w:t>:</w:t>
      </w:r>
      <w:r>
        <w:rPr>
          <w:rFonts w:hint="eastAsia" w:ascii="仿宋" w:hAnsi="仿宋" w:eastAsia="仿宋" w:cs="宋体"/>
          <w:color w:val="000000"/>
          <w:spacing w:val="16"/>
          <w:kern w:val="0"/>
          <w:sz w:val="32"/>
          <w:szCs w:val="32"/>
          <w:lang w:val="en-US" w:eastAsia="zh-CN"/>
        </w:rPr>
        <w:t>52.1</w:t>
      </w:r>
      <w:r>
        <w:rPr>
          <w:rFonts w:hint="eastAsia" w:ascii="仿宋" w:hAnsi="仿宋" w:eastAsia="仿宋" w:cs="宋体"/>
          <w:color w:val="000000"/>
          <w:spacing w:val="16"/>
          <w:kern w:val="0"/>
          <w:sz w:val="32"/>
          <w:szCs w:val="32"/>
        </w:rPr>
        <w:t>:</w:t>
      </w:r>
      <w:r>
        <w:rPr>
          <w:rFonts w:hint="eastAsia" w:ascii="仿宋" w:hAnsi="仿宋" w:eastAsia="仿宋" w:cs="宋体"/>
          <w:color w:val="000000"/>
          <w:spacing w:val="16"/>
          <w:kern w:val="0"/>
          <w:sz w:val="32"/>
          <w:szCs w:val="32"/>
          <w:lang w:val="en-US" w:eastAsia="zh-CN"/>
        </w:rPr>
        <w:t>39.8</w:t>
      </w:r>
      <w:r>
        <w:rPr>
          <w:rFonts w:hint="eastAsia" w:ascii="仿宋" w:hAnsi="仿宋" w:eastAsia="仿宋" w:cs="宋体"/>
          <w:color w:val="000000"/>
          <w:spacing w:val="16"/>
          <w:kern w:val="0"/>
          <w:sz w:val="32"/>
          <w:szCs w:val="32"/>
        </w:rPr>
        <w:t>，</w:t>
      </w:r>
      <w:r>
        <w:rPr>
          <w:rFonts w:hint="eastAsia" w:ascii="仿宋" w:hAnsi="仿宋" w:eastAsia="仿宋" w:cs="宋体"/>
          <w:color w:val="000000"/>
          <w:spacing w:val="16"/>
          <w:kern w:val="0"/>
          <w:sz w:val="32"/>
          <w:szCs w:val="32"/>
          <w:lang w:val="en-US" w:eastAsia="zh-CN"/>
        </w:rPr>
        <w:t>第一产业比重上升0.7个百分点，</w:t>
      </w:r>
      <w:r>
        <w:rPr>
          <w:rFonts w:hint="eastAsia" w:ascii="仿宋" w:hAnsi="仿宋" w:eastAsia="仿宋" w:cs="宋体"/>
          <w:color w:val="000000"/>
          <w:spacing w:val="16"/>
          <w:kern w:val="0"/>
          <w:sz w:val="32"/>
          <w:szCs w:val="32"/>
        </w:rPr>
        <w:t>第二产业比重</w:t>
      </w:r>
      <w:r>
        <w:rPr>
          <w:rFonts w:hint="eastAsia" w:ascii="仿宋" w:hAnsi="仿宋" w:eastAsia="仿宋" w:cs="宋体"/>
          <w:color w:val="000000"/>
          <w:spacing w:val="16"/>
          <w:kern w:val="0"/>
          <w:sz w:val="32"/>
          <w:szCs w:val="32"/>
          <w:lang w:val="en-US" w:eastAsia="zh-CN"/>
        </w:rPr>
        <w:t>下降1.7</w:t>
      </w:r>
      <w:r>
        <w:rPr>
          <w:rFonts w:hint="eastAsia" w:ascii="仿宋" w:hAnsi="仿宋" w:eastAsia="仿宋" w:cs="宋体"/>
          <w:color w:val="000000"/>
          <w:spacing w:val="16"/>
          <w:kern w:val="0"/>
          <w:sz w:val="32"/>
          <w:szCs w:val="32"/>
        </w:rPr>
        <w:t>个百分点，第三产业比重</w:t>
      </w:r>
      <w:r>
        <w:rPr>
          <w:rFonts w:hint="eastAsia" w:ascii="仿宋" w:hAnsi="仿宋" w:eastAsia="仿宋" w:cs="宋体"/>
          <w:color w:val="000000"/>
          <w:spacing w:val="16"/>
          <w:kern w:val="0"/>
          <w:sz w:val="32"/>
          <w:szCs w:val="32"/>
          <w:lang w:val="en-US" w:eastAsia="zh-CN"/>
        </w:rPr>
        <w:t>上升1个百分点</w:t>
      </w:r>
      <w:r>
        <w:rPr>
          <w:rFonts w:hint="eastAsia" w:ascii="仿宋" w:hAnsi="仿宋" w:eastAsia="仿宋" w:cs="宋体"/>
          <w:color w:val="000000"/>
          <w:spacing w:val="16"/>
          <w:kern w:val="0"/>
          <w:sz w:val="32"/>
          <w:szCs w:val="32"/>
        </w:rPr>
        <w:t>。</w:t>
      </w:r>
      <w:r>
        <w:rPr>
          <w:rFonts w:hint="eastAsia" w:ascii="仿宋" w:hAnsi="仿宋" w:eastAsia="仿宋" w:cs="宋体"/>
          <w:b/>
          <w:color w:val="000000"/>
          <w:spacing w:val="16"/>
          <w:kern w:val="0"/>
          <w:sz w:val="32"/>
          <w:szCs w:val="32"/>
        </w:rPr>
        <w:t>从三次产业的贡献</w:t>
      </w:r>
      <w:r>
        <w:rPr>
          <w:rFonts w:hint="eastAsia" w:ascii="仿宋" w:hAnsi="仿宋" w:eastAsia="仿宋" w:cs="宋体"/>
          <w:b/>
          <w:color w:val="000000"/>
          <w:spacing w:val="16"/>
          <w:kern w:val="0"/>
          <w:sz w:val="32"/>
          <w:szCs w:val="32"/>
          <w:lang w:val="en-US" w:eastAsia="zh-CN"/>
        </w:rPr>
        <w:t>拉动</w:t>
      </w:r>
      <w:r>
        <w:rPr>
          <w:rFonts w:hint="eastAsia" w:ascii="仿宋" w:hAnsi="仿宋" w:eastAsia="仿宋" w:cs="宋体"/>
          <w:b/>
          <w:color w:val="000000"/>
          <w:spacing w:val="16"/>
          <w:kern w:val="0"/>
          <w:sz w:val="32"/>
          <w:szCs w:val="32"/>
        </w:rPr>
        <w:t>来看，</w:t>
      </w:r>
      <w:r>
        <w:rPr>
          <w:rFonts w:hint="eastAsia" w:ascii="仿宋" w:hAnsi="仿宋" w:eastAsia="仿宋" w:cs="宋体"/>
          <w:color w:val="000000"/>
          <w:spacing w:val="16"/>
          <w:kern w:val="0"/>
          <w:sz w:val="32"/>
          <w:szCs w:val="32"/>
        </w:rPr>
        <w:t>一、二、三产业对经济增长的贡献率</w:t>
      </w:r>
      <w:r>
        <w:rPr>
          <w:rFonts w:hint="eastAsia" w:ascii="仿宋" w:hAnsi="仿宋" w:eastAsia="仿宋" w:cs="宋体"/>
          <w:color w:val="000000"/>
          <w:spacing w:val="16"/>
          <w:kern w:val="0"/>
          <w:sz w:val="32"/>
          <w:szCs w:val="32"/>
          <w:lang w:val="en-US" w:eastAsia="zh-CN"/>
        </w:rPr>
        <w:t>为4.2</w:t>
      </w:r>
      <w:r>
        <w:rPr>
          <w:rFonts w:hint="eastAsia" w:ascii="仿宋" w:hAnsi="仿宋" w:eastAsia="仿宋" w:cs="宋体"/>
          <w:color w:val="000000"/>
          <w:spacing w:val="16"/>
          <w:kern w:val="0"/>
          <w:sz w:val="32"/>
          <w:szCs w:val="32"/>
        </w:rPr>
        <w:t>%、</w:t>
      </w:r>
      <w:r>
        <w:rPr>
          <w:rFonts w:hint="eastAsia" w:ascii="仿宋" w:hAnsi="仿宋" w:eastAsia="仿宋" w:cs="宋体"/>
          <w:color w:val="000000"/>
          <w:spacing w:val="16"/>
          <w:kern w:val="0"/>
          <w:sz w:val="32"/>
          <w:szCs w:val="32"/>
          <w:lang w:val="en-US" w:eastAsia="zh-CN"/>
        </w:rPr>
        <w:t>57.8</w:t>
      </w:r>
      <w:r>
        <w:rPr>
          <w:rFonts w:hint="eastAsia" w:ascii="仿宋" w:hAnsi="仿宋" w:eastAsia="仿宋" w:cs="宋体"/>
          <w:color w:val="000000"/>
          <w:spacing w:val="16"/>
          <w:kern w:val="0"/>
          <w:sz w:val="32"/>
          <w:szCs w:val="32"/>
        </w:rPr>
        <w:t>%和</w:t>
      </w:r>
      <w:r>
        <w:rPr>
          <w:rFonts w:hint="eastAsia" w:ascii="仿宋" w:hAnsi="仿宋" w:eastAsia="仿宋" w:cs="宋体"/>
          <w:color w:val="000000"/>
          <w:spacing w:val="16"/>
          <w:kern w:val="0"/>
          <w:sz w:val="32"/>
          <w:szCs w:val="32"/>
          <w:lang w:val="en-US" w:eastAsia="zh-CN"/>
        </w:rPr>
        <w:t>38.0</w:t>
      </w:r>
      <w:r>
        <w:rPr>
          <w:rFonts w:hint="eastAsia" w:ascii="仿宋" w:hAnsi="仿宋" w:eastAsia="仿宋" w:cs="宋体"/>
          <w:color w:val="000000"/>
          <w:spacing w:val="16"/>
          <w:kern w:val="0"/>
          <w:sz w:val="32"/>
          <w:szCs w:val="32"/>
        </w:rPr>
        <w:t>%</w:t>
      </w:r>
      <w:r>
        <w:rPr>
          <w:rFonts w:hint="eastAsia" w:ascii="仿宋" w:hAnsi="仿宋" w:eastAsia="仿宋" w:cs="宋体"/>
          <w:color w:val="000000"/>
          <w:spacing w:val="16"/>
          <w:kern w:val="0"/>
          <w:sz w:val="32"/>
          <w:szCs w:val="32"/>
          <w:lang w:eastAsia="zh-CN"/>
        </w:rPr>
        <w:t>。</w:t>
      </w:r>
      <w:r>
        <w:rPr>
          <w:rFonts w:hint="eastAsia" w:ascii="仿宋" w:hAnsi="仿宋" w:eastAsia="仿宋" w:cs="宋体"/>
          <w:color w:val="000000"/>
          <w:spacing w:val="16"/>
          <w:kern w:val="0"/>
          <w:sz w:val="32"/>
          <w:szCs w:val="32"/>
        </w:rPr>
        <w:t>一产拉动经济增长0.</w:t>
      </w:r>
      <w:r>
        <w:rPr>
          <w:rFonts w:hint="eastAsia" w:ascii="仿宋" w:hAnsi="仿宋" w:eastAsia="仿宋" w:cs="宋体"/>
          <w:color w:val="000000"/>
          <w:spacing w:val="16"/>
          <w:kern w:val="0"/>
          <w:sz w:val="32"/>
          <w:szCs w:val="32"/>
          <w:lang w:val="en-US" w:eastAsia="zh-CN"/>
        </w:rPr>
        <w:t>3</w:t>
      </w:r>
      <w:r>
        <w:rPr>
          <w:rFonts w:hint="eastAsia" w:ascii="仿宋" w:hAnsi="仿宋" w:eastAsia="仿宋" w:cs="宋体"/>
          <w:color w:val="000000"/>
          <w:spacing w:val="16"/>
          <w:kern w:val="0"/>
          <w:sz w:val="32"/>
          <w:szCs w:val="32"/>
        </w:rPr>
        <w:t>个百分点，二产拉动经济增长</w:t>
      </w:r>
      <w:r>
        <w:rPr>
          <w:rFonts w:hint="eastAsia" w:ascii="仿宋" w:hAnsi="仿宋" w:eastAsia="仿宋" w:cs="宋体"/>
          <w:color w:val="000000"/>
          <w:spacing w:val="16"/>
          <w:kern w:val="0"/>
          <w:sz w:val="32"/>
          <w:szCs w:val="32"/>
          <w:lang w:val="en-US" w:eastAsia="zh-CN"/>
        </w:rPr>
        <w:t>4.6</w:t>
      </w:r>
      <w:r>
        <w:rPr>
          <w:rFonts w:hint="eastAsia" w:ascii="仿宋" w:hAnsi="仿宋" w:eastAsia="仿宋" w:cs="宋体"/>
          <w:color w:val="000000"/>
          <w:spacing w:val="16"/>
          <w:kern w:val="0"/>
          <w:sz w:val="32"/>
          <w:szCs w:val="32"/>
        </w:rPr>
        <w:t>个百分点，三产拉动经济增长</w:t>
      </w:r>
      <w:r>
        <w:rPr>
          <w:rFonts w:hint="eastAsia" w:ascii="仿宋" w:hAnsi="仿宋" w:eastAsia="仿宋" w:cs="宋体"/>
          <w:color w:val="000000"/>
          <w:spacing w:val="16"/>
          <w:kern w:val="0"/>
          <w:sz w:val="32"/>
          <w:szCs w:val="32"/>
          <w:lang w:val="en-US" w:eastAsia="zh-CN"/>
        </w:rPr>
        <w:t>3.1</w:t>
      </w:r>
      <w:r>
        <w:rPr>
          <w:rFonts w:hint="eastAsia" w:ascii="仿宋" w:hAnsi="仿宋" w:eastAsia="仿宋" w:cs="宋体"/>
          <w:color w:val="000000"/>
          <w:spacing w:val="16"/>
          <w:kern w:val="0"/>
          <w:sz w:val="32"/>
          <w:szCs w:val="32"/>
        </w:rPr>
        <w:t>个百分点</w:t>
      </w:r>
      <w:r>
        <w:rPr>
          <w:rFonts w:ascii="仿宋" w:hAnsi="仿宋" w:eastAsia="仿宋" w:cs="宋体"/>
          <w:color w:val="000000"/>
          <w:kern w:val="0"/>
          <w:sz w:val="32"/>
          <w:szCs w:val="32"/>
        </w:rPr>
        <w:t>。</w:t>
      </w:r>
      <w:r>
        <w:rPr>
          <w:rStyle w:val="11"/>
          <w:rFonts w:hint="eastAsia" w:ascii="仿宋" w:hAnsi="仿宋" w:eastAsia="仿宋"/>
          <w:sz w:val="32"/>
          <w:szCs w:val="32"/>
        </w:rPr>
        <w:t>按常住人口计算，</w:t>
      </w:r>
      <w:r>
        <w:rPr>
          <w:rFonts w:hint="eastAsia" w:ascii="仿宋" w:hAnsi="仿宋" w:eastAsia="仿宋"/>
          <w:kern w:val="0"/>
          <w:sz w:val="32"/>
          <w:szCs w:val="32"/>
        </w:rPr>
        <w:t>全县人均地区生产总值</w:t>
      </w:r>
      <w:r>
        <w:rPr>
          <w:rFonts w:hint="eastAsia" w:ascii="仿宋" w:hAnsi="仿宋" w:eastAsia="仿宋"/>
          <w:kern w:val="0"/>
          <w:sz w:val="32"/>
          <w:szCs w:val="32"/>
          <w:lang w:val="en-US" w:eastAsia="zh-CN"/>
        </w:rPr>
        <w:t>66513</w:t>
      </w:r>
      <w:r>
        <w:rPr>
          <w:rFonts w:hint="eastAsia" w:ascii="仿宋" w:hAnsi="仿宋" w:eastAsia="仿宋"/>
          <w:kern w:val="0"/>
          <w:sz w:val="32"/>
          <w:szCs w:val="32"/>
        </w:rPr>
        <w:t>元</w:t>
      </w:r>
      <w:r>
        <w:rPr>
          <w:rFonts w:hint="eastAsia" w:ascii="仿宋" w:hAnsi="仿宋" w:eastAsia="仿宋"/>
          <w:b/>
          <w:bCs/>
          <w:kern w:val="0"/>
          <w:sz w:val="32"/>
          <w:szCs w:val="32"/>
        </w:rPr>
        <w:t>，</w:t>
      </w:r>
      <w:r>
        <w:rPr>
          <w:rFonts w:hint="eastAsia" w:ascii="仿宋" w:hAnsi="仿宋" w:eastAsia="仿宋" w:cs="宋体"/>
          <w:color w:val="000000"/>
          <w:kern w:val="0"/>
          <w:sz w:val="32"/>
          <w:szCs w:val="32"/>
          <w:lang w:val="en-US" w:eastAsia="zh-CN"/>
        </w:rPr>
        <w:t>较上年增长7.4%(可比增速)。</w:t>
      </w:r>
    </w:p>
    <w:p>
      <w:pPr>
        <w:widowControl/>
        <w:spacing w:line="600" w:lineRule="exact"/>
        <w:ind w:firstLine="645"/>
        <w:rPr>
          <w:rFonts w:hint="eastAsia" w:ascii="仿宋" w:hAnsi="仿宋" w:eastAsia="仿宋" w:cs="宋体"/>
          <w:color w:val="000000"/>
          <w:kern w:val="0"/>
          <w:sz w:val="32"/>
          <w:szCs w:val="32"/>
          <w:lang w:val="en-US" w:eastAsia="zh-CN"/>
        </w:rPr>
      </w:pPr>
    </w:p>
    <w:p>
      <w:pPr>
        <w:widowControl/>
        <w:shd w:val="clear" w:color="auto" w:fill="FFFFFF"/>
        <w:ind w:firstLine="1458" w:firstLineChars="484"/>
        <w:jc w:val="left"/>
        <w:rPr>
          <w:rFonts w:ascii="仿宋" w:hAnsi="仿宋" w:eastAsia="仿宋" w:cs="宋体"/>
          <w:b/>
          <w:bCs/>
          <w:kern w:val="0"/>
          <w:sz w:val="30"/>
          <w:szCs w:val="30"/>
          <w:highlight w:val="none"/>
        </w:rPr>
      </w:pPr>
      <w:r>
        <w:rPr>
          <w:rFonts w:hint="eastAsia" w:ascii="仿宋" w:hAnsi="仿宋" w:eastAsia="仿宋" w:cs="宋体"/>
          <w:b/>
          <w:bCs/>
          <w:kern w:val="0"/>
          <w:sz w:val="30"/>
          <w:szCs w:val="30"/>
          <w:highlight w:val="none"/>
        </w:rPr>
        <w:t>图1</w:t>
      </w:r>
      <w:r>
        <w:rPr>
          <w:rFonts w:ascii="仿宋" w:hAnsi="仿宋" w:eastAsia="仿宋" w:cs="宋体"/>
          <w:b/>
          <w:bCs/>
          <w:kern w:val="0"/>
          <w:sz w:val="30"/>
          <w:szCs w:val="30"/>
          <w:highlight w:val="none"/>
        </w:rPr>
        <w:t xml:space="preserve">   201</w:t>
      </w:r>
      <w:r>
        <w:rPr>
          <w:rFonts w:hint="eastAsia" w:ascii="仿宋" w:hAnsi="仿宋" w:eastAsia="仿宋" w:cs="宋体"/>
          <w:b/>
          <w:bCs/>
          <w:kern w:val="0"/>
          <w:sz w:val="30"/>
          <w:szCs w:val="30"/>
          <w:highlight w:val="none"/>
          <w:lang w:val="en-US" w:eastAsia="zh-CN"/>
        </w:rPr>
        <w:t>5</w:t>
      </w:r>
      <w:r>
        <w:rPr>
          <w:rFonts w:ascii="仿宋" w:hAnsi="仿宋" w:eastAsia="仿宋" w:cs="宋体"/>
          <w:b/>
          <w:bCs/>
          <w:kern w:val="0"/>
          <w:sz w:val="30"/>
          <w:szCs w:val="30"/>
          <w:highlight w:val="none"/>
        </w:rPr>
        <w:t>-201</w:t>
      </w:r>
      <w:r>
        <w:rPr>
          <w:rFonts w:hint="eastAsia" w:ascii="仿宋" w:hAnsi="仿宋" w:eastAsia="仿宋" w:cs="宋体"/>
          <w:b/>
          <w:bCs/>
          <w:kern w:val="0"/>
          <w:sz w:val="30"/>
          <w:szCs w:val="30"/>
          <w:highlight w:val="none"/>
          <w:lang w:val="en-US" w:eastAsia="zh-CN"/>
        </w:rPr>
        <w:t>9</w:t>
      </w:r>
      <w:r>
        <w:rPr>
          <w:rFonts w:hint="eastAsia" w:ascii="仿宋" w:hAnsi="仿宋" w:eastAsia="仿宋" w:cs="宋体"/>
          <w:b/>
          <w:bCs/>
          <w:kern w:val="0"/>
          <w:sz w:val="30"/>
          <w:szCs w:val="30"/>
          <w:highlight w:val="none"/>
        </w:rPr>
        <w:t>年</w:t>
      </w:r>
      <w:r>
        <w:rPr>
          <w:rFonts w:ascii="仿宋" w:hAnsi="仿宋" w:eastAsia="仿宋" w:cs="宋体"/>
          <w:b/>
          <w:bCs/>
          <w:kern w:val="0"/>
          <w:sz w:val="30"/>
          <w:szCs w:val="30"/>
          <w:highlight w:val="none"/>
        </w:rPr>
        <w:t>地区生产总值总量及增速图</w:t>
      </w:r>
    </w:p>
    <w:p>
      <w:pPr>
        <w:widowControl/>
        <w:shd w:val="clear" w:color="auto" w:fill="FFFFFF"/>
        <w:ind w:left="1077" w:leftChars="300" w:hanging="447" w:hangingChars="213"/>
        <w:jc w:val="left"/>
      </w:pPr>
      <w:r>
        <w:drawing>
          <wp:inline distT="0" distB="0" distL="114300" distR="114300">
            <wp:extent cx="5035550" cy="3635375"/>
            <wp:effectExtent l="20320" t="1270" r="30480" b="209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pPr>
      <w:r>
        <w:rPr>
          <w:rFonts w:hint="eastAsia" w:ascii="仿宋" w:hAnsi="仿宋" w:eastAsia="仿宋" w:cs="宋体"/>
          <w:kern w:val="0"/>
          <w:sz w:val="32"/>
          <w:szCs w:val="32"/>
        </w:rPr>
        <w:t xml:space="preserve">图2 </w:t>
      </w:r>
      <w:r>
        <w:rPr>
          <w:rFonts w:hint="eastAsia" w:ascii="仿宋" w:hAnsi="仿宋" w:eastAsia="仿宋" w:cs="宋体"/>
          <w:kern w:val="0"/>
          <w:sz w:val="32"/>
          <w:szCs w:val="32"/>
          <w:highlight w:val="none"/>
        </w:rPr>
        <w:t xml:space="preserve"> 201</w:t>
      </w:r>
      <w:r>
        <w:rPr>
          <w:rFonts w:hint="eastAsia" w:ascii="仿宋" w:hAnsi="仿宋" w:eastAsia="仿宋" w:cs="宋体"/>
          <w:kern w:val="0"/>
          <w:sz w:val="32"/>
          <w:szCs w:val="32"/>
          <w:highlight w:val="none"/>
          <w:lang w:val="en-US" w:eastAsia="zh-CN"/>
        </w:rPr>
        <w:t>5</w:t>
      </w:r>
      <w:r>
        <w:rPr>
          <w:rFonts w:hint="eastAsia" w:ascii="仿宋" w:hAnsi="仿宋" w:eastAsia="仿宋" w:cs="宋体"/>
          <w:kern w:val="0"/>
          <w:sz w:val="32"/>
          <w:szCs w:val="32"/>
          <w:highlight w:val="none"/>
        </w:rPr>
        <w:t>－201</w:t>
      </w:r>
      <w:r>
        <w:rPr>
          <w:rFonts w:hint="eastAsia" w:ascii="仿宋" w:hAnsi="仿宋" w:eastAsia="仿宋" w:cs="宋体"/>
          <w:kern w:val="0"/>
          <w:sz w:val="32"/>
          <w:szCs w:val="32"/>
          <w:highlight w:val="none"/>
          <w:lang w:val="en-US" w:eastAsia="zh-CN"/>
        </w:rPr>
        <w:t>9</w:t>
      </w:r>
      <w:r>
        <w:rPr>
          <w:rFonts w:hint="eastAsia" w:ascii="仿宋" w:hAnsi="仿宋" w:eastAsia="仿宋" w:cs="宋体"/>
          <w:kern w:val="0"/>
          <w:sz w:val="32"/>
          <w:szCs w:val="32"/>
          <w:highlight w:val="none"/>
        </w:rPr>
        <w:t xml:space="preserve">年地区生产总值构成图 </w:t>
      </w:r>
      <w:r>
        <w:drawing>
          <wp:inline distT="0" distB="0" distL="114300" distR="114300">
            <wp:extent cx="5271135" cy="3410585"/>
            <wp:effectExtent l="19050" t="19050" r="24765" b="37465"/>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2"/>
        <w:rPr>
          <w:rFonts w:hint="eastAsia"/>
          <w:lang w:val="en-US" w:eastAsia="zh-CN"/>
        </w:rPr>
      </w:pPr>
    </w:p>
    <w:tbl>
      <w:tblPr>
        <w:tblStyle w:val="7"/>
        <w:tblW w:w="7980" w:type="dxa"/>
        <w:tblInd w:w="93" w:type="dxa"/>
        <w:tblLayout w:type="fixed"/>
        <w:tblCellMar>
          <w:top w:w="0" w:type="dxa"/>
          <w:left w:w="108" w:type="dxa"/>
          <w:bottom w:w="0" w:type="dxa"/>
          <w:right w:w="108" w:type="dxa"/>
        </w:tblCellMar>
      </w:tblPr>
      <w:tblGrid>
        <w:gridCol w:w="3984"/>
        <w:gridCol w:w="1813"/>
        <w:gridCol w:w="2183"/>
      </w:tblGrid>
      <w:tr>
        <w:tblPrEx>
          <w:tblCellMar>
            <w:top w:w="0" w:type="dxa"/>
            <w:left w:w="108" w:type="dxa"/>
            <w:bottom w:w="0" w:type="dxa"/>
            <w:right w:w="108" w:type="dxa"/>
          </w:tblCellMar>
        </w:tblPrEx>
        <w:trPr>
          <w:trHeight w:val="375" w:hRule="atLeast"/>
        </w:trPr>
        <w:tc>
          <w:tcPr>
            <w:tcW w:w="7980" w:type="dxa"/>
            <w:gridSpan w:val="3"/>
            <w:tcBorders>
              <w:top w:val="nil"/>
              <w:left w:val="nil"/>
              <w:bottom w:val="nil"/>
              <w:right w:val="nil"/>
            </w:tcBorders>
            <w:shd w:val="clear" w:color="auto" w:fill="auto"/>
            <w:noWrap/>
            <w:vAlign w:val="bottom"/>
          </w:tcPr>
          <w:p>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表1　　201</w:t>
            </w:r>
            <w:r>
              <w:rPr>
                <w:rFonts w:hint="eastAsia" w:ascii="黑体" w:hAnsi="黑体" w:eastAsia="黑体" w:cs="宋体"/>
                <w:b/>
                <w:bCs/>
                <w:kern w:val="0"/>
                <w:sz w:val="28"/>
                <w:szCs w:val="28"/>
                <w:lang w:val="en-US" w:eastAsia="zh-CN"/>
              </w:rPr>
              <w:t>9</w:t>
            </w:r>
            <w:r>
              <w:rPr>
                <w:rFonts w:hint="eastAsia" w:ascii="黑体" w:hAnsi="黑体" w:eastAsia="黑体" w:cs="宋体"/>
                <w:b/>
                <w:bCs/>
                <w:kern w:val="0"/>
                <w:sz w:val="28"/>
                <w:szCs w:val="28"/>
              </w:rPr>
              <w:t>年全县地区生产总值构成</w:t>
            </w:r>
          </w:p>
        </w:tc>
      </w:tr>
      <w:tr>
        <w:tblPrEx>
          <w:tblCellMar>
            <w:top w:w="0" w:type="dxa"/>
            <w:left w:w="108" w:type="dxa"/>
            <w:bottom w:w="0" w:type="dxa"/>
            <w:right w:w="108" w:type="dxa"/>
          </w:tblCellMar>
        </w:tblPrEx>
        <w:trPr>
          <w:trHeight w:val="360" w:hRule="atLeast"/>
        </w:trPr>
        <w:tc>
          <w:tcPr>
            <w:tcW w:w="3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指标</w:t>
            </w:r>
          </w:p>
        </w:tc>
        <w:tc>
          <w:tcPr>
            <w:tcW w:w="18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绝对值（万元）</w:t>
            </w:r>
          </w:p>
        </w:tc>
        <w:tc>
          <w:tcPr>
            <w:tcW w:w="2183" w:type="dxa"/>
            <w:tcBorders>
              <w:top w:val="single" w:color="auto" w:sz="4" w:space="0"/>
              <w:left w:val="nil"/>
              <w:bottom w:val="single" w:color="auto" w:sz="4" w:space="0"/>
              <w:right w:val="nil"/>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比上年增长（%）</w:t>
            </w:r>
          </w:p>
        </w:tc>
      </w:tr>
      <w:tr>
        <w:tblPrEx>
          <w:tblCellMar>
            <w:top w:w="0" w:type="dxa"/>
            <w:left w:w="108" w:type="dxa"/>
            <w:bottom w:w="0" w:type="dxa"/>
            <w:right w:w="108" w:type="dxa"/>
          </w:tblCellMar>
        </w:tblPrEx>
        <w:trPr>
          <w:trHeight w:val="333"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b/>
                <w:color w:val="000000"/>
                <w:sz w:val="22"/>
              </w:rPr>
            </w:pPr>
            <w:r>
              <w:rPr>
                <w:rFonts w:hint="eastAsia"/>
                <w:b/>
                <w:color w:val="000000"/>
                <w:sz w:val="22"/>
              </w:rPr>
              <w:t>地区生产总值</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color w:val="000000"/>
                <w:sz w:val="22"/>
              </w:rPr>
            </w:pPr>
            <w:r>
              <w:rPr>
                <w:rFonts w:hint="eastAsia" w:ascii="宋体" w:hAnsi="宋体" w:eastAsia="宋体" w:cs="宋体"/>
                <w:b/>
                <w:i w:val="0"/>
                <w:color w:val="000000"/>
                <w:kern w:val="0"/>
                <w:sz w:val="22"/>
                <w:szCs w:val="22"/>
                <w:u w:val="none"/>
                <w:lang w:val="en-US" w:eastAsia="zh-CN" w:bidi="ar"/>
              </w:rPr>
              <w:t xml:space="preserve">1056416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b/>
                <w:bCs/>
                <w:color w:val="000000"/>
                <w:sz w:val="22"/>
              </w:rPr>
            </w:pPr>
            <w:r>
              <w:rPr>
                <w:rFonts w:hint="eastAsia" w:ascii="宋体" w:hAnsi="宋体" w:eastAsia="宋体" w:cs="宋体"/>
                <w:b/>
                <w:i w:val="0"/>
                <w:color w:val="000000"/>
                <w:kern w:val="0"/>
                <w:sz w:val="22"/>
                <w:szCs w:val="22"/>
                <w:u w:val="none"/>
                <w:lang w:val="en-US" w:eastAsia="zh-CN" w:bidi="ar"/>
              </w:rPr>
              <w:t xml:space="preserve">8.0 </w:t>
            </w:r>
          </w:p>
        </w:tc>
      </w:tr>
      <w:tr>
        <w:tblPrEx>
          <w:tblCellMar>
            <w:top w:w="0" w:type="dxa"/>
            <w:left w:w="108" w:type="dxa"/>
            <w:bottom w:w="0" w:type="dxa"/>
            <w:right w:w="108" w:type="dxa"/>
          </w:tblCellMar>
        </w:tblPrEx>
        <w:trPr>
          <w:trHeight w:val="360"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农林牧渔业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91247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4.0 </w:t>
            </w:r>
          </w:p>
        </w:tc>
      </w:tr>
      <w:tr>
        <w:tblPrEx>
          <w:tblCellMar>
            <w:top w:w="0" w:type="dxa"/>
            <w:left w:w="108" w:type="dxa"/>
            <w:bottom w:w="0" w:type="dxa"/>
            <w:right w:w="108" w:type="dxa"/>
          </w:tblCellMar>
        </w:tblPrEx>
        <w:trPr>
          <w:trHeight w:val="360"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工业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440680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12.5 </w:t>
            </w:r>
          </w:p>
        </w:tc>
      </w:tr>
      <w:tr>
        <w:tblPrEx>
          <w:tblCellMar>
            <w:top w:w="0" w:type="dxa"/>
            <w:left w:w="108" w:type="dxa"/>
            <w:bottom w:w="0" w:type="dxa"/>
            <w:right w:w="108" w:type="dxa"/>
          </w:tblCellMar>
        </w:tblPrEx>
        <w:trPr>
          <w:trHeight w:val="360"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#开采辅助活动</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746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13.1 </w:t>
            </w:r>
          </w:p>
        </w:tc>
      </w:tr>
      <w:tr>
        <w:tblPrEx>
          <w:tblCellMar>
            <w:top w:w="0" w:type="dxa"/>
            <w:left w:w="108" w:type="dxa"/>
            <w:bottom w:w="0" w:type="dxa"/>
            <w:right w:w="108" w:type="dxa"/>
          </w:tblCellMar>
        </w:tblPrEx>
        <w:trPr>
          <w:trHeight w:val="360" w:hRule="atLeast"/>
        </w:trPr>
        <w:tc>
          <w:tcPr>
            <w:tcW w:w="3984" w:type="dxa"/>
            <w:tcBorders>
              <w:top w:val="nil"/>
              <w:left w:val="nil"/>
              <w:bottom w:val="single" w:color="auto" w:sz="4" w:space="0"/>
              <w:right w:val="single" w:color="auto" w:sz="4" w:space="0"/>
            </w:tcBorders>
            <w:shd w:val="clear" w:color="auto" w:fill="auto"/>
            <w:noWrap/>
            <w:vAlign w:val="center"/>
          </w:tcPr>
          <w:p>
            <w:pPr>
              <w:rPr>
                <w:color w:val="000000"/>
                <w:sz w:val="22"/>
              </w:rPr>
            </w:pPr>
            <w:r>
              <w:rPr>
                <w:rFonts w:hint="eastAsia"/>
                <w:color w:val="000000"/>
                <w:sz w:val="22"/>
              </w:rPr>
              <w:t xml:space="preserve">     金属制品、机械和设备修理业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8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15.5 </w:t>
            </w:r>
          </w:p>
        </w:tc>
      </w:tr>
      <w:tr>
        <w:tblPrEx>
          <w:tblCellMar>
            <w:top w:w="0" w:type="dxa"/>
            <w:left w:w="108" w:type="dxa"/>
            <w:bottom w:w="0" w:type="dxa"/>
            <w:right w:w="108" w:type="dxa"/>
          </w:tblCellMar>
        </w:tblPrEx>
        <w:trPr>
          <w:trHeight w:val="297"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建筑业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110783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-4.1 </w:t>
            </w:r>
          </w:p>
        </w:tc>
      </w:tr>
      <w:tr>
        <w:tblPrEx>
          <w:tblCellMar>
            <w:top w:w="0" w:type="dxa"/>
            <w:left w:w="108" w:type="dxa"/>
            <w:bottom w:w="0" w:type="dxa"/>
            <w:right w:w="108" w:type="dxa"/>
          </w:tblCellMar>
        </w:tblPrEx>
        <w:trPr>
          <w:trHeight w:val="245"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批发和零售业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55062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5.2 </w:t>
            </w:r>
          </w:p>
        </w:tc>
      </w:tr>
      <w:tr>
        <w:tblPrEx>
          <w:tblCellMar>
            <w:top w:w="0" w:type="dxa"/>
            <w:left w:w="108" w:type="dxa"/>
            <w:bottom w:w="0" w:type="dxa"/>
            <w:right w:w="108" w:type="dxa"/>
          </w:tblCellMar>
        </w:tblPrEx>
        <w:trPr>
          <w:trHeight w:val="307"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批发业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24212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2.7 </w:t>
            </w:r>
          </w:p>
        </w:tc>
      </w:tr>
      <w:tr>
        <w:tblPrEx>
          <w:tblCellMar>
            <w:top w:w="0" w:type="dxa"/>
            <w:left w:w="108" w:type="dxa"/>
            <w:bottom w:w="0" w:type="dxa"/>
            <w:right w:w="108" w:type="dxa"/>
          </w:tblCellMar>
        </w:tblPrEx>
        <w:trPr>
          <w:trHeight w:val="269"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零售业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30850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7.6 </w:t>
            </w:r>
          </w:p>
        </w:tc>
      </w:tr>
      <w:tr>
        <w:tblPrEx>
          <w:tblCellMar>
            <w:top w:w="0" w:type="dxa"/>
            <w:left w:w="108" w:type="dxa"/>
            <w:bottom w:w="0" w:type="dxa"/>
            <w:right w:w="108" w:type="dxa"/>
          </w:tblCellMar>
        </w:tblPrEx>
        <w:trPr>
          <w:trHeight w:val="360"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交通运输、仓储和邮政业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28906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-6.2 </w:t>
            </w:r>
          </w:p>
        </w:tc>
      </w:tr>
      <w:tr>
        <w:tblPrEx>
          <w:tblCellMar>
            <w:top w:w="0" w:type="dxa"/>
            <w:left w:w="108" w:type="dxa"/>
            <w:bottom w:w="0" w:type="dxa"/>
            <w:right w:w="108" w:type="dxa"/>
          </w:tblCellMar>
        </w:tblPrEx>
        <w:trPr>
          <w:trHeight w:val="360"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住宿和餐饮业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14062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6.9 </w:t>
            </w:r>
          </w:p>
        </w:tc>
      </w:tr>
      <w:tr>
        <w:tblPrEx>
          <w:tblCellMar>
            <w:top w:w="0" w:type="dxa"/>
            <w:left w:w="108" w:type="dxa"/>
            <w:bottom w:w="0" w:type="dxa"/>
            <w:right w:w="108" w:type="dxa"/>
          </w:tblCellMar>
        </w:tblPrEx>
        <w:trPr>
          <w:trHeight w:val="360"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住宿业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1529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22.0 </w:t>
            </w:r>
          </w:p>
        </w:tc>
      </w:tr>
      <w:tr>
        <w:tblPrEx>
          <w:tblCellMar>
            <w:top w:w="0" w:type="dxa"/>
            <w:left w:w="108" w:type="dxa"/>
            <w:bottom w:w="0" w:type="dxa"/>
            <w:right w:w="108" w:type="dxa"/>
          </w:tblCellMar>
        </w:tblPrEx>
        <w:trPr>
          <w:trHeight w:val="205"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餐饮业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12533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5.2 </w:t>
            </w:r>
          </w:p>
        </w:tc>
      </w:tr>
      <w:tr>
        <w:tblPrEx>
          <w:tblCellMar>
            <w:top w:w="0" w:type="dxa"/>
            <w:left w:w="108" w:type="dxa"/>
            <w:bottom w:w="0" w:type="dxa"/>
            <w:right w:w="108" w:type="dxa"/>
          </w:tblCellMar>
        </w:tblPrEx>
        <w:trPr>
          <w:trHeight w:val="360"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金融业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40492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4.2 </w:t>
            </w:r>
          </w:p>
        </w:tc>
      </w:tr>
      <w:tr>
        <w:tblPrEx>
          <w:tblCellMar>
            <w:top w:w="0" w:type="dxa"/>
            <w:left w:w="108" w:type="dxa"/>
            <w:bottom w:w="0" w:type="dxa"/>
            <w:right w:w="108" w:type="dxa"/>
          </w:tblCellMar>
        </w:tblPrEx>
        <w:trPr>
          <w:trHeight w:val="360"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房地产业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11130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-10.7 </w:t>
            </w:r>
          </w:p>
        </w:tc>
      </w:tr>
      <w:tr>
        <w:tblPrEx>
          <w:tblCellMar>
            <w:top w:w="0" w:type="dxa"/>
            <w:left w:w="108" w:type="dxa"/>
            <w:bottom w:w="0" w:type="dxa"/>
            <w:right w:w="108" w:type="dxa"/>
          </w:tblCellMar>
        </w:tblPrEx>
        <w:trPr>
          <w:trHeight w:val="360"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房地产业（K门类）</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1098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-61.9 </w:t>
            </w:r>
          </w:p>
        </w:tc>
      </w:tr>
      <w:tr>
        <w:tblPrEx>
          <w:tblCellMar>
            <w:top w:w="0" w:type="dxa"/>
            <w:left w:w="108" w:type="dxa"/>
            <w:bottom w:w="0" w:type="dxa"/>
            <w:right w:w="108" w:type="dxa"/>
          </w:tblCellMar>
        </w:tblPrEx>
        <w:trPr>
          <w:trHeight w:val="360"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自有房地产经营活动</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10032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5.0 </w:t>
            </w:r>
          </w:p>
        </w:tc>
      </w:tr>
      <w:tr>
        <w:tblPrEx>
          <w:tblCellMar>
            <w:top w:w="0" w:type="dxa"/>
            <w:left w:w="108" w:type="dxa"/>
            <w:bottom w:w="0" w:type="dxa"/>
            <w:right w:w="108" w:type="dxa"/>
          </w:tblCellMar>
        </w:tblPrEx>
        <w:trPr>
          <w:trHeight w:val="360"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其他服务业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264056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12.3 </w:t>
            </w:r>
          </w:p>
        </w:tc>
      </w:tr>
      <w:tr>
        <w:tblPrEx>
          <w:tblCellMar>
            <w:top w:w="0" w:type="dxa"/>
            <w:left w:w="108" w:type="dxa"/>
            <w:bottom w:w="0" w:type="dxa"/>
            <w:right w:w="108" w:type="dxa"/>
          </w:tblCellMar>
        </w:tblPrEx>
        <w:trPr>
          <w:trHeight w:val="360"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营利性服务业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54880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16.2 </w:t>
            </w:r>
          </w:p>
        </w:tc>
      </w:tr>
      <w:tr>
        <w:tblPrEx>
          <w:tblCellMar>
            <w:top w:w="0" w:type="dxa"/>
            <w:left w:w="108" w:type="dxa"/>
            <w:bottom w:w="0" w:type="dxa"/>
            <w:right w:w="108" w:type="dxa"/>
          </w:tblCellMar>
        </w:tblPrEx>
        <w:trPr>
          <w:trHeight w:val="360" w:hRule="atLeast"/>
        </w:trPr>
        <w:tc>
          <w:tcPr>
            <w:tcW w:w="398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rPr>
            </w:pPr>
            <w:r>
              <w:rPr>
                <w:rFonts w:hint="eastAsia"/>
                <w:color w:val="000000"/>
                <w:sz w:val="22"/>
              </w:rPr>
              <w:t xml:space="preserve">    非营利性服务业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209176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 xml:space="preserve">11.6 </w:t>
            </w:r>
          </w:p>
        </w:tc>
      </w:tr>
      <w:tr>
        <w:tblPrEx>
          <w:tblCellMar>
            <w:top w:w="0" w:type="dxa"/>
            <w:left w:w="108" w:type="dxa"/>
            <w:bottom w:w="0" w:type="dxa"/>
            <w:right w:w="108" w:type="dxa"/>
          </w:tblCellMar>
        </w:tblPrEx>
        <w:trPr>
          <w:trHeight w:val="360" w:hRule="atLeast"/>
        </w:trPr>
        <w:tc>
          <w:tcPr>
            <w:tcW w:w="3984" w:type="dxa"/>
            <w:tcBorders>
              <w:top w:val="nil"/>
              <w:left w:val="nil"/>
              <w:bottom w:val="single" w:color="auto" w:sz="4" w:space="0"/>
              <w:right w:val="single" w:color="auto" w:sz="4" w:space="0"/>
            </w:tcBorders>
            <w:shd w:val="clear" w:color="auto" w:fill="auto"/>
            <w:noWrap/>
            <w:vAlign w:val="center"/>
          </w:tcPr>
          <w:p>
            <w:pPr>
              <w:ind w:firstLine="110" w:firstLineChars="50"/>
              <w:rPr>
                <w:rFonts w:ascii="宋体" w:hAnsi="宋体" w:eastAsia="宋体" w:cs="宋体"/>
                <w:b/>
                <w:bCs/>
                <w:color w:val="000000"/>
                <w:sz w:val="22"/>
              </w:rPr>
            </w:pPr>
            <w:r>
              <w:rPr>
                <w:rFonts w:hint="eastAsia"/>
                <w:b/>
                <w:bCs/>
                <w:color w:val="000000"/>
                <w:sz w:val="22"/>
              </w:rPr>
              <w:t>第一产业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color w:val="000000"/>
                <w:sz w:val="22"/>
              </w:rPr>
            </w:pPr>
            <w:r>
              <w:rPr>
                <w:rFonts w:hint="eastAsia" w:ascii="宋体" w:hAnsi="宋体" w:eastAsia="宋体" w:cs="宋体"/>
                <w:b/>
                <w:i w:val="0"/>
                <w:color w:val="000000"/>
                <w:kern w:val="0"/>
                <w:sz w:val="22"/>
                <w:szCs w:val="22"/>
                <w:u w:val="none"/>
                <w:lang w:val="en-US" w:eastAsia="zh-CN" w:bidi="ar"/>
              </w:rPr>
              <w:t xml:space="preserve">85323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b/>
                <w:bCs/>
                <w:color w:val="000000"/>
                <w:sz w:val="22"/>
              </w:rPr>
            </w:pPr>
            <w:r>
              <w:rPr>
                <w:rFonts w:hint="eastAsia" w:ascii="宋体" w:hAnsi="宋体" w:eastAsia="宋体" w:cs="宋体"/>
                <w:b/>
                <w:i w:val="0"/>
                <w:color w:val="000000"/>
                <w:kern w:val="0"/>
                <w:sz w:val="22"/>
                <w:szCs w:val="22"/>
                <w:u w:val="none"/>
                <w:lang w:val="en-US" w:eastAsia="zh-CN" w:bidi="ar"/>
              </w:rPr>
              <w:t xml:space="preserve">4.1 </w:t>
            </w:r>
          </w:p>
        </w:tc>
      </w:tr>
      <w:tr>
        <w:tblPrEx>
          <w:tblCellMar>
            <w:top w:w="0" w:type="dxa"/>
            <w:left w:w="108" w:type="dxa"/>
            <w:bottom w:w="0" w:type="dxa"/>
            <w:right w:w="108" w:type="dxa"/>
          </w:tblCellMar>
        </w:tblPrEx>
        <w:trPr>
          <w:trHeight w:val="360" w:hRule="atLeast"/>
        </w:trPr>
        <w:tc>
          <w:tcPr>
            <w:tcW w:w="3984" w:type="dxa"/>
            <w:tcBorders>
              <w:top w:val="nil"/>
              <w:left w:val="nil"/>
              <w:bottom w:val="single" w:color="auto" w:sz="4" w:space="0"/>
              <w:right w:val="single" w:color="auto" w:sz="4" w:space="0"/>
            </w:tcBorders>
            <w:shd w:val="clear" w:color="auto" w:fill="auto"/>
            <w:noWrap/>
            <w:vAlign w:val="center"/>
          </w:tcPr>
          <w:p>
            <w:pPr>
              <w:ind w:firstLine="110" w:firstLineChars="50"/>
              <w:rPr>
                <w:rFonts w:ascii="宋体" w:hAnsi="宋体" w:eastAsia="宋体" w:cs="宋体"/>
                <w:b/>
                <w:bCs/>
                <w:color w:val="000000"/>
                <w:sz w:val="22"/>
              </w:rPr>
            </w:pPr>
            <w:r>
              <w:rPr>
                <w:rFonts w:hint="eastAsia"/>
                <w:b/>
                <w:bCs/>
                <w:color w:val="000000"/>
                <w:sz w:val="22"/>
              </w:rPr>
              <w:t>第二产业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color w:val="000000"/>
                <w:sz w:val="22"/>
              </w:rPr>
            </w:pPr>
            <w:r>
              <w:rPr>
                <w:rFonts w:hint="eastAsia" w:ascii="宋体" w:hAnsi="宋体" w:eastAsia="宋体" w:cs="宋体"/>
                <w:b/>
                <w:i w:val="0"/>
                <w:color w:val="000000"/>
                <w:kern w:val="0"/>
                <w:sz w:val="22"/>
                <w:szCs w:val="22"/>
                <w:u w:val="none"/>
                <w:lang w:val="en-US" w:eastAsia="zh-CN" w:bidi="ar"/>
              </w:rPr>
              <w:t xml:space="preserve">550709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b/>
                <w:bCs/>
                <w:color w:val="000000"/>
                <w:sz w:val="22"/>
              </w:rPr>
            </w:pPr>
            <w:r>
              <w:rPr>
                <w:rFonts w:hint="eastAsia" w:ascii="宋体" w:hAnsi="宋体" w:eastAsia="宋体" w:cs="宋体"/>
                <w:b/>
                <w:i w:val="0"/>
                <w:color w:val="000000"/>
                <w:kern w:val="0"/>
                <w:sz w:val="22"/>
                <w:szCs w:val="22"/>
                <w:u w:val="none"/>
                <w:lang w:val="en-US" w:eastAsia="zh-CN" w:bidi="ar"/>
              </w:rPr>
              <w:t xml:space="preserve">8.7 </w:t>
            </w:r>
          </w:p>
        </w:tc>
      </w:tr>
      <w:tr>
        <w:tblPrEx>
          <w:tblCellMar>
            <w:top w:w="0" w:type="dxa"/>
            <w:left w:w="108" w:type="dxa"/>
            <w:bottom w:w="0" w:type="dxa"/>
            <w:right w:w="108" w:type="dxa"/>
          </w:tblCellMar>
        </w:tblPrEx>
        <w:trPr>
          <w:trHeight w:val="360" w:hRule="atLeast"/>
        </w:trPr>
        <w:tc>
          <w:tcPr>
            <w:tcW w:w="3984" w:type="dxa"/>
            <w:tcBorders>
              <w:top w:val="nil"/>
              <w:left w:val="nil"/>
              <w:bottom w:val="single" w:color="auto" w:sz="4" w:space="0"/>
              <w:right w:val="single" w:color="auto" w:sz="4" w:space="0"/>
            </w:tcBorders>
            <w:shd w:val="clear" w:color="auto" w:fill="auto"/>
            <w:noWrap/>
            <w:vAlign w:val="center"/>
          </w:tcPr>
          <w:p>
            <w:pPr>
              <w:ind w:firstLine="110" w:firstLineChars="50"/>
              <w:rPr>
                <w:rFonts w:ascii="宋体" w:hAnsi="宋体" w:eastAsia="宋体" w:cs="宋体"/>
                <w:b/>
                <w:bCs/>
                <w:color w:val="000000"/>
                <w:sz w:val="22"/>
              </w:rPr>
            </w:pPr>
            <w:r>
              <w:rPr>
                <w:rFonts w:hint="eastAsia"/>
                <w:b/>
                <w:bCs/>
                <w:color w:val="000000"/>
                <w:sz w:val="22"/>
              </w:rPr>
              <w:t>第三产业</w:t>
            </w:r>
          </w:p>
        </w:tc>
        <w:tc>
          <w:tcPr>
            <w:tcW w:w="18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color w:val="000000"/>
                <w:sz w:val="22"/>
              </w:rPr>
            </w:pPr>
            <w:r>
              <w:rPr>
                <w:rFonts w:hint="eastAsia" w:ascii="宋体" w:hAnsi="宋体" w:eastAsia="宋体" w:cs="宋体"/>
                <w:b/>
                <w:i w:val="0"/>
                <w:color w:val="000000"/>
                <w:kern w:val="0"/>
                <w:sz w:val="22"/>
                <w:szCs w:val="22"/>
                <w:u w:val="none"/>
                <w:lang w:val="en-US" w:eastAsia="zh-CN" w:bidi="ar"/>
              </w:rPr>
              <w:t xml:space="preserve">420384 </w:t>
            </w:r>
          </w:p>
        </w:tc>
        <w:tc>
          <w:tcPr>
            <w:tcW w:w="2183"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b/>
                <w:bCs/>
                <w:color w:val="000000"/>
                <w:sz w:val="22"/>
              </w:rPr>
            </w:pPr>
            <w:r>
              <w:rPr>
                <w:rFonts w:hint="eastAsia" w:ascii="宋体" w:hAnsi="宋体" w:eastAsia="宋体" w:cs="宋体"/>
                <w:b/>
                <w:i w:val="0"/>
                <w:color w:val="000000"/>
                <w:kern w:val="0"/>
                <w:sz w:val="22"/>
                <w:szCs w:val="22"/>
                <w:u w:val="none"/>
                <w:lang w:val="en-US" w:eastAsia="zh-CN" w:bidi="ar"/>
              </w:rPr>
              <w:t xml:space="preserve">7.8 </w:t>
            </w:r>
          </w:p>
        </w:tc>
      </w:tr>
    </w:tbl>
    <w:p>
      <w:pPr>
        <w:keepNext w:val="0"/>
        <w:keepLines w:val="0"/>
        <w:pageBreakBefore w:val="0"/>
        <w:widowControl/>
        <w:kinsoku/>
        <w:overflowPunct/>
        <w:topLinePunct w:val="0"/>
        <w:autoSpaceDE/>
        <w:autoSpaceDN/>
        <w:bidi w:val="0"/>
        <w:adjustRightInd/>
        <w:snapToGrid/>
        <w:spacing w:line="600" w:lineRule="exact"/>
        <w:ind w:firstLine="643" w:firstLineChars="200"/>
        <w:textAlignment w:val="auto"/>
        <w:rPr>
          <w:rFonts w:ascii="仿宋" w:hAnsi="仿宋" w:eastAsia="仿宋" w:cs="宋体"/>
          <w:kern w:val="0"/>
          <w:sz w:val="32"/>
          <w:szCs w:val="32"/>
        </w:rPr>
      </w:pPr>
      <w:r>
        <w:rPr>
          <w:rFonts w:hint="eastAsia" w:ascii="仿宋" w:hAnsi="仿宋" w:eastAsia="仿宋" w:cs="宋体"/>
          <w:b/>
          <w:kern w:val="0"/>
          <w:sz w:val="32"/>
          <w:szCs w:val="32"/>
        </w:rPr>
        <w:t>物价水平小幅上扬。</w:t>
      </w:r>
      <w:r>
        <w:rPr>
          <w:rFonts w:hint="eastAsia" w:ascii="仿宋" w:hAnsi="仿宋" w:eastAsia="仿宋" w:cs="宋体"/>
          <w:color w:val="000000"/>
          <w:spacing w:val="16"/>
          <w:kern w:val="0"/>
          <w:sz w:val="32"/>
          <w:szCs w:val="32"/>
        </w:rPr>
        <w:t>全县居民消费价格指数10</w:t>
      </w:r>
      <w:r>
        <w:rPr>
          <w:rFonts w:hint="eastAsia" w:ascii="仿宋" w:hAnsi="仿宋" w:eastAsia="仿宋" w:cs="宋体"/>
          <w:color w:val="000000"/>
          <w:spacing w:val="16"/>
          <w:kern w:val="0"/>
          <w:sz w:val="32"/>
          <w:szCs w:val="32"/>
          <w:lang w:val="en-US" w:eastAsia="zh-CN"/>
        </w:rPr>
        <w:t>1.4</w:t>
      </w:r>
      <w:r>
        <w:rPr>
          <w:rFonts w:hint="eastAsia" w:ascii="仿宋" w:hAnsi="仿宋" w:eastAsia="仿宋" w:cs="宋体"/>
          <w:color w:val="000000"/>
          <w:spacing w:val="16"/>
          <w:kern w:val="0"/>
          <w:sz w:val="32"/>
          <w:szCs w:val="32"/>
        </w:rPr>
        <w:t>%（以上年为100%），增长</w:t>
      </w:r>
      <w:r>
        <w:rPr>
          <w:rFonts w:hint="eastAsia" w:ascii="仿宋" w:hAnsi="仿宋" w:eastAsia="仿宋" w:cs="宋体"/>
          <w:color w:val="000000"/>
          <w:spacing w:val="16"/>
          <w:kern w:val="0"/>
          <w:sz w:val="32"/>
          <w:szCs w:val="32"/>
          <w:lang w:val="en-US" w:eastAsia="zh-CN"/>
        </w:rPr>
        <w:t>1.4</w:t>
      </w:r>
      <w:r>
        <w:rPr>
          <w:rFonts w:hint="eastAsia" w:ascii="仿宋" w:hAnsi="仿宋" w:eastAsia="仿宋" w:cs="宋体"/>
          <w:color w:val="000000"/>
          <w:spacing w:val="16"/>
          <w:kern w:val="0"/>
          <w:sz w:val="32"/>
          <w:szCs w:val="32"/>
        </w:rPr>
        <w:t>%。八大类商品呈现“</w:t>
      </w:r>
      <w:r>
        <w:rPr>
          <w:rFonts w:hint="eastAsia" w:ascii="仿宋" w:hAnsi="仿宋" w:eastAsia="仿宋" w:cs="宋体"/>
          <w:color w:val="000000"/>
          <w:spacing w:val="16"/>
          <w:kern w:val="0"/>
          <w:sz w:val="32"/>
          <w:szCs w:val="32"/>
          <w:lang w:val="en-US" w:eastAsia="zh-CN"/>
        </w:rPr>
        <w:t>四</w:t>
      </w:r>
      <w:r>
        <w:rPr>
          <w:rFonts w:hint="eastAsia" w:ascii="仿宋" w:hAnsi="仿宋" w:eastAsia="仿宋" w:cs="宋体"/>
          <w:color w:val="000000"/>
          <w:spacing w:val="16"/>
          <w:kern w:val="0"/>
          <w:sz w:val="32"/>
          <w:szCs w:val="32"/>
        </w:rPr>
        <w:t>涨</w:t>
      </w:r>
      <w:r>
        <w:rPr>
          <w:rFonts w:hint="eastAsia" w:ascii="仿宋" w:hAnsi="仿宋" w:eastAsia="仿宋" w:cs="宋体"/>
          <w:color w:val="000000"/>
          <w:spacing w:val="16"/>
          <w:kern w:val="0"/>
          <w:sz w:val="32"/>
          <w:szCs w:val="32"/>
          <w:lang w:val="en-US" w:eastAsia="zh-CN"/>
        </w:rPr>
        <w:t>三</w:t>
      </w:r>
      <w:r>
        <w:rPr>
          <w:rFonts w:hint="eastAsia" w:ascii="仿宋" w:hAnsi="仿宋" w:eastAsia="仿宋" w:cs="宋体"/>
          <w:color w:val="000000"/>
          <w:spacing w:val="16"/>
          <w:kern w:val="0"/>
          <w:sz w:val="32"/>
          <w:szCs w:val="32"/>
        </w:rPr>
        <w:t>降</w:t>
      </w:r>
      <w:r>
        <w:rPr>
          <w:rFonts w:hint="eastAsia" w:ascii="仿宋" w:hAnsi="仿宋" w:eastAsia="仿宋" w:cs="宋体"/>
          <w:color w:val="000000"/>
          <w:spacing w:val="16"/>
          <w:kern w:val="0"/>
          <w:sz w:val="32"/>
          <w:szCs w:val="32"/>
          <w:lang w:val="en-US" w:eastAsia="zh-CN"/>
        </w:rPr>
        <w:t>一平</w:t>
      </w:r>
      <w:r>
        <w:rPr>
          <w:rFonts w:hint="eastAsia" w:ascii="仿宋" w:hAnsi="仿宋" w:eastAsia="仿宋" w:cs="宋体"/>
          <w:color w:val="000000"/>
          <w:spacing w:val="16"/>
          <w:kern w:val="0"/>
          <w:sz w:val="32"/>
          <w:szCs w:val="32"/>
        </w:rPr>
        <w:t>”态势。其中：食品烟酒上涨</w:t>
      </w:r>
      <w:r>
        <w:rPr>
          <w:rFonts w:hint="eastAsia" w:ascii="仿宋" w:hAnsi="仿宋" w:eastAsia="仿宋" w:cs="宋体"/>
          <w:color w:val="000000"/>
          <w:spacing w:val="16"/>
          <w:kern w:val="0"/>
          <w:sz w:val="32"/>
          <w:szCs w:val="32"/>
          <w:lang w:val="en-US" w:eastAsia="zh-CN"/>
        </w:rPr>
        <w:t>4.2</w:t>
      </w:r>
      <w:r>
        <w:rPr>
          <w:rFonts w:hint="eastAsia" w:ascii="仿宋" w:hAnsi="仿宋" w:eastAsia="仿宋" w:cs="宋体"/>
          <w:color w:val="000000"/>
          <w:spacing w:val="16"/>
          <w:kern w:val="0"/>
          <w:sz w:val="32"/>
          <w:szCs w:val="32"/>
        </w:rPr>
        <w:t>%，居住类</w:t>
      </w:r>
      <w:r>
        <w:rPr>
          <w:rFonts w:hint="eastAsia" w:ascii="仿宋" w:hAnsi="仿宋" w:eastAsia="仿宋" w:cs="宋体"/>
          <w:color w:val="000000"/>
          <w:spacing w:val="16"/>
          <w:kern w:val="0"/>
          <w:sz w:val="32"/>
          <w:szCs w:val="32"/>
          <w:lang w:val="en-US" w:eastAsia="zh-CN"/>
        </w:rPr>
        <w:t>下降1.7</w:t>
      </w:r>
      <w:r>
        <w:rPr>
          <w:rFonts w:hint="eastAsia" w:ascii="仿宋" w:hAnsi="仿宋" w:eastAsia="仿宋" w:cs="宋体"/>
          <w:color w:val="000000"/>
          <w:spacing w:val="16"/>
          <w:kern w:val="0"/>
          <w:sz w:val="32"/>
          <w:szCs w:val="32"/>
        </w:rPr>
        <w:t>%，生活用品及服务类</w:t>
      </w:r>
      <w:r>
        <w:rPr>
          <w:rFonts w:hint="eastAsia" w:ascii="仿宋" w:hAnsi="仿宋" w:eastAsia="仿宋" w:cs="宋体"/>
          <w:color w:val="000000"/>
          <w:spacing w:val="16"/>
          <w:kern w:val="0"/>
          <w:sz w:val="32"/>
          <w:szCs w:val="32"/>
          <w:lang w:val="en-US" w:eastAsia="zh-CN"/>
        </w:rPr>
        <w:t>上涨0.2%</w:t>
      </w:r>
      <w:r>
        <w:rPr>
          <w:rFonts w:hint="eastAsia" w:ascii="仿宋" w:hAnsi="仿宋" w:eastAsia="仿宋" w:cs="宋体"/>
          <w:color w:val="000000"/>
          <w:spacing w:val="16"/>
          <w:kern w:val="0"/>
          <w:sz w:val="32"/>
          <w:szCs w:val="32"/>
        </w:rPr>
        <w:t>，交通通信类</w:t>
      </w:r>
      <w:r>
        <w:rPr>
          <w:rFonts w:hint="eastAsia" w:ascii="仿宋" w:hAnsi="仿宋" w:eastAsia="仿宋" w:cs="宋体"/>
          <w:color w:val="000000"/>
          <w:spacing w:val="16"/>
          <w:kern w:val="0"/>
          <w:sz w:val="32"/>
          <w:szCs w:val="32"/>
          <w:lang w:val="en-US" w:eastAsia="zh-CN"/>
        </w:rPr>
        <w:t>下降1.9</w:t>
      </w:r>
      <w:r>
        <w:rPr>
          <w:rFonts w:hint="eastAsia" w:ascii="仿宋" w:hAnsi="仿宋" w:eastAsia="仿宋" w:cs="宋体"/>
          <w:color w:val="000000"/>
          <w:spacing w:val="16"/>
          <w:kern w:val="0"/>
          <w:sz w:val="32"/>
          <w:szCs w:val="32"/>
        </w:rPr>
        <w:t>%，教育文化娱乐类</w:t>
      </w:r>
      <w:r>
        <w:rPr>
          <w:rFonts w:hint="eastAsia" w:ascii="仿宋" w:hAnsi="仿宋" w:eastAsia="仿宋" w:cs="宋体"/>
          <w:color w:val="000000"/>
          <w:spacing w:val="16"/>
          <w:kern w:val="0"/>
          <w:sz w:val="32"/>
          <w:szCs w:val="32"/>
          <w:lang w:val="en-US" w:eastAsia="zh-CN"/>
        </w:rPr>
        <w:t>与同期持平</w:t>
      </w:r>
      <w:r>
        <w:rPr>
          <w:rFonts w:hint="eastAsia" w:ascii="仿宋" w:hAnsi="仿宋" w:eastAsia="仿宋" w:cs="宋体"/>
          <w:color w:val="000000"/>
          <w:spacing w:val="16"/>
          <w:kern w:val="0"/>
          <w:sz w:val="32"/>
          <w:szCs w:val="32"/>
        </w:rPr>
        <w:t>，医疗保健类上涨</w:t>
      </w:r>
      <w:r>
        <w:rPr>
          <w:rFonts w:hint="eastAsia" w:ascii="仿宋" w:hAnsi="仿宋" w:eastAsia="仿宋" w:cs="宋体"/>
          <w:color w:val="000000"/>
          <w:spacing w:val="16"/>
          <w:kern w:val="0"/>
          <w:sz w:val="32"/>
          <w:szCs w:val="32"/>
          <w:lang w:val="en-US" w:eastAsia="zh-CN"/>
        </w:rPr>
        <w:t>5.8</w:t>
      </w:r>
      <w:r>
        <w:rPr>
          <w:rFonts w:hint="eastAsia" w:ascii="仿宋" w:hAnsi="仿宋" w:eastAsia="仿宋" w:cs="宋体"/>
          <w:color w:val="000000"/>
          <w:spacing w:val="16"/>
          <w:kern w:val="0"/>
          <w:sz w:val="32"/>
          <w:szCs w:val="32"/>
        </w:rPr>
        <w:t>%，其他用品和服务类上涨</w:t>
      </w:r>
      <w:r>
        <w:rPr>
          <w:rFonts w:hint="eastAsia" w:ascii="仿宋" w:hAnsi="仿宋" w:eastAsia="仿宋" w:cs="宋体"/>
          <w:color w:val="000000"/>
          <w:spacing w:val="16"/>
          <w:kern w:val="0"/>
          <w:sz w:val="32"/>
          <w:szCs w:val="32"/>
          <w:lang w:val="en-US" w:eastAsia="zh-CN"/>
        </w:rPr>
        <w:t>2.5</w:t>
      </w:r>
      <w:r>
        <w:rPr>
          <w:rFonts w:hint="eastAsia" w:ascii="仿宋" w:hAnsi="仿宋" w:eastAsia="仿宋" w:cs="宋体"/>
          <w:color w:val="000000"/>
          <w:spacing w:val="16"/>
          <w:kern w:val="0"/>
          <w:sz w:val="32"/>
          <w:szCs w:val="32"/>
        </w:rPr>
        <w:t>%，衣着类</w:t>
      </w:r>
      <w:r>
        <w:rPr>
          <w:rFonts w:hint="eastAsia" w:ascii="仿宋" w:hAnsi="仿宋" w:eastAsia="仿宋" w:cs="宋体"/>
          <w:color w:val="000000"/>
          <w:spacing w:val="16"/>
          <w:kern w:val="0"/>
          <w:sz w:val="32"/>
          <w:szCs w:val="32"/>
          <w:lang w:val="en-US" w:eastAsia="zh-CN"/>
        </w:rPr>
        <w:t>下降1.0</w:t>
      </w:r>
      <w:r>
        <w:rPr>
          <w:rFonts w:hint="eastAsia" w:ascii="仿宋" w:hAnsi="仿宋" w:eastAsia="仿宋" w:cs="宋体"/>
          <w:color w:val="000000"/>
          <w:spacing w:val="16"/>
          <w:kern w:val="0"/>
          <w:sz w:val="32"/>
          <w:szCs w:val="32"/>
        </w:rPr>
        <w:t>%。</w:t>
      </w:r>
    </w:p>
    <w:p>
      <w:pPr>
        <w:widowControl/>
        <w:shd w:val="clear" w:color="auto" w:fill="FFFFFF"/>
        <w:ind w:firstLine="600"/>
        <w:jc w:val="center"/>
        <w:rPr>
          <w:rFonts w:ascii="黑体" w:hAnsi="黑体" w:eastAsia="黑体"/>
          <w:kern w:val="0"/>
          <w:sz w:val="32"/>
          <w:szCs w:val="32"/>
        </w:rPr>
      </w:pPr>
      <w:r>
        <w:rPr>
          <w:rFonts w:hint="eastAsia" w:ascii="黑体" w:hAnsi="黑体" w:eastAsia="黑体"/>
          <w:kern w:val="0"/>
          <w:sz w:val="32"/>
          <w:szCs w:val="32"/>
        </w:rPr>
        <w:t>二、农业</w:t>
      </w:r>
    </w:p>
    <w:p>
      <w:pPr>
        <w:widowControl/>
        <w:ind w:firstLine="643" w:firstLineChars="200"/>
        <w:rPr>
          <w:rFonts w:hint="eastAsia" w:ascii="仿宋" w:hAnsi="仿宋" w:eastAsia="仿宋" w:cs="宋体"/>
          <w:color w:val="000000"/>
          <w:kern w:val="0"/>
          <w:sz w:val="32"/>
          <w:szCs w:val="32"/>
          <w:highlight w:val="none"/>
          <w:lang w:val="en-US" w:eastAsia="zh-CN"/>
        </w:rPr>
      </w:pPr>
      <w:r>
        <w:rPr>
          <w:rFonts w:hint="eastAsia" w:ascii="仿宋" w:hAnsi="仿宋" w:eastAsia="仿宋"/>
          <w:b/>
          <w:sz w:val="32"/>
          <w:szCs w:val="32"/>
        </w:rPr>
        <w:t>农业农村经济平稳运行</w:t>
      </w:r>
      <w:r>
        <w:rPr>
          <w:rFonts w:hint="eastAsia" w:ascii="仿宋" w:hAnsi="仿宋" w:eastAsia="仿宋"/>
          <w:sz w:val="32"/>
          <w:szCs w:val="32"/>
        </w:rPr>
        <w:t>。</w:t>
      </w:r>
      <w:r>
        <w:rPr>
          <w:rFonts w:hint="eastAsia" w:ascii="仿宋" w:hAnsi="仿宋" w:eastAsia="仿宋" w:cs="宋体"/>
          <w:color w:val="000000"/>
          <w:kern w:val="0"/>
          <w:sz w:val="32"/>
          <w:szCs w:val="32"/>
          <w:lang w:val="en-US" w:eastAsia="zh-CN"/>
        </w:rPr>
        <w:t>全年实现农林牧渔业总产值19.34亿元，增长3.9%；其中农业产值67035万元，增长8.4%，林业产值4095万元，增长0.3%，牧业产值112839万元，增长3.5%，渔业产值143万元，下降20.1%，农林牧渔服务业产值9258万元，增长2.9%。实现农林牧渔业增加值9.12亿元，增长4.0%；</w:t>
      </w:r>
      <w:r>
        <w:rPr>
          <w:rFonts w:hint="eastAsia" w:ascii="仿宋" w:hAnsi="仿宋" w:eastAsia="仿宋" w:cs="宋体"/>
          <w:color w:val="000000"/>
          <w:spacing w:val="16"/>
          <w:kern w:val="0"/>
          <w:sz w:val="32"/>
          <w:szCs w:val="32"/>
        </w:rPr>
        <w:t>其中，种植业增加值</w:t>
      </w:r>
      <w:r>
        <w:rPr>
          <w:rFonts w:hint="eastAsia" w:ascii="仿宋" w:hAnsi="仿宋" w:eastAsia="仿宋" w:cs="宋体"/>
          <w:color w:val="000000"/>
          <w:spacing w:val="16"/>
          <w:kern w:val="0"/>
          <w:sz w:val="32"/>
          <w:szCs w:val="32"/>
          <w:lang w:val="en-US" w:eastAsia="zh-CN"/>
        </w:rPr>
        <w:t>36240万元，增长7.1</w:t>
      </w:r>
      <w:r>
        <w:rPr>
          <w:rFonts w:hint="eastAsia" w:ascii="仿宋" w:hAnsi="仿宋" w:eastAsia="仿宋" w:cs="宋体"/>
          <w:color w:val="000000"/>
          <w:spacing w:val="16"/>
          <w:kern w:val="0"/>
          <w:sz w:val="32"/>
          <w:szCs w:val="32"/>
        </w:rPr>
        <w:t>%</w:t>
      </w:r>
      <w:r>
        <w:rPr>
          <w:rFonts w:hint="eastAsia" w:ascii="仿宋" w:hAnsi="仿宋" w:eastAsia="仿宋" w:cs="宋体"/>
          <w:color w:val="000000"/>
          <w:spacing w:val="16"/>
          <w:kern w:val="0"/>
          <w:sz w:val="32"/>
          <w:szCs w:val="32"/>
          <w:lang w:eastAsia="zh-CN"/>
        </w:rPr>
        <w:t>；</w:t>
      </w:r>
      <w:r>
        <w:rPr>
          <w:rFonts w:hint="eastAsia" w:ascii="仿宋" w:hAnsi="仿宋" w:eastAsia="仿宋" w:cs="宋体"/>
          <w:color w:val="000000"/>
          <w:spacing w:val="16"/>
          <w:kern w:val="0"/>
          <w:sz w:val="32"/>
          <w:szCs w:val="32"/>
        </w:rPr>
        <w:t>林业增加值</w:t>
      </w:r>
      <w:r>
        <w:rPr>
          <w:rFonts w:hint="eastAsia" w:ascii="仿宋" w:hAnsi="仿宋" w:eastAsia="仿宋" w:cs="宋体"/>
          <w:color w:val="000000"/>
          <w:spacing w:val="16"/>
          <w:kern w:val="0"/>
          <w:sz w:val="32"/>
          <w:szCs w:val="32"/>
          <w:lang w:val="en-US" w:eastAsia="zh-CN"/>
        </w:rPr>
        <w:t>1677万元，下降0.1%</w:t>
      </w:r>
      <w:r>
        <w:rPr>
          <w:rFonts w:hint="eastAsia" w:ascii="仿宋" w:hAnsi="仿宋" w:eastAsia="仿宋" w:cs="宋体"/>
          <w:color w:val="000000"/>
          <w:spacing w:val="16"/>
          <w:kern w:val="0"/>
          <w:sz w:val="32"/>
          <w:szCs w:val="32"/>
          <w:lang w:eastAsia="zh-CN"/>
        </w:rPr>
        <w:t>；</w:t>
      </w:r>
      <w:r>
        <w:rPr>
          <w:rFonts w:hint="eastAsia" w:ascii="仿宋" w:hAnsi="仿宋" w:eastAsia="仿宋" w:cs="宋体"/>
          <w:color w:val="000000"/>
          <w:spacing w:val="16"/>
          <w:kern w:val="0"/>
          <w:sz w:val="32"/>
          <w:szCs w:val="32"/>
        </w:rPr>
        <w:t>牧业增加值</w:t>
      </w:r>
      <w:r>
        <w:rPr>
          <w:rFonts w:hint="eastAsia" w:ascii="仿宋" w:hAnsi="仿宋" w:eastAsia="仿宋" w:cs="宋体"/>
          <w:color w:val="000000"/>
          <w:spacing w:val="16"/>
          <w:kern w:val="0"/>
          <w:sz w:val="32"/>
          <w:szCs w:val="32"/>
          <w:lang w:val="en-US" w:eastAsia="zh-CN"/>
        </w:rPr>
        <w:t>47348万元，</w:t>
      </w:r>
      <w:r>
        <w:rPr>
          <w:rFonts w:hint="eastAsia" w:ascii="仿宋" w:hAnsi="仿宋" w:eastAsia="仿宋" w:cs="宋体"/>
          <w:color w:val="000000"/>
          <w:spacing w:val="16"/>
          <w:kern w:val="0"/>
          <w:sz w:val="32"/>
          <w:szCs w:val="32"/>
        </w:rPr>
        <w:t>增长</w:t>
      </w:r>
      <w:r>
        <w:rPr>
          <w:rFonts w:hint="eastAsia" w:ascii="仿宋" w:hAnsi="仿宋" w:eastAsia="仿宋" w:cs="宋体"/>
          <w:color w:val="000000"/>
          <w:spacing w:val="16"/>
          <w:kern w:val="0"/>
          <w:sz w:val="32"/>
          <w:szCs w:val="32"/>
          <w:lang w:val="en-US" w:eastAsia="zh-CN"/>
        </w:rPr>
        <w:t>3.4</w:t>
      </w:r>
      <w:r>
        <w:rPr>
          <w:rFonts w:hint="eastAsia" w:ascii="仿宋" w:hAnsi="仿宋" w:eastAsia="仿宋" w:cs="宋体"/>
          <w:color w:val="000000"/>
          <w:spacing w:val="16"/>
          <w:kern w:val="0"/>
          <w:sz w:val="32"/>
          <w:szCs w:val="32"/>
        </w:rPr>
        <w:t>%，</w:t>
      </w:r>
      <w:r>
        <w:rPr>
          <w:rFonts w:hint="eastAsia" w:ascii="仿宋" w:hAnsi="仿宋" w:eastAsia="仿宋" w:cs="宋体"/>
          <w:color w:val="000000"/>
          <w:spacing w:val="16"/>
          <w:kern w:val="0"/>
          <w:sz w:val="32"/>
          <w:szCs w:val="32"/>
          <w:lang w:val="en-US" w:eastAsia="zh-CN"/>
        </w:rPr>
        <w:t>牧业</w:t>
      </w:r>
      <w:r>
        <w:rPr>
          <w:rFonts w:hint="eastAsia" w:ascii="仿宋" w:hAnsi="仿宋" w:eastAsia="仿宋" w:cs="宋体"/>
          <w:color w:val="000000"/>
          <w:spacing w:val="16"/>
          <w:kern w:val="0"/>
          <w:sz w:val="32"/>
          <w:szCs w:val="32"/>
        </w:rPr>
        <w:t>增加值占</w:t>
      </w:r>
      <w:r>
        <w:rPr>
          <w:rFonts w:hint="eastAsia" w:ascii="仿宋" w:hAnsi="仿宋" w:eastAsia="仿宋" w:cs="宋体"/>
          <w:color w:val="000000"/>
          <w:spacing w:val="16"/>
          <w:kern w:val="0"/>
          <w:sz w:val="32"/>
          <w:szCs w:val="32"/>
          <w:lang w:val="en-US" w:eastAsia="zh-CN"/>
        </w:rPr>
        <w:t>农林牧渔业增加值</w:t>
      </w:r>
      <w:r>
        <w:rPr>
          <w:rFonts w:hint="eastAsia" w:ascii="仿宋" w:hAnsi="仿宋" w:eastAsia="仿宋" w:cs="宋体"/>
          <w:color w:val="000000"/>
          <w:spacing w:val="16"/>
          <w:kern w:val="0"/>
          <w:sz w:val="32"/>
          <w:szCs w:val="32"/>
        </w:rPr>
        <w:t>比重为</w:t>
      </w:r>
      <w:r>
        <w:rPr>
          <w:rFonts w:hint="eastAsia" w:ascii="仿宋" w:hAnsi="仿宋" w:eastAsia="仿宋" w:cs="宋体"/>
          <w:color w:val="000000"/>
          <w:spacing w:val="16"/>
          <w:kern w:val="0"/>
          <w:sz w:val="32"/>
          <w:szCs w:val="32"/>
          <w:lang w:val="en-US" w:eastAsia="zh-CN"/>
        </w:rPr>
        <w:t>51.9</w:t>
      </w:r>
      <w:r>
        <w:rPr>
          <w:rFonts w:hint="eastAsia" w:ascii="仿宋" w:hAnsi="仿宋" w:eastAsia="仿宋" w:cs="宋体"/>
          <w:color w:val="000000"/>
          <w:spacing w:val="16"/>
          <w:kern w:val="0"/>
          <w:sz w:val="32"/>
          <w:szCs w:val="32"/>
        </w:rPr>
        <w:t>%</w:t>
      </w:r>
      <w:r>
        <w:rPr>
          <w:rFonts w:hint="eastAsia" w:ascii="仿宋" w:hAnsi="仿宋" w:eastAsia="仿宋" w:cs="宋体"/>
          <w:color w:val="000000"/>
          <w:spacing w:val="16"/>
          <w:kern w:val="0"/>
          <w:sz w:val="32"/>
          <w:szCs w:val="32"/>
          <w:lang w:eastAsia="zh-CN"/>
        </w:rPr>
        <w:t>；</w:t>
      </w:r>
      <w:r>
        <w:rPr>
          <w:rFonts w:hint="eastAsia" w:ascii="仿宋" w:hAnsi="仿宋" w:eastAsia="仿宋" w:cs="宋体"/>
          <w:color w:val="000000"/>
          <w:spacing w:val="16"/>
          <w:kern w:val="0"/>
          <w:sz w:val="32"/>
          <w:szCs w:val="32"/>
        </w:rPr>
        <w:t>渔业增加值</w:t>
      </w:r>
      <w:r>
        <w:rPr>
          <w:rFonts w:hint="eastAsia" w:ascii="仿宋" w:hAnsi="仿宋" w:eastAsia="仿宋" w:cs="宋体"/>
          <w:color w:val="000000"/>
          <w:spacing w:val="16"/>
          <w:kern w:val="0"/>
          <w:sz w:val="32"/>
          <w:szCs w:val="32"/>
          <w:lang w:val="en-US" w:eastAsia="zh-CN"/>
        </w:rPr>
        <w:t>57.9万元，</w:t>
      </w:r>
      <w:r>
        <w:rPr>
          <w:rFonts w:hint="eastAsia" w:ascii="仿宋" w:hAnsi="仿宋" w:eastAsia="仿宋" w:cs="宋体"/>
          <w:color w:val="000000"/>
          <w:spacing w:val="16"/>
          <w:kern w:val="0"/>
          <w:sz w:val="32"/>
          <w:szCs w:val="32"/>
        </w:rPr>
        <w:t>下降</w:t>
      </w:r>
      <w:r>
        <w:rPr>
          <w:rFonts w:hint="eastAsia" w:ascii="仿宋" w:hAnsi="仿宋" w:eastAsia="仿宋" w:cs="宋体"/>
          <w:color w:val="000000"/>
          <w:spacing w:val="16"/>
          <w:kern w:val="0"/>
          <w:sz w:val="32"/>
          <w:szCs w:val="32"/>
          <w:lang w:val="en-US" w:eastAsia="zh-CN"/>
        </w:rPr>
        <w:t>19.9</w:t>
      </w:r>
      <w:r>
        <w:rPr>
          <w:rFonts w:hint="eastAsia" w:ascii="仿宋" w:hAnsi="仿宋" w:eastAsia="仿宋" w:cs="宋体"/>
          <w:color w:val="000000"/>
          <w:spacing w:val="16"/>
          <w:kern w:val="0"/>
          <w:sz w:val="32"/>
          <w:szCs w:val="32"/>
        </w:rPr>
        <w:t>%</w:t>
      </w:r>
      <w:r>
        <w:rPr>
          <w:rFonts w:hint="eastAsia" w:ascii="仿宋" w:hAnsi="仿宋" w:eastAsia="仿宋" w:cs="宋体"/>
          <w:color w:val="000000"/>
          <w:spacing w:val="16"/>
          <w:kern w:val="0"/>
          <w:sz w:val="32"/>
          <w:szCs w:val="32"/>
          <w:lang w:eastAsia="zh-CN"/>
        </w:rPr>
        <w:t>，</w:t>
      </w:r>
      <w:r>
        <w:rPr>
          <w:rFonts w:hint="eastAsia" w:ascii="仿宋" w:hAnsi="仿宋" w:eastAsia="仿宋" w:cs="宋体"/>
          <w:color w:val="000000"/>
          <w:spacing w:val="16"/>
          <w:kern w:val="0"/>
          <w:sz w:val="32"/>
          <w:szCs w:val="32"/>
          <w:lang w:val="en-US" w:eastAsia="zh-CN"/>
        </w:rPr>
        <w:t>农林牧渔服务业增加值5924万元，增长2.9%;主要畜产品产出平稳，其中，生猪出栏56537头，下降10.0%；羊只出栏1154091只，增长7.3%；牛出栏3697头，增长81.4%；家禽出栏109446只，下降6.7%；肉类总产量27124吨，增长6.3%；牛奶产量24731吨，增长35.1%；期末猪存栏48344头，增长4.6%；期末羊存栏1181542只，增长6.2%；期末牛存栏10737头，增长44.6%</w:t>
      </w:r>
      <w:r>
        <w:rPr>
          <w:rFonts w:hint="eastAsia" w:ascii="仿宋" w:hAnsi="仿宋" w:eastAsia="仿宋" w:cs="宋体"/>
          <w:color w:val="000000"/>
          <w:kern w:val="0"/>
          <w:sz w:val="32"/>
          <w:szCs w:val="32"/>
          <w:lang w:val="en-US" w:eastAsia="zh-CN"/>
        </w:rPr>
        <w:t>。</w:t>
      </w:r>
      <w:r>
        <w:rPr>
          <w:rFonts w:hint="eastAsia" w:ascii="仿宋" w:hAnsi="仿宋" w:eastAsia="仿宋" w:cs="宋体"/>
          <w:color w:val="000000"/>
          <w:spacing w:val="16"/>
          <w:kern w:val="0"/>
          <w:sz w:val="32"/>
          <w:szCs w:val="32"/>
          <w:highlight w:val="none"/>
          <w:lang w:val="en-US" w:eastAsia="zh-CN"/>
        </w:rPr>
        <w:t>全年粮食播种面积86.1万亩，同比增长1.0%，实现粮食产量13.19万吨，同比增长4.0%；其中玉米播种面积19.2万亩，下降3.0%，实现产量7.64万吨，下降3.5%；马铃薯播种面积14万亩，下降7.9%，实现产量3.08万吨，增长35.1%。</w:t>
      </w:r>
    </w:p>
    <w:tbl>
      <w:tblPr>
        <w:tblStyle w:val="7"/>
        <w:tblW w:w="8120" w:type="dxa"/>
        <w:tblInd w:w="93" w:type="dxa"/>
        <w:tblLayout w:type="fixed"/>
        <w:tblCellMar>
          <w:top w:w="0" w:type="dxa"/>
          <w:left w:w="108" w:type="dxa"/>
          <w:bottom w:w="0" w:type="dxa"/>
          <w:right w:w="108" w:type="dxa"/>
        </w:tblCellMar>
      </w:tblPr>
      <w:tblGrid>
        <w:gridCol w:w="4480"/>
        <w:gridCol w:w="1377"/>
        <w:gridCol w:w="563"/>
        <w:gridCol w:w="1700"/>
      </w:tblGrid>
      <w:tr>
        <w:tblPrEx>
          <w:tblCellMar>
            <w:top w:w="0" w:type="dxa"/>
            <w:left w:w="108" w:type="dxa"/>
            <w:bottom w:w="0" w:type="dxa"/>
            <w:right w:w="108" w:type="dxa"/>
          </w:tblCellMar>
        </w:tblPrEx>
        <w:trPr>
          <w:gridAfter w:val="1"/>
          <w:wAfter w:w="1700" w:type="dxa"/>
          <w:trHeight w:val="375" w:hRule="atLeast"/>
        </w:trPr>
        <w:tc>
          <w:tcPr>
            <w:tcW w:w="6420" w:type="dxa"/>
            <w:gridSpan w:val="3"/>
            <w:tcBorders>
              <w:top w:val="nil"/>
              <w:left w:val="nil"/>
              <w:bottom w:val="nil"/>
              <w:right w:val="nil"/>
            </w:tcBorders>
            <w:shd w:val="clear" w:color="auto" w:fill="auto"/>
            <w:noWrap/>
            <w:vAlign w:val="center"/>
          </w:tcPr>
          <w:p>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lang w:val="en-US" w:eastAsia="zh-CN"/>
              </w:rPr>
              <w:t xml:space="preserve">         </w:t>
            </w:r>
            <w:r>
              <w:rPr>
                <w:rFonts w:hint="eastAsia" w:ascii="黑体" w:hAnsi="黑体" w:eastAsia="黑体" w:cs="宋体"/>
                <w:b/>
                <w:bCs/>
                <w:kern w:val="0"/>
                <w:sz w:val="28"/>
                <w:szCs w:val="28"/>
              </w:rPr>
              <w:t>表</w:t>
            </w:r>
            <w:r>
              <w:rPr>
                <w:rFonts w:ascii="黑体" w:hAnsi="黑体" w:eastAsia="黑体" w:cs="宋体"/>
                <w:b/>
                <w:bCs/>
                <w:kern w:val="0"/>
                <w:sz w:val="28"/>
                <w:szCs w:val="28"/>
              </w:rPr>
              <w:t>2</w:t>
            </w:r>
            <w:r>
              <w:rPr>
                <w:rFonts w:hint="eastAsia" w:ascii="黑体" w:hAnsi="黑体" w:eastAsia="黑体" w:cs="宋体"/>
                <w:b/>
                <w:bCs/>
                <w:kern w:val="0"/>
                <w:sz w:val="28"/>
                <w:szCs w:val="28"/>
              </w:rPr>
              <w:t>　201</w:t>
            </w:r>
            <w:r>
              <w:rPr>
                <w:rFonts w:hint="eastAsia" w:ascii="黑体" w:hAnsi="黑体" w:eastAsia="黑体" w:cs="宋体"/>
                <w:b/>
                <w:bCs/>
                <w:kern w:val="0"/>
                <w:sz w:val="28"/>
                <w:szCs w:val="28"/>
                <w:lang w:val="en-US" w:eastAsia="zh-CN"/>
              </w:rPr>
              <w:t>9</w:t>
            </w:r>
            <w:r>
              <w:rPr>
                <w:rFonts w:hint="eastAsia" w:ascii="黑体" w:hAnsi="黑体" w:eastAsia="黑体" w:cs="宋体"/>
                <w:b/>
                <w:bCs/>
                <w:kern w:val="0"/>
                <w:sz w:val="28"/>
                <w:szCs w:val="28"/>
              </w:rPr>
              <w:t>年全县畜牧业生产情况</w:t>
            </w:r>
          </w:p>
        </w:tc>
      </w:tr>
      <w:tr>
        <w:tblPrEx>
          <w:tblCellMar>
            <w:top w:w="0" w:type="dxa"/>
            <w:left w:w="108" w:type="dxa"/>
            <w:bottom w:w="0" w:type="dxa"/>
            <w:right w:w="108" w:type="dxa"/>
          </w:tblCellMar>
        </w:tblPrEx>
        <w:trPr>
          <w:trHeight w:val="675" w:hRule="atLeast"/>
        </w:trPr>
        <w:tc>
          <w:tcPr>
            <w:tcW w:w="44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畜牧业生产情况</w:t>
            </w:r>
          </w:p>
        </w:tc>
        <w:tc>
          <w:tcPr>
            <w:tcW w:w="13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总量</w:t>
            </w:r>
          </w:p>
        </w:tc>
        <w:tc>
          <w:tcPr>
            <w:tcW w:w="2263" w:type="dxa"/>
            <w:gridSpan w:val="2"/>
            <w:tcBorders>
              <w:top w:val="single" w:color="auto" w:sz="4" w:space="0"/>
              <w:left w:val="nil"/>
              <w:bottom w:val="single" w:color="auto" w:sz="4" w:space="0"/>
              <w:right w:val="nil"/>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 xml:space="preserve">   增长%</w:t>
            </w:r>
          </w:p>
        </w:tc>
      </w:tr>
      <w:tr>
        <w:tblPrEx>
          <w:tblCellMar>
            <w:top w:w="0" w:type="dxa"/>
            <w:left w:w="108" w:type="dxa"/>
            <w:bottom w:w="0" w:type="dxa"/>
            <w:right w:w="108" w:type="dxa"/>
          </w:tblCellMar>
        </w:tblPrEx>
        <w:trPr>
          <w:trHeight w:val="360" w:hRule="atLeast"/>
        </w:trPr>
        <w:tc>
          <w:tcPr>
            <w:tcW w:w="44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生猪出栏（头）</w:t>
            </w:r>
          </w:p>
        </w:tc>
        <w:tc>
          <w:tcPr>
            <w:tcW w:w="13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56537</w:t>
            </w:r>
          </w:p>
        </w:tc>
        <w:tc>
          <w:tcPr>
            <w:tcW w:w="2263" w:type="dxa"/>
            <w:gridSpan w:val="2"/>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-10.0 </w:t>
            </w:r>
          </w:p>
        </w:tc>
      </w:tr>
      <w:tr>
        <w:tblPrEx>
          <w:tblCellMar>
            <w:top w:w="0" w:type="dxa"/>
            <w:left w:w="108" w:type="dxa"/>
            <w:bottom w:w="0" w:type="dxa"/>
            <w:right w:w="108" w:type="dxa"/>
          </w:tblCellMar>
        </w:tblPrEx>
        <w:trPr>
          <w:trHeight w:val="360" w:hRule="atLeast"/>
        </w:trPr>
        <w:tc>
          <w:tcPr>
            <w:tcW w:w="44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羊出栏（只）</w:t>
            </w:r>
          </w:p>
        </w:tc>
        <w:tc>
          <w:tcPr>
            <w:tcW w:w="13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1154091</w:t>
            </w:r>
          </w:p>
        </w:tc>
        <w:tc>
          <w:tcPr>
            <w:tcW w:w="2263" w:type="dxa"/>
            <w:gridSpan w:val="2"/>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7.3 </w:t>
            </w:r>
          </w:p>
        </w:tc>
      </w:tr>
      <w:tr>
        <w:tblPrEx>
          <w:tblCellMar>
            <w:top w:w="0" w:type="dxa"/>
            <w:left w:w="108" w:type="dxa"/>
            <w:bottom w:w="0" w:type="dxa"/>
            <w:right w:w="108" w:type="dxa"/>
          </w:tblCellMar>
        </w:tblPrEx>
        <w:trPr>
          <w:trHeight w:val="360" w:hRule="atLeast"/>
        </w:trPr>
        <w:tc>
          <w:tcPr>
            <w:tcW w:w="44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牛出栏（头）</w:t>
            </w:r>
          </w:p>
        </w:tc>
        <w:tc>
          <w:tcPr>
            <w:tcW w:w="13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3697</w:t>
            </w:r>
          </w:p>
        </w:tc>
        <w:tc>
          <w:tcPr>
            <w:tcW w:w="2263" w:type="dxa"/>
            <w:gridSpan w:val="2"/>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81.4 </w:t>
            </w:r>
          </w:p>
        </w:tc>
      </w:tr>
      <w:tr>
        <w:tblPrEx>
          <w:tblCellMar>
            <w:top w:w="0" w:type="dxa"/>
            <w:left w:w="108" w:type="dxa"/>
            <w:bottom w:w="0" w:type="dxa"/>
            <w:right w:w="108" w:type="dxa"/>
          </w:tblCellMar>
        </w:tblPrEx>
        <w:trPr>
          <w:trHeight w:val="360" w:hRule="atLeast"/>
        </w:trPr>
        <w:tc>
          <w:tcPr>
            <w:tcW w:w="44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家禽出栏（只）</w:t>
            </w:r>
          </w:p>
        </w:tc>
        <w:tc>
          <w:tcPr>
            <w:tcW w:w="13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109446</w:t>
            </w:r>
          </w:p>
        </w:tc>
        <w:tc>
          <w:tcPr>
            <w:tcW w:w="2263" w:type="dxa"/>
            <w:gridSpan w:val="2"/>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-6.7 </w:t>
            </w:r>
          </w:p>
        </w:tc>
      </w:tr>
      <w:tr>
        <w:tblPrEx>
          <w:tblCellMar>
            <w:top w:w="0" w:type="dxa"/>
            <w:left w:w="108" w:type="dxa"/>
            <w:bottom w:w="0" w:type="dxa"/>
            <w:right w:w="108" w:type="dxa"/>
          </w:tblCellMar>
        </w:tblPrEx>
        <w:trPr>
          <w:trHeight w:val="360" w:hRule="atLeast"/>
        </w:trPr>
        <w:tc>
          <w:tcPr>
            <w:tcW w:w="44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肉类总产量（吨）</w:t>
            </w:r>
          </w:p>
        </w:tc>
        <w:tc>
          <w:tcPr>
            <w:tcW w:w="13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27124</w:t>
            </w:r>
          </w:p>
        </w:tc>
        <w:tc>
          <w:tcPr>
            <w:tcW w:w="2263" w:type="dxa"/>
            <w:gridSpan w:val="2"/>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6.3 </w:t>
            </w:r>
          </w:p>
        </w:tc>
      </w:tr>
      <w:tr>
        <w:tblPrEx>
          <w:tblCellMar>
            <w:top w:w="0" w:type="dxa"/>
            <w:left w:w="108" w:type="dxa"/>
            <w:bottom w:w="0" w:type="dxa"/>
            <w:right w:w="108" w:type="dxa"/>
          </w:tblCellMar>
        </w:tblPrEx>
        <w:trPr>
          <w:trHeight w:val="360" w:hRule="atLeast"/>
        </w:trPr>
        <w:tc>
          <w:tcPr>
            <w:tcW w:w="44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　＃羊肉产量（吨）</w:t>
            </w:r>
          </w:p>
        </w:tc>
        <w:tc>
          <w:tcPr>
            <w:tcW w:w="13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21739</w:t>
            </w:r>
          </w:p>
        </w:tc>
        <w:tc>
          <w:tcPr>
            <w:tcW w:w="2263" w:type="dxa"/>
            <w:gridSpan w:val="2"/>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8.2 </w:t>
            </w:r>
          </w:p>
        </w:tc>
      </w:tr>
      <w:tr>
        <w:tblPrEx>
          <w:tblCellMar>
            <w:top w:w="0" w:type="dxa"/>
            <w:left w:w="108" w:type="dxa"/>
            <w:bottom w:w="0" w:type="dxa"/>
            <w:right w:w="108" w:type="dxa"/>
          </w:tblCellMar>
        </w:tblPrEx>
        <w:trPr>
          <w:trHeight w:val="360" w:hRule="atLeast"/>
        </w:trPr>
        <w:tc>
          <w:tcPr>
            <w:tcW w:w="44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禽蛋产量（吨）</w:t>
            </w:r>
          </w:p>
        </w:tc>
        <w:tc>
          <w:tcPr>
            <w:tcW w:w="13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1480</w:t>
            </w:r>
          </w:p>
        </w:tc>
        <w:tc>
          <w:tcPr>
            <w:tcW w:w="2263" w:type="dxa"/>
            <w:gridSpan w:val="2"/>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54.7 </w:t>
            </w:r>
          </w:p>
        </w:tc>
      </w:tr>
      <w:tr>
        <w:tblPrEx>
          <w:tblCellMar>
            <w:top w:w="0" w:type="dxa"/>
            <w:left w:w="108" w:type="dxa"/>
            <w:bottom w:w="0" w:type="dxa"/>
            <w:right w:w="108" w:type="dxa"/>
          </w:tblCellMar>
        </w:tblPrEx>
        <w:trPr>
          <w:trHeight w:val="360" w:hRule="atLeast"/>
        </w:trPr>
        <w:tc>
          <w:tcPr>
            <w:tcW w:w="44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牛奶产量（吨）</w:t>
            </w:r>
          </w:p>
        </w:tc>
        <w:tc>
          <w:tcPr>
            <w:tcW w:w="13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24731</w:t>
            </w:r>
          </w:p>
        </w:tc>
        <w:tc>
          <w:tcPr>
            <w:tcW w:w="2263" w:type="dxa"/>
            <w:gridSpan w:val="2"/>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35.1 </w:t>
            </w:r>
          </w:p>
        </w:tc>
      </w:tr>
      <w:tr>
        <w:tblPrEx>
          <w:tblCellMar>
            <w:top w:w="0" w:type="dxa"/>
            <w:left w:w="108" w:type="dxa"/>
            <w:bottom w:w="0" w:type="dxa"/>
            <w:right w:w="108" w:type="dxa"/>
          </w:tblCellMar>
        </w:tblPrEx>
        <w:trPr>
          <w:trHeight w:val="360" w:hRule="atLeast"/>
        </w:trPr>
        <w:tc>
          <w:tcPr>
            <w:tcW w:w="44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期末牛存栏（头）</w:t>
            </w:r>
          </w:p>
        </w:tc>
        <w:tc>
          <w:tcPr>
            <w:tcW w:w="13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10737</w:t>
            </w:r>
          </w:p>
        </w:tc>
        <w:tc>
          <w:tcPr>
            <w:tcW w:w="2263" w:type="dxa"/>
            <w:gridSpan w:val="2"/>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44.6 </w:t>
            </w:r>
          </w:p>
        </w:tc>
      </w:tr>
      <w:tr>
        <w:tblPrEx>
          <w:tblCellMar>
            <w:top w:w="0" w:type="dxa"/>
            <w:left w:w="108" w:type="dxa"/>
            <w:bottom w:w="0" w:type="dxa"/>
            <w:right w:w="108" w:type="dxa"/>
          </w:tblCellMar>
        </w:tblPrEx>
        <w:trPr>
          <w:trHeight w:val="360" w:hRule="atLeast"/>
        </w:trPr>
        <w:tc>
          <w:tcPr>
            <w:tcW w:w="44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期末猪存栏（头）</w:t>
            </w:r>
          </w:p>
        </w:tc>
        <w:tc>
          <w:tcPr>
            <w:tcW w:w="13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48344</w:t>
            </w:r>
          </w:p>
        </w:tc>
        <w:tc>
          <w:tcPr>
            <w:tcW w:w="2263" w:type="dxa"/>
            <w:gridSpan w:val="2"/>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4.6 </w:t>
            </w:r>
          </w:p>
        </w:tc>
      </w:tr>
      <w:tr>
        <w:tblPrEx>
          <w:tblCellMar>
            <w:top w:w="0" w:type="dxa"/>
            <w:left w:w="108" w:type="dxa"/>
            <w:bottom w:w="0" w:type="dxa"/>
            <w:right w:w="108" w:type="dxa"/>
          </w:tblCellMar>
        </w:tblPrEx>
        <w:trPr>
          <w:trHeight w:val="360" w:hRule="atLeast"/>
        </w:trPr>
        <w:tc>
          <w:tcPr>
            <w:tcW w:w="44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期末羊只存栏（只）</w:t>
            </w:r>
          </w:p>
        </w:tc>
        <w:tc>
          <w:tcPr>
            <w:tcW w:w="13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1181542</w:t>
            </w:r>
          </w:p>
        </w:tc>
        <w:tc>
          <w:tcPr>
            <w:tcW w:w="2263" w:type="dxa"/>
            <w:gridSpan w:val="2"/>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6.2 </w:t>
            </w:r>
          </w:p>
        </w:tc>
      </w:tr>
      <w:tr>
        <w:tblPrEx>
          <w:tblCellMar>
            <w:top w:w="0" w:type="dxa"/>
            <w:left w:w="108" w:type="dxa"/>
            <w:bottom w:w="0" w:type="dxa"/>
            <w:right w:w="108" w:type="dxa"/>
          </w:tblCellMar>
        </w:tblPrEx>
        <w:trPr>
          <w:trHeight w:val="360" w:hRule="atLeast"/>
        </w:trPr>
        <w:tc>
          <w:tcPr>
            <w:tcW w:w="44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期末家禽存栏（只）</w:t>
            </w:r>
          </w:p>
        </w:tc>
        <w:tc>
          <w:tcPr>
            <w:tcW w:w="13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88106</w:t>
            </w:r>
          </w:p>
        </w:tc>
        <w:tc>
          <w:tcPr>
            <w:tcW w:w="2263" w:type="dxa"/>
            <w:gridSpan w:val="2"/>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23.2 </w:t>
            </w:r>
          </w:p>
        </w:tc>
      </w:tr>
    </w:tbl>
    <w:p>
      <w:pPr>
        <w:widowControl/>
        <w:jc w:val="center"/>
        <w:rPr>
          <w:rFonts w:ascii="黑体" w:hAnsi="黑体" w:eastAsia="黑体"/>
          <w:kern w:val="0"/>
          <w:sz w:val="32"/>
          <w:szCs w:val="32"/>
        </w:rPr>
      </w:pPr>
      <w:r>
        <w:rPr>
          <w:rFonts w:hint="eastAsia" w:ascii="黑体" w:hAnsi="黑体" w:eastAsia="黑体"/>
          <w:kern w:val="0"/>
          <w:sz w:val="32"/>
          <w:szCs w:val="32"/>
        </w:rPr>
        <w:t>三、工业和建筑业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beforeAutospacing="0" w:afterAutospacing="0" w:line="600" w:lineRule="exact"/>
        <w:ind w:firstLine="707"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宋体"/>
          <w:b/>
          <w:color w:val="auto"/>
          <w:spacing w:val="16"/>
          <w:kern w:val="0"/>
          <w:sz w:val="32"/>
          <w:szCs w:val="32"/>
        </w:rPr>
        <w:t>工业</w:t>
      </w:r>
      <w:r>
        <w:rPr>
          <w:rFonts w:hint="eastAsia" w:ascii="仿宋" w:hAnsi="仿宋" w:eastAsia="仿宋" w:cs="宋体"/>
          <w:b/>
          <w:color w:val="auto"/>
          <w:spacing w:val="16"/>
          <w:kern w:val="0"/>
          <w:sz w:val="32"/>
          <w:szCs w:val="32"/>
          <w:lang w:val="en-US" w:eastAsia="zh-CN"/>
        </w:rPr>
        <w:t>生产增长较快</w:t>
      </w:r>
      <w:r>
        <w:rPr>
          <w:rFonts w:hint="eastAsia" w:ascii="仿宋" w:hAnsi="仿宋" w:eastAsia="仿宋" w:cs="宋体"/>
          <w:b/>
          <w:color w:val="auto"/>
          <w:spacing w:val="16"/>
          <w:kern w:val="0"/>
          <w:sz w:val="32"/>
          <w:szCs w:val="32"/>
        </w:rPr>
        <w:t>。</w:t>
      </w:r>
      <w:r>
        <w:rPr>
          <w:rFonts w:hint="eastAsia" w:ascii="仿宋" w:hAnsi="仿宋" w:eastAsia="仿宋" w:cs="宋体"/>
          <w:color w:val="auto"/>
          <w:spacing w:val="16"/>
          <w:kern w:val="0"/>
          <w:sz w:val="32"/>
          <w:szCs w:val="32"/>
        </w:rPr>
        <w:t>全县实现工业增加值</w:t>
      </w:r>
      <w:r>
        <w:rPr>
          <w:rFonts w:hint="eastAsia" w:ascii="仿宋" w:hAnsi="仿宋" w:eastAsia="仿宋" w:cs="宋体"/>
          <w:color w:val="auto"/>
          <w:spacing w:val="16"/>
          <w:kern w:val="0"/>
          <w:sz w:val="32"/>
          <w:szCs w:val="32"/>
          <w:lang w:val="en-US" w:eastAsia="zh-CN"/>
        </w:rPr>
        <w:t>44.07</w:t>
      </w:r>
      <w:r>
        <w:rPr>
          <w:rFonts w:hint="eastAsia" w:ascii="仿宋" w:hAnsi="仿宋" w:eastAsia="仿宋" w:cs="宋体"/>
          <w:color w:val="auto"/>
          <w:spacing w:val="16"/>
          <w:kern w:val="0"/>
          <w:sz w:val="32"/>
          <w:szCs w:val="32"/>
        </w:rPr>
        <w:t>亿元，同比增长</w:t>
      </w:r>
      <w:r>
        <w:rPr>
          <w:rFonts w:hint="eastAsia" w:ascii="仿宋" w:hAnsi="仿宋" w:eastAsia="仿宋" w:cs="宋体"/>
          <w:color w:val="auto"/>
          <w:spacing w:val="16"/>
          <w:kern w:val="0"/>
          <w:sz w:val="32"/>
          <w:szCs w:val="32"/>
          <w:lang w:val="en-US" w:eastAsia="zh-CN"/>
        </w:rPr>
        <w:t>12.5</w:t>
      </w:r>
      <w:r>
        <w:rPr>
          <w:rFonts w:hint="eastAsia" w:ascii="仿宋" w:hAnsi="仿宋" w:eastAsia="仿宋" w:cs="宋体"/>
          <w:color w:val="auto"/>
          <w:spacing w:val="16"/>
          <w:kern w:val="0"/>
          <w:sz w:val="32"/>
          <w:szCs w:val="32"/>
        </w:rPr>
        <w:t>%</w:t>
      </w:r>
      <w:r>
        <w:rPr>
          <w:rFonts w:hint="eastAsia" w:ascii="仿宋" w:hAnsi="仿宋" w:eastAsia="仿宋" w:cs="宋体"/>
          <w:color w:val="auto"/>
          <w:spacing w:val="16"/>
          <w:kern w:val="0"/>
          <w:sz w:val="32"/>
          <w:szCs w:val="32"/>
          <w:lang w:val="en-US" w:eastAsia="zh-CN"/>
        </w:rPr>
        <w:t>，</w:t>
      </w:r>
      <w:r>
        <w:rPr>
          <w:rFonts w:hint="eastAsia" w:ascii="仿宋" w:hAnsi="仿宋" w:eastAsia="仿宋" w:cs="宋体"/>
          <w:color w:val="auto"/>
          <w:spacing w:val="16"/>
          <w:kern w:val="0"/>
          <w:sz w:val="32"/>
          <w:szCs w:val="32"/>
        </w:rPr>
        <w:t>工业对地区生产总值的贡献率为</w:t>
      </w:r>
      <w:r>
        <w:rPr>
          <w:rFonts w:hint="eastAsia" w:ascii="仿宋" w:hAnsi="仿宋" w:eastAsia="仿宋" w:cs="宋体"/>
          <w:color w:val="auto"/>
          <w:spacing w:val="16"/>
          <w:kern w:val="0"/>
          <w:sz w:val="32"/>
          <w:szCs w:val="32"/>
          <w:lang w:val="en-US" w:eastAsia="zh-CN"/>
        </w:rPr>
        <w:t>64.1</w:t>
      </w:r>
      <w:r>
        <w:rPr>
          <w:rFonts w:hint="eastAsia" w:ascii="仿宋" w:hAnsi="仿宋" w:eastAsia="仿宋" w:cs="宋体"/>
          <w:color w:val="auto"/>
          <w:spacing w:val="16"/>
          <w:kern w:val="0"/>
          <w:sz w:val="32"/>
          <w:szCs w:val="32"/>
        </w:rPr>
        <w:t>%，拉动经济增长</w:t>
      </w:r>
      <w:r>
        <w:rPr>
          <w:rFonts w:hint="eastAsia" w:ascii="仿宋" w:hAnsi="仿宋" w:eastAsia="仿宋" w:cs="宋体"/>
          <w:color w:val="auto"/>
          <w:spacing w:val="16"/>
          <w:kern w:val="0"/>
          <w:sz w:val="32"/>
          <w:szCs w:val="32"/>
          <w:lang w:val="en-US" w:eastAsia="zh-CN"/>
        </w:rPr>
        <w:t>5.1</w:t>
      </w:r>
      <w:r>
        <w:rPr>
          <w:rFonts w:hint="eastAsia" w:ascii="仿宋" w:hAnsi="仿宋" w:eastAsia="仿宋" w:cs="宋体"/>
          <w:color w:val="auto"/>
          <w:spacing w:val="16"/>
          <w:kern w:val="0"/>
          <w:sz w:val="32"/>
          <w:szCs w:val="32"/>
        </w:rPr>
        <w:t>个百分点。</w:t>
      </w:r>
      <w:r>
        <w:rPr>
          <w:rFonts w:hint="eastAsia" w:ascii="仿宋" w:hAnsi="仿宋" w:eastAsia="仿宋" w:cs="宋体"/>
          <w:color w:val="000000"/>
          <w:spacing w:val="16"/>
          <w:kern w:val="0"/>
          <w:sz w:val="32"/>
          <w:szCs w:val="32"/>
        </w:rPr>
        <w:t>其中，规模以上工业增加值同比增长</w:t>
      </w:r>
      <w:r>
        <w:rPr>
          <w:rFonts w:hint="eastAsia" w:ascii="仿宋" w:hAnsi="仿宋" w:eastAsia="仿宋" w:cs="宋体"/>
          <w:color w:val="000000"/>
          <w:spacing w:val="16"/>
          <w:kern w:val="0"/>
          <w:sz w:val="32"/>
          <w:szCs w:val="32"/>
          <w:lang w:val="en-US" w:eastAsia="zh-CN"/>
        </w:rPr>
        <w:t>14.2</w:t>
      </w:r>
      <w:r>
        <w:rPr>
          <w:rFonts w:hint="eastAsia" w:ascii="仿宋" w:hAnsi="仿宋" w:eastAsia="仿宋" w:cs="宋体"/>
          <w:color w:val="000000"/>
          <w:spacing w:val="16"/>
          <w:kern w:val="0"/>
          <w:sz w:val="32"/>
          <w:szCs w:val="32"/>
        </w:rPr>
        <w:t>%。</w:t>
      </w:r>
      <w:r>
        <w:rPr>
          <w:rFonts w:hint="eastAsia" w:ascii="仿宋" w:hAnsi="仿宋" w:eastAsia="仿宋" w:cs="仿宋"/>
          <w:b/>
          <w:color w:val="auto"/>
          <w:kern w:val="0"/>
          <w:sz w:val="32"/>
          <w:szCs w:val="32"/>
          <w:lang w:val="en-US" w:eastAsia="zh-CN"/>
        </w:rPr>
        <w:t>分</w:t>
      </w:r>
      <w:r>
        <w:rPr>
          <w:rFonts w:hint="eastAsia" w:ascii="仿宋" w:hAnsi="仿宋" w:eastAsia="仿宋" w:cs="仿宋"/>
          <w:b/>
          <w:color w:val="auto"/>
          <w:kern w:val="0"/>
          <w:sz w:val="32"/>
          <w:szCs w:val="32"/>
        </w:rPr>
        <w:t>行业看，</w:t>
      </w:r>
      <w:r>
        <w:rPr>
          <w:rFonts w:hint="eastAsia" w:ascii="仿宋" w:hAnsi="仿宋" w:eastAsia="仿宋" w:cs="仿宋"/>
          <w:color w:val="auto"/>
          <w:sz w:val="32"/>
          <w:szCs w:val="32"/>
          <w:lang w:val="en-US" w:eastAsia="zh-CN"/>
        </w:rPr>
        <w:t>全</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监测的</w:t>
      </w:r>
      <w:r>
        <w:rPr>
          <w:rFonts w:hint="eastAsia" w:ascii="仿宋" w:hAnsi="仿宋" w:eastAsia="仿宋" w:cs="仿宋"/>
          <w:b w:val="0"/>
          <w:bCs w:val="0"/>
          <w:color w:val="auto"/>
          <w:sz w:val="32"/>
          <w:szCs w:val="32"/>
          <w:lang w:val="en-US" w:eastAsia="zh-CN"/>
        </w:rPr>
        <w:t>14</w:t>
      </w:r>
      <w:r>
        <w:rPr>
          <w:rFonts w:hint="eastAsia" w:ascii="仿宋" w:hAnsi="仿宋" w:eastAsia="仿宋" w:cs="仿宋"/>
          <w:b w:val="0"/>
          <w:bCs w:val="0"/>
          <w:color w:val="auto"/>
          <w:sz w:val="32"/>
          <w:szCs w:val="32"/>
        </w:rPr>
        <w:t>种</w:t>
      </w:r>
      <w:r>
        <w:rPr>
          <w:rFonts w:hint="eastAsia" w:ascii="仿宋" w:hAnsi="仿宋" w:eastAsia="仿宋" w:cs="仿宋"/>
          <w:b w:val="0"/>
          <w:bCs w:val="0"/>
          <w:color w:val="auto"/>
          <w:sz w:val="32"/>
          <w:szCs w:val="32"/>
          <w:lang w:val="en-US" w:eastAsia="zh-CN"/>
        </w:rPr>
        <w:t>行业“十增四降”。</w:t>
      </w:r>
      <w:r>
        <w:rPr>
          <w:rFonts w:hint="eastAsia" w:ascii="仿宋" w:hAnsi="仿宋" w:eastAsia="仿宋" w:cs="仿宋"/>
          <w:color w:val="auto"/>
          <w:sz w:val="32"/>
          <w:szCs w:val="32"/>
          <w:lang w:val="en-US" w:eastAsia="zh-CN"/>
        </w:rPr>
        <w:t>增长的行业有：煤炭开采和洗选业增长12.2%；石油、煤炭及其他燃料加工业增长21.4%</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sz w:val="32"/>
          <w:szCs w:val="32"/>
          <w:lang w:val="en-US" w:eastAsia="zh-CN"/>
        </w:rPr>
        <w:t>化学原料和化学制品制造业增长143.5%；橡胶和塑料制品业增长43.9%；非金属矿物制品业增长13.8%；燃气生产和供应业增长32.2%；水的生产和供应业增长20.8%；农副食品加工业增长13.5%；食品制造业增长6.1%；木材加工制造业增长24.8%。下降的行业有：电力、</w:t>
      </w:r>
      <w:r>
        <w:rPr>
          <w:rFonts w:hint="eastAsia" w:ascii="仿宋" w:hAnsi="仿宋" w:eastAsia="仿宋" w:cs="仿宋"/>
          <w:b w:val="0"/>
          <w:bCs w:val="0"/>
          <w:color w:val="auto"/>
          <w:sz w:val="32"/>
          <w:szCs w:val="32"/>
          <w:lang w:val="en-US" w:eastAsia="zh-CN"/>
        </w:rPr>
        <w:t>热力生产和供应业下降0.3%；皮革、毛皮制造业下降6.8%；</w:t>
      </w:r>
      <w:r>
        <w:rPr>
          <w:rFonts w:hint="eastAsia" w:ascii="仿宋" w:hAnsi="仿宋" w:eastAsia="仿宋" w:cs="仿宋"/>
          <w:color w:val="auto"/>
          <w:sz w:val="32"/>
          <w:szCs w:val="32"/>
          <w:lang w:val="en-US" w:eastAsia="zh-CN"/>
        </w:rPr>
        <w:t>医药制造业下降50.1%；纺织业下降12.3%。</w:t>
      </w:r>
      <w:r>
        <w:rPr>
          <w:rFonts w:hint="eastAsia" w:ascii="仿宋" w:hAnsi="仿宋" w:eastAsia="仿宋" w:cs="仿宋"/>
          <w:b/>
          <w:color w:val="auto"/>
          <w:kern w:val="0"/>
          <w:sz w:val="32"/>
          <w:szCs w:val="32"/>
          <w:lang w:val="en-US" w:eastAsia="zh-CN"/>
        </w:rPr>
        <w:t>分产品看</w:t>
      </w:r>
      <w:r>
        <w:rPr>
          <w:rFonts w:hint="eastAsia" w:ascii="仿宋" w:hAnsi="仿宋" w:eastAsia="仿宋" w:cs="仿宋"/>
          <w:b/>
          <w:bCs/>
          <w:color w:val="auto"/>
          <w:kern w:val="0"/>
          <w:sz w:val="32"/>
          <w:szCs w:val="32"/>
          <w:lang w:val="en-US" w:eastAsia="zh-CN"/>
        </w:rPr>
        <w:t>，</w:t>
      </w:r>
      <w:r>
        <w:rPr>
          <w:rFonts w:hint="eastAsia" w:ascii="仿宋" w:hAnsi="仿宋" w:eastAsia="仿宋" w:cs="仿宋"/>
          <w:b w:val="0"/>
          <w:bCs w:val="0"/>
          <w:color w:val="auto"/>
          <w:sz w:val="32"/>
          <w:szCs w:val="32"/>
          <w:lang w:val="en-US" w:eastAsia="zh-CN"/>
        </w:rPr>
        <w:t>全县监测的15种产</w:t>
      </w:r>
      <w:r>
        <w:rPr>
          <w:rFonts w:hint="eastAsia" w:ascii="仿宋" w:hAnsi="仿宋" w:eastAsia="仿宋" w:cs="仿宋"/>
          <w:b w:val="0"/>
          <w:bCs w:val="0"/>
          <w:color w:val="auto"/>
          <w:sz w:val="32"/>
          <w:szCs w:val="32"/>
        </w:rPr>
        <w:t>品产量</w:t>
      </w:r>
      <w:r>
        <w:rPr>
          <w:rFonts w:hint="eastAsia" w:ascii="仿宋" w:hAnsi="仿宋" w:eastAsia="仿宋" w:cs="仿宋"/>
          <w:b w:val="0"/>
          <w:bCs w:val="0"/>
          <w:color w:val="auto"/>
          <w:sz w:val="32"/>
          <w:szCs w:val="32"/>
          <w:lang w:val="en-US" w:eastAsia="zh-CN"/>
        </w:rPr>
        <w:t>“八增七降”。</w:t>
      </w:r>
      <w:r>
        <w:rPr>
          <w:rFonts w:hint="eastAsia" w:ascii="仿宋" w:hAnsi="仿宋" w:eastAsia="仿宋" w:cs="仿宋"/>
          <w:color w:val="auto"/>
          <w:sz w:val="32"/>
          <w:szCs w:val="32"/>
          <w:lang w:val="en-US" w:eastAsia="zh-CN"/>
        </w:rPr>
        <w:t>其中增长的</w:t>
      </w:r>
      <w:r>
        <w:rPr>
          <w:rFonts w:hint="eastAsia" w:ascii="仿宋" w:hAnsi="仿宋" w:eastAsia="仿宋" w:cs="仿宋"/>
          <w:color w:val="auto"/>
          <w:sz w:val="32"/>
          <w:szCs w:val="32"/>
        </w:rPr>
        <w:t>产品产量</w:t>
      </w:r>
      <w:r>
        <w:rPr>
          <w:rFonts w:hint="eastAsia" w:ascii="仿宋" w:hAnsi="仿宋" w:eastAsia="仿宋" w:cs="仿宋"/>
          <w:color w:val="auto"/>
          <w:sz w:val="32"/>
          <w:szCs w:val="32"/>
          <w:lang w:val="en-US" w:eastAsia="zh-CN"/>
        </w:rPr>
        <w:t>有：</w:t>
      </w:r>
      <w:r>
        <w:rPr>
          <w:rFonts w:hint="eastAsia" w:ascii="仿宋" w:hAnsi="仿宋" w:eastAsia="仿宋" w:cs="仿宋"/>
          <w:b w:val="0"/>
          <w:bCs w:val="0"/>
          <w:color w:val="auto"/>
          <w:sz w:val="32"/>
          <w:szCs w:val="32"/>
          <w:lang w:val="en-US" w:eastAsia="zh-CN"/>
        </w:rPr>
        <w:t>鲜、冷藏肉累计增长3.9%；汽油累计增长60.4%；柴油累计增长59.3%；原煤累计增长15.6%；风力发电累计增长5.5%；自来水生产量累计增长9.7%；涂料累计增长39.5%；营养、保健食品累计增长2.1%；下降的产品产量有：水泥累计下降3.6%；化学品原药累计下降36.5%；商品混凝土累计下降36.6%；硅酸盐水泥熟料累计下降4.6%；液化石油气累计下降7.9%；天然毛皮服装累计下降0.2%；太阳能发电累计下降6%。</w:t>
      </w:r>
      <w:r>
        <w:rPr>
          <w:rFonts w:hint="eastAsia" w:ascii="仿宋" w:hAnsi="仿宋" w:eastAsia="仿宋" w:cs="仿宋"/>
          <w:b/>
          <w:bCs/>
          <w:color w:val="auto"/>
          <w:sz w:val="32"/>
          <w:szCs w:val="32"/>
          <w:highlight w:val="none"/>
          <w:lang w:val="en-US" w:eastAsia="zh-CN"/>
        </w:rPr>
        <w:t>分经济类型看，</w:t>
      </w:r>
      <w:r>
        <w:rPr>
          <w:rFonts w:hint="eastAsia" w:ascii="仿宋" w:hAnsi="仿宋" w:eastAsia="仿宋" w:cs="仿宋"/>
          <w:color w:val="auto"/>
          <w:sz w:val="32"/>
          <w:szCs w:val="32"/>
          <w:highlight w:val="none"/>
          <w:lang w:val="en-US" w:eastAsia="zh-CN"/>
        </w:rPr>
        <w:t>全县</w:t>
      </w:r>
      <w:r>
        <w:rPr>
          <w:rFonts w:hint="eastAsia" w:ascii="仿宋" w:hAnsi="仿宋" w:eastAsia="仿宋" w:cs="仿宋"/>
          <w:i w:val="0"/>
          <w:caps w:val="0"/>
          <w:color w:val="auto"/>
          <w:spacing w:val="0"/>
          <w:kern w:val="0"/>
          <w:sz w:val="32"/>
          <w:szCs w:val="32"/>
          <w:highlight w:val="none"/>
          <w:shd w:val="clear" w:color="auto" w:fill="FFFFFF"/>
          <w:lang w:val="en-US" w:eastAsia="zh-CN" w:bidi="ar"/>
        </w:rPr>
        <w:t>非公有工业增长16.8%，</w:t>
      </w:r>
      <w:r>
        <w:rPr>
          <w:rFonts w:hint="eastAsia" w:ascii="仿宋" w:hAnsi="仿宋" w:eastAsia="仿宋" w:cs="仿宋"/>
          <w:i w:val="0"/>
          <w:caps w:val="0"/>
          <w:color w:val="auto"/>
          <w:spacing w:val="0"/>
          <w:sz w:val="32"/>
          <w:szCs w:val="32"/>
          <w:highlight w:val="none"/>
          <w:shd w:val="clear" w:color="auto" w:fill="FFFFFF"/>
        </w:rPr>
        <w:t>占全部</w:t>
      </w:r>
      <w:r>
        <w:rPr>
          <w:rFonts w:hint="eastAsia" w:ascii="仿宋" w:hAnsi="仿宋" w:eastAsia="仿宋" w:cs="仿宋"/>
          <w:i w:val="0"/>
          <w:caps w:val="0"/>
          <w:color w:val="auto"/>
          <w:spacing w:val="0"/>
          <w:sz w:val="32"/>
          <w:szCs w:val="32"/>
          <w:highlight w:val="none"/>
          <w:shd w:val="clear" w:color="auto" w:fill="FFFFFF"/>
          <w:lang w:eastAsia="zh-CN"/>
        </w:rPr>
        <w:t>规模以上</w:t>
      </w:r>
      <w:r>
        <w:rPr>
          <w:rFonts w:hint="eastAsia" w:ascii="仿宋" w:hAnsi="仿宋" w:eastAsia="仿宋" w:cs="仿宋"/>
          <w:i w:val="0"/>
          <w:caps w:val="0"/>
          <w:color w:val="auto"/>
          <w:spacing w:val="0"/>
          <w:sz w:val="32"/>
          <w:szCs w:val="32"/>
          <w:highlight w:val="none"/>
          <w:shd w:val="clear" w:color="auto" w:fill="FFFFFF"/>
        </w:rPr>
        <w:t>工业增加值的</w:t>
      </w:r>
      <w:r>
        <w:rPr>
          <w:rFonts w:hint="eastAsia" w:ascii="仿宋" w:hAnsi="仿宋" w:eastAsia="仿宋" w:cs="仿宋"/>
          <w:i w:val="0"/>
          <w:caps w:val="0"/>
          <w:color w:val="auto"/>
          <w:spacing w:val="0"/>
          <w:sz w:val="32"/>
          <w:szCs w:val="32"/>
          <w:highlight w:val="none"/>
          <w:shd w:val="clear" w:color="auto" w:fill="FFFFFF"/>
          <w:lang w:val="en-US" w:eastAsia="zh-CN"/>
        </w:rPr>
        <w:t>61.1</w:t>
      </w:r>
      <w:r>
        <w:rPr>
          <w:rFonts w:hint="eastAsia" w:ascii="仿宋" w:hAnsi="仿宋" w:eastAsia="仿宋" w:cs="仿宋"/>
          <w:i w:val="0"/>
          <w:caps w:val="0"/>
          <w:color w:val="auto"/>
          <w:spacing w:val="0"/>
          <w:sz w:val="32"/>
          <w:szCs w:val="32"/>
          <w:highlight w:val="none"/>
          <w:shd w:val="clear" w:color="auto" w:fill="FFFFFF"/>
          <w:lang w:val="en-US"/>
        </w:rPr>
        <w:t>%</w:t>
      </w:r>
      <w:r>
        <w:rPr>
          <w:rFonts w:hint="eastAsia" w:ascii="仿宋" w:hAnsi="仿宋" w:eastAsia="仿宋" w:cs="仿宋"/>
          <w:i w:val="0"/>
          <w:caps w:val="0"/>
          <w:color w:val="auto"/>
          <w:spacing w:val="0"/>
          <w:sz w:val="32"/>
          <w:szCs w:val="32"/>
          <w:highlight w:val="none"/>
          <w:shd w:val="clear" w:color="auto" w:fill="FFFFFF"/>
          <w:lang w:val="en-US" w:eastAsia="zh-CN"/>
        </w:rPr>
        <w:t>；</w:t>
      </w:r>
      <w:r>
        <w:rPr>
          <w:rFonts w:hint="eastAsia" w:ascii="仿宋" w:hAnsi="仿宋" w:eastAsia="仿宋" w:cs="仿宋"/>
          <w:i w:val="0"/>
          <w:caps w:val="0"/>
          <w:color w:val="auto"/>
          <w:spacing w:val="0"/>
          <w:kern w:val="0"/>
          <w:sz w:val="32"/>
          <w:szCs w:val="32"/>
          <w:highlight w:val="none"/>
          <w:shd w:val="clear" w:color="auto" w:fill="FFFFFF"/>
          <w:lang w:val="en-US" w:eastAsia="zh-CN" w:bidi="ar"/>
        </w:rPr>
        <w:t>公有工业增长10.5%，</w:t>
      </w:r>
      <w:r>
        <w:rPr>
          <w:rFonts w:hint="eastAsia" w:ascii="仿宋" w:hAnsi="仿宋" w:eastAsia="仿宋" w:cs="仿宋"/>
          <w:i w:val="0"/>
          <w:caps w:val="0"/>
          <w:color w:val="auto"/>
          <w:spacing w:val="0"/>
          <w:sz w:val="32"/>
          <w:szCs w:val="32"/>
          <w:highlight w:val="none"/>
          <w:shd w:val="clear" w:color="auto" w:fill="FFFFFF"/>
        </w:rPr>
        <w:t>占全部</w:t>
      </w:r>
      <w:r>
        <w:rPr>
          <w:rFonts w:hint="eastAsia" w:ascii="仿宋" w:hAnsi="仿宋" w:eastAsia="仿宋" w:cs="仿宋"/>
          <w:i w:val="0"/>
          <w:caps w:val="0"/>
          <w:color w:val="auto"/>
          <w:spacing w:val="0"/>
          <w:sz w:val="32"/>
          <w:szCs w:val="32"/>
          <w:highlight w:val="none"/>
          <w:shd w:val="clear" w:color="auto" w:fill="FFFFFF"/>
          <w:lang w:eastAsia="zh-CN"/>
        </w:rPr>
        <w:t>规模以上</w:t>
      </w:r>
      <w:r>
        <w:rPr>
          <w:rFonts w:hint="eastAsia" w:ascii="仿宋" w:hAnsi="仿宋" w:eastAsia="仿宋" w:cs="仿宋"/>
          <w:i w:val="0"/>
          <w:caps w:val="0"/>
          <w:color w:val="auto"/>
          <w:spacing w:val="0"/>
          <w:sz w:val="32"/>
          <w:szCs w:val="32"/>
          <w:highlight w:val="none"/>
          <w:shd w:val="clear" w:color="auto" w:fill="FFFFFF"/>
        </w:rPr>
        <w:t>工业增加值的</w:t>
      </w:r>
      <w:r>
        <w:rPr>
          <w:rFonts w:hint="eastAsia" w:ascii="仿宋" w:hAnsi="仿宋" w:eastAsia="仿宋" w:cs="仿宋"/>
          <w:i w:val="0"/>
          <w:caps w:val="0"/>
          <w:color w:val="auto"/>
          <w:spacing w:val="0"/>
          <w:sz w:val="32"/>
          <w:szCs w:val="32"/>
          <w:highlight w:val="none"/>
          <w:shd w:val="clear" w:color="auto" w:fill="FFFFFF"/>
          <w:lang w:val="en-US" w:eastAsia="zh-CN"/>
        </w:rPr>
        <w:t>38.9</w:t>
      </w:r>
      <w:r>
        <w:rPr>
          <w:rFonts w:hint="eastAsia" w:ascii="仿宋" w:hAnsi="仿宋" w:eastAsia="仿宋" w:cs="仿宋"/>
          <w:i w:val="0"/>
          <w:caps w:val="0"/>
          <w:color w:val="auto"/>
          <w:spacing w:val="0"/>
          <w:sz w:val="32"/>
          <w:szCs w:val="32"/>
          <w:highlight w:val="none"/>
          <w:shd w:val="clear" w:color="auto" w:fill="FFFFFF"/>
          <w:lang w:val="en-US"/>
        </w:rPr>
        <w:t>%</w:t>
      </w:r>
      <w:r>
        <w:rPr>
          <w:rFonts w:hint="eastAsia" w:ascii="仿宋" w:hAnsi="仿宋" w:eastAsia="仿宋" w:cs="仿宋"/>
          <w:i w:val="0"/>
          <w:caps w:val="0"/>
          <w:color w:val="auto"/>
          <w:spacing w:val="0"/>
          <w:sz w:val="32"/>
          <w:szCs w:val="32"/>
          <w:highlight w:val="none"/>
          <w:shd w:val="clear" w:color="auto" w:fill="FFFFFF"/>
          <w:lang w:val="en-US" w:eastAsia="zh-CN"/>
        </w:rPr>
        <w:t>；私营企业增长17.1%，</w:t>
      </w:r>
      <w:r>
        <w:rPr>
          <w:rFonts w:hint="eastAsia" w:ascii="仿宋" w:hAnsi="仿宋" w:eastAsia="仿宋" w:cs="仿宋"/>
          <w:i w:val="0"/>
          <w:caps w:val="0"/>
          <w:color w:val="auto"/>
          <w:spacing w:val="0"/>
          <w:sz w:val="32"/>
          <w:szCs w:val="32"/>
          <w:highlight w:val="none"/>
          <w:shd w:val="clear" w:color="auto" w:fill="FFFFFF"/>
        </w:rPr>
        <w:t>占全部</w:t>
      </w:r>
      <w:r>
        <w:rPr>
          <w:rFonts w:hint="eastAsia" w:ascii="仿宋" w:hAnsi="仿宋" w:eastAsia="仿宋" w:cs="仿宋"/>
          <w:i w:val="0"/>
          <w:caps w:val="0"/>
          <w:color w:val="auto"/>
          <w:spacing w:val="0"/>
          <w:sz w:val="32"/>
          <w:szCs w:val="32"/>
          <w:highlight w:val="none"/>
          <w:shd w:val="clear" w:color="auto" w:fill="FFFFFF"/>
          <w:lang w:eastAsia="zh-CN"/>
        </w:rPr>
        <w:t>规模以上</w:t>
      </w:r>
      <w:r>
        <w:rPr>
          <w:rFonts w:hint="eastAsia" w:ascii="仿宋" w:hAnsi="仿宋" w:eastAsia="仿宋" w:cs="仿宋"/>
          <w:i w:val="0"/>
          <w:caps w:val="0"/>
          <w:color w:val="auto"/>
          <w:spacing w:val="0"/>
          <w:sz w:val="32"/>
          <w:szCs w:val="32"/>
          <w:highlight w:val="none"/>
          <w:shd w:val="clear" w:color="auto" w:fill="FFFFFF"/>
        </w:rPr>
        <w:t>工业增加值的</w:t>
      </w:r>
      <w:r>
        <w:rPr>
          <w:rFonts w:hint="eastAsia" w:ascii="仿宋" w:hAnsi="仿宋" w:eastAsia="仿宋" w:cs="仿宋"/>
          <w:i w:val="0"/>
          <w:caps w:val="0"/>
          <w:color w:val="auto"/>
          <w:spacing w:val="0"/>
          <w:sz w:val="32"/>
          <w:szCs w:val="32"/>
          <w:highlight w:val="none"/>
          <w:shd w:val="clear" w:color="auto" w:fill="FFFFFF"/>
          <w:lang w:val="en-US" w:eastAsia="zh-CN"/>
        </w:rPr>
        <w:t>42</w:t>
      </w:r>
      <w:r>
        <w:rPr>
          <w:rFonts w:hint="eastAsia" w:ascii="仿宋" w:hAnsi="仿宋" w:eastAsia="仿宋" w:cs="仿宋"/>
          <w:i w:val="0"/>
          <w:caps w:val="0"/>
          <w:color w:val="auto"/>
          <w:spacing w:val="0"/>
          <w:sz w:val="32"/>
          <w:szCs w:val="32"/>
          <w:highlight w:val="none"/>
          <w:shd w:val="clear" w:color="auto" w:fill="FFFFFF"/>
          <w:lang w:val="en-US"/>
        </w:rPr>
        <w:t>%</w:t>
      </w:r>
      <w:r>
        <w:rPr>
          <w:rFonts w:hint="eastAsia" w:ascii="仿宋" w:hAnsi="仿宋" w:eastAsia="仿宋" w:cs="仿宋"/>
          <w:i w:val="0"/>
          <w:caps w:val="0"/>
          <w:color w:val="auto"/>
          <w:spacing w:val="0"/>
          <w:sz w:val="32"/>
          <w:szCs w:val="32"/>
          <w:highlight w:val="none"/>
          <w:shd w:val="clear" w:color="auto" w:fill="FFFFFF"/>
          <w:lang w:val="en-US" w:eastAsia="zh-CN"/>
        </w:rPr>
        <w:t>；国有企业</w:t>
      </w:r>
      <w:r>
        <w:rPr>
          <w:rFonts w:hint="eastAsia" w:ascii="仿宋" w:hAnsi="仿宋" w:eastAsia="仿宋" w:cs="仿宋"/>
          <w:i w:val="0"/>
          <w:caps w:val="0"/>
          <w:color w:val="auto"/>
          <w:spacing w:val="0"/>
          <w:kern w:val="0"/>
          <w:sz w:val="32"/>
          <w:szCs w:val="32"/>
          <w:highlight w:val="none"/>
          <w:shd w:val="clear" w:color="auto" w:fill="FFFFFF"/>
          <w:lang w:val="en-US" w:eastAsia="zh-CN" w:bidi="ar"/>
        </w:rPr>
        <w:t>增长0.1，</w:t>
      </w:r>
      <w:r>
        <w:rPr>
          <w:rFonts w:hint="eastAsia" w:ascii="仿宋" w:hAnsi="仿宋" w:eastAsia="仿宋" w:cs="仿宋"/>
          <w:i w:val="0"/>
          <w:caps w:val="0"/>
          <w:color w:val="auto"/>
          <w:spacing w:val="0"/>
          <w:sz w:val="32"/>
          <w:szCs w:val="32"/>
          <w:highlight w:val="none"/>
          <w:shd w:val="clear" w:color="auto" w:fill="FFFFFF"/>
        </w:rPr>
        <w:t>占全部</w:t>
      </w:r>
      <w:r>
        <w:rPr>
          <w:rFonts w:hint="eastAsia" w:ascii="仿宋" w:hAnsi="仿宋" w:eastAsia="仿宋" w:cs="仿宋"/>
          <w:i w:val="0"/>
          <w:caps w:val="0"/>
          <w:color w:val="auto"/>
          <w:spacing w:val="0"/>
          <w:sz w:val="32"/>
          <w:szCs w:val="32"/>
          <w:highlight w:val="none"/>
          <w:shd w:val="clear" w:color="auto" w:fill="FFFFFF"/>
          <w:lang w:eastAsia="zh-CN"/>
        </w:rPr>
        <w:t>规模以上</w:t>
      </w:r>
      <w:r>
        <w:rPr>
          <w:rFonts w:hint="eastAsia" w:ascii="仿宋" w:hAnsi="仿宋" w:eastAsia="仿宋" w:cs="仿宋"/>
          <w:i w:val="0"/>
          <w:caps w:val="0"/>
          <w:color w:val="auto"/>
          <w:spacing w:val="0"/>
          <w:sz w:val="32"/>
          <w:szCs w:val="32"/>
          <w:highlight w:val="none"/>
          <w:shd w:val="clear" w:color="auto" w:fill="FFFFFF"/>
        </w:rPr>
        <w:t>工业增加值的</w:t>
      </w:r>
      <w:r>
        <w:rPr>
          <w:rFonts w:hint="eastAsia" w:ascii="仿宋" w:hAnsi="仿宋" w:eastAsia="仿宋" w:cs="仿宋"/>
          <w:i w:val="0"/>
          <w:caps w:val="0"/>
          <w:color w:val="auto"/>
          <w:spacing w:val="0"/>
          <w:sz w:val="32"/>
          <w:szCs w:val="32"/>
          <w:highlight w:val="none"/>
          <w:shd w:val="clear" w:color="auto" w:fill="FFFFFF"/>
          <w:lang w:val="en-US" w:eastAsia="zh-CN"/>
        </w:rPr>
        <w:t>0.7</w:t>
      </w:r>
      <w:r>
        <w:rPr>
          <w:rFonts w:hint="eastAsia" w:ascii="仿宋" w:hAnsi="仿宋" w:eastAsia="仿宋" w:cs="仿宋"/>
          <w:i w:val="0"/>
          <w:caps w:val="0"/>
          <w:color w:val="auto"/>
          <w:spacing w:val="0"/>
          <w:sz w:val="32"/>
          <w:szCs w:val="32"/>
          <w:highlight w:val="none"/>
          <w:shd w:val="clear" w:color="auto" w:fill="FFFFFF"/>
          <w:lang w:val="en-US"/>
        </w:rPr>
        <w:t>%</w:t>
      </w:r>
      <w:r>
        <w:rPr>
          <w:rFonts w:hint="eastAsia" w:ascii="仿宋" w:hAnsi="仿宋" w:eastAsia="仿宋" w:cs="仿宋"/>
          <w:i w:val="0"/>
          <w:caps w:val="0"/>
          <w:color w:val="auto"/>
          <w:spacing w:val="0"/>
          <w:sz w:val="32"/>
          <w:szCs w:val="32"/>
          <w:highlight w:val="none"/>
          <w:shd w:val="clear" w:color="auto" w:fill="FFFFFF"/>
          <w:lang w:val="en-US" w:eastAsia="zh-CN"/>
        </w:rPr>
        <w:t>。</w:t>
      </w:r>
    </w:p>
    <w:p>
      <w:pPr>
        <w:spacing w:line="600" w:lineRule="exact"/>
        <w:ind w:firstLine="600" w:firstLineChars="200"/>
        <w:jc w:val="center"/>
        <w:rPr>
          <w:rFonts w:ascii="仿宋" w:hAnsi="仿宋" w:eastAsia="仿宋"/>
          <w:color w:val="FF0000"/>
          <w:kern w:val="0"/>
          <w:sz w:val="32"/>
          <w:szCs w:val="32"/>
          <w:highlight w:val="none"/>
        </w:rPr>
      </w:pPr>
      <w:r>
        <w:rPr>
          <w:rFonts w:hint="eastAsia" w:ascii="仿宋" w:hAnsi="仿宋" w:eastAsia="仿宋" w:cs="宋体"/>
          <w:kern w:val="0"/>
          <w:sz w:val="30"/>
          <w:szCs w:val="30"/>
          <w:highlight w:val="none"/>
        </w:rPr>
        <w:t>图3　20</w:t>
      </w:r>
      <w:r>
        <w:rPr>
          <w:rFonts w:ascii="仿宋" w:hAnsi="仿宋" w:eastAsia="仿宋" w:cs="宋体"/>
          <w:kern w:val="0"/>
          <w:sz w:val="30"/>
          <w:szCs w:val="30"/>
          <w:highlight w:val="none"/>
        </w:rPr>
        <w:t>1</w:t>
      </w:r>
      <w:r>
        <w:rPr>
          <w:rFonts w:hint="eastAsia" w:ascii="仿宋" w:hAnsi="仿宋" w:eastAsia="仿宋" w:cs="宋体"/>
          <w:kern w:val="0"/>
          <w:sz w:val="30"/>
          <w:szCs w:val="30"/>
          <w:highlight w:val="none"/>
          <w:lang w:val="en-US" w:eastAsia="zh-CN"/>
        </w:rPr>
        <w:t>5</w:t>
      </w:r>
      <w:r>
        <w:rPr>
          <w:rFonts w:hint="eastAsia" w:ascii="仿宋" w:hAnsi="仿宋" w:eastAsia="仿宋" w:cs="宋体"/>
          <w:kern w:val="0"/>
          <w:sz w:val="30"/>
          <w:szCs w:val="30"/>
          <w:highlight w:val="none"/>
        </w:rPr>
        <w:t>－201</w:t>
      </w:r>
      <w:r>
        <w:rPr>
          <w:rFonts w:hint="eastAsia" w:ascii="仿宋" w:hAnsi="仿宋" w:eastAsia="仿宋" w:cs="宋体"/>
          <w:kern w:val="0"/>
          <w:sz w:val="30"/>
          <w:szCs w:val="30"/>
          <w:highlight w:val="none"/>
          <w:lang w:val="en-US" w:eastAsia="zh-CN"/>
        </w:rPr>
        <w:t>9</w:t>
      </w:r>
      <w:r>
        <w:rPr>
          <w:rFonts w:hint="eastAsia" w:ascii="仿宋" w:hAnsi="仿宋" w:eastAsia="仿宋" w:cs="宋体"/>
          <w:kern w:val="0"/>
          <w:sz w:val="30"/>
          <w:szCs w:val="30"/>
          <w:highlight w:val="none"/>
        </w:rPr>
        <w:t>年工业增加值总量及增速图</w:t>
      </w:r>
    </w:p>
    <w:p>
      <w:pPr>
        <w:widowControl/>
      </w:pPr>
      <w:r>
        <w:drawing>
          <wp:inline distT="0" distB="0" distL="114300" distR="114300">
            <wp:extent cx="5269865" cy="3011170"/>
            <wp:effectExtent l="19050" t="19050" r="26035" b="3683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pPr>
    </w:p>
    <w:tbl>
      <w:tblPr>
        <w:tblStyle w:val="7"/>
        <w:tblW w:w="8380" w:type="dxa"/>
        <w:tblInd w:w="93" w:type="dxa"/>
        <w:tblLayout w:type="fixed"/>
        <w:tblCellMar>
          <w:top w:w="0" w:type="dxa"/>
          <w:left w:w="108" w:type="dxa"/>
          <w:bottom w:w="0" w:type="dxa"/>
          <w:right w:w="108" w:type="dxa"/>
        </w:tblCellMar>
      </w:tblPr>
      <w:tblGrid>
        <w:gridCol w:w="5117"/>
        <w:gridCol w:w="1678"/>
        <w:gridCol w:w="1585"/>
      </w:tblGrid>
      <w:tr>
        <w:tblPrEx>
          <w:tblCellMar>
            <w:top w:w="0" w:type="dxa"/>
            <w:left w:w="108" w:type="dxa"/>
            <w:bottom w:w="0" w:type="dxa"/>
            <w:right w:w="108" w:type="dxa"/>
          </w:tblCellMar>
        </w:tblPrEx>
        <w:trPr>
          <w:trHeight w:val="405" w:hRule="atLeast"/>
        </w:trPr>
        <w:tc>
          <w:tcPr>
            <w:tcW w:w="8380" w:type="dxa"/>
            <w:gridSpan w:val="3"/>
            <w:tcBorders>
              <w:top w:val="nil"/>
              <w:left w:val="nil"/>
              <w:bottom w:val="nil"/>
              <w:right w:val="nil"/>
            </w:tcBorders>
            <w:shd w:val="clear" w:color="auto" w:fill="auto"/>
            <w:noWrap/>
            <w:vAlign w:val="center"/>
          </w:tcPr>
          <w:p>
            <w:pPr>
              <w:widowControl/>
              <w:jc w:val="center"/>
              <w:rPr>
                <w:rFonts w:hint="eastAsia" w:ascii="黑体" w:hAnsi="黑体" w:eastAsia="黑体" w:cs="宋体"/>
                <w:kern w:val="0"/>
                <w:sz w:val="32"/>
                <w:szCs w:val="32"/>
                <w:lang w:eastAsia="zh-CN"/>
              </w:rPr>
            </w:pPr>
            <w:r>
              <w:rPr>
                <w:rFonts w:hint="eastAsia" w:ascii="黑体" w:hAnsi="黑体" w:eastAsia="黑体" w:cs="宋体"/>
                <w:kern w:val="0"/>
                <w:sz w:val="32"/>
                <w:szCs w:val="32"/>
              </w:rPr>
              <w:t>表</w:t>
            </w:r>
            <w:r>
              <w:rPr>
                <w:rFonts w:ascii="黑体" w:hAnsi="黑体" w:eastAsia="黑体" w:cs="宋体"/>
                <w:kern w:val="0"/>
                <w:sz w:val="32"/>
                <w:szCs w:val="32"/>
              </w:rPr>
              <w:t>3</w:t>
            </w:r>
            <w:r>
              <w:rPr>
                <w:rFonts w:hint="eastAsia" w:ascii="黑体" w:hAnsi="黑体" w:eastAsia="黑体" w:cs="宋体"/>
                <w:kern w:val="0"/>
                <w:sz w:val="32"/>
                <w:szCs w:val="32"/>
              </w:rPr>
              <w:t>　201</w:t>
            </w:r>
            <w:r>
              <w:rPr>
                <w:rFonts w:hint="eastAsia" w:ascii="黑体" w:hAnsi="黑体" w:eastAsia="黑体" w:cs="宋体"/>
                <w:kern w:val="0"/>
                <w:sz w:val="32"/>
                <w:szCs w:val="32"/>
                <w:lang w:val="en-US" w:eastAsia="zh-CN"/>
              </w:rPr>
              <w:t>9</w:t>
            </w:r>
            <w:r>
              <w:rPr>
                <w:rFonts w:hint="eastAsia" w:ascii="黑体" w:hAnsi="黑体" w:eastAsia="黑体" w:cs="宋体"/>
                <w:kern w:val="0"/>
                <w:sz w:val="32"/>
                <w:szCs w:val="32"/>
              </w:rPr>
              <w:t>年主要工业产品产量</w:t>
            </w:r>
            <w:r>
              <w:rPr>
                <w:rFonts w:hint="eastAsia" w:ascii="黑体" w:hAnsi="黑体" w:eastAsia="黑体" w:cs="宋体"/>
                <w:kern w:val="0"/>
                <w:sz w:val="32"/>
                <w:szCs w:val="32"/>
                <w:lang w:eastAsia="zh-CN"/>
              </w:rPr>
              <w:t>（</w:t>
            </w:r>
            <w:r>
              <w:rPr>
                <w:rFonts w:hint="eastAsia" w:ascii="黑体" w:hAnsi="黑体" w:eastAsia="黑体" w:cs="宋体"/>
                <w:kern w:val="0"/>
                <w:sz w:val="32"/>
                <w:szCs w:val="32"/>
                <w:lang w:val="en-US" w:eastAsia="zh-CN"/>
              </w:rPr>
              <w:t>规模以上工业</w:t>
            </w:r>
            <w:r>
              <w:rPr>
                <w:rFonts w:hint="eastAsia" w:ascii="黑体" w:hAnsi="黑体" w:eastAsia="黑体" w:cs="宋体"/>
                <w:kern w:val="0"/>
                <w:sz w:val="32"/>
                <w:szCs w:val="32"/>
                <w:lang w:eastAsia="zh-CN"/>
              </w:rPr>
              <w:t>）</w:t>
            </w:r>
          </w:p>
        </w:tc>
      </w:tr>
      <w:tr>
        <w:tblPrEx>
          <w:tblCellMar>
            <w:top w:w="0" w:type="dxa"/>
            <w:left w:w="108" w:type="dxa"/>
            <w:bottom w:w="0" w:type="dxa"/>
            <w:right w:w="108" w:type="dxa"/>
          </w:tblCellMar>
        </w:tblPrEx>
        <w:trPr>
          <w:trHeight w:val="375" w:hRule="atLeast"/>
        </w:trPr>
        <w:tc>
          <w:tcPr>
            <w:tcW w:w="51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项目</w:t>
            </w:r>
          </w:p>
        </w:tc>
        <w:tc>
          <w:tcPr>
            <w:tcW w:w="16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产量</w:t>
            </w:r>
          </w:p>
        </w:tc>
        <w:tc>
          <w:tcPr>
            <w:tcW w:w="1585" w:type="dxa"/>
            <w:tcBorders>
              <w:top w:val="single" w:color="auto" w:sz="4" w:space="0"/>
              <w:left w:val="nil"/>
              <w:bottom w:val="single" w:color="auto" w:sz="4" w:space="0"/>
              <w:right w:val="nil"/>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 xml:space="preserve">   增长%</w:t>
            </w:r>
          </w:p>
        </w:tc>
      </w:tr>
      <w:tr>
        <w:tblPrEx>
          <w:tblCellMar>
            <w:top w:w="0" w:type="dxa"/>
            <w:left w:w="108" w:type="dxa"/>
            <w:bottom w:w="0" w:type="dxa"/>
            <w:right w:w="108" w:type="dxa"/>
          </w:tblCellMar>
        </w:tblPrEx>
        <w:trPr>
          <w:trHeight w:val="285" w:hRule="atLeast"/>
        </w:trPr>
        <w:tc>
          <w:tcPr>
            <w:tcW w:w="51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 xml:space="preserve">原煤(万吨) </w:t>
            </w:r>
          </w:p>
        </w:tc>
        <w:tc>
          <w:tcPr>
            <w:tcW w:w="16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 xml:space="preserve">545.9 </w:t>
            </w:r>
          </w:p>
        </w:tc>
        <w:tc>
          <w:tcPr>
            <w:tcW w:w="1585"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15.6%</w:t>
            </w:r>
          </w:p>
        </w:tc>
      </w:tr>
      <w:tr>
        <w:tblPrEx>
          <w:tblCellMar>
            <w:top w:w="0" w:type="dxa"/>
            <w:left w:w="108" w:type="dxa"/>
            <w:bottom w:w="0" w:type="dxa"/>
            <w:right w:w="108" w:type="dxa"/>
          </w:tblCellMar>
        </w:tblPrEx>
        <w:trPr>
          <w:trHeight w:val="285" w:hRule="atLeast"/>
        </w:trPr>
        <w:tc>
          <w:tcPr>
            <w:tcW w:w="51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水泥(万吨)</w:t>
            </w:r>
          </w:p>
        </w:tc>
        <w:tc>
          <w:tcPr>
            <w:tcW w:w="16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 xml:space="preserve">156.9 </w:t>
            </w:r>
          </w:p>
        </w:tc>
        <w:tc>
          <w:tcPr>
            <w:tcW w:w="1585"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-3.6%</w:t>
            </w:r>
          </w:p>
        </w:tc>
      </w:tr>
      <w:tr>
        <w:tblPrEx>
          <w:tblCellMar>
            <w:top w:w="0" w:type="dxa"/>
            <w:left w:w="108" w:type="dxa"/>
            <w:bottom w:w="0" w:type="dxa"/>
            <w:right w:w="108" w:type="dxa"/>
          </w:tblCellMar>
        </w:tblPrEx>
        <w:trPr>
          <w:trHeight w:val="285" w:hRule="atLeast"/>
        </w:trPr>
        <w:tc>
          <w:tcPr>
            <w:tcW w:w="51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 xml:space="preserve">鲜冷藏肉(吨)    </w:t>
            </w:r>
          </w:p>
        </w:tc>
        <w:tc>
          <w:tcPr>
            <w:tcW w:w="16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 xml:space="preserve">6801.8 </w:t>
            </w:r>
          </w:p>
        </w:tc>
        <w:tc>
          <w:tcPr>
            <w:tcW w:w="1585"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3.9%</w:t>
            </w:r>
          </w:p>
        </w:tc>
      </w:tr>
      <w:tr>
        <w:tblPrEx>
          <w:tblCellMar>
            <w:top w:w="0" w:type="dxa"/>
            <w:left w:w="108" w:type="dxa"/>
            <w:bottom w:w="0" w:type="dxa"/>
            <w:right w:w="108" w:type="dxa"/>
          </w:tblCellMar>
        </w:tblPrEx>
        <w:trPr>
          <w:trHeight w:val="285" w:hRule="atLeast"/>
        </w:trPr>
        <w:tc>
          <w:tcPr>
            <w:tcW w:w="51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发电量（万千瓦时）</w:t>
            </w:r>
          </w:p>
        </w:tc>
        <w:tc>
          <w:tcPr>
            <w:tcW w:w="16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18"/>
                <w:szCs w:val="18"/>
                <w:u w:val="none"/>
                <w:lang w:val="en-US" w:eastAsia="zh-CN" w:bidi="ar"/>
              </w:rPr>
              <w:t xml:space="preserve">531635.8 </w:t>
            </w:r>
          </w:p>
        </w:tc>
        <w:tc>
          <w:tcPr>
            <w:tcW w:w="1585"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3.6%</w:t>
            </w:r>
          </w:p>
        </w:tc>
      </w:tr>
      <w:tr>
        <w:tblPrEx>
          <w:tblCellMar>
            <w:top w:w="0" w:type="dxa"/>
            <w:left w:w="108" w:type="dxa"/>
            <w:bottom w:w="0" w:type="dxa"/>
            <w:right w:w="108" w:type="dxa"/>
          </w:tblCellMar>
        </w:tblPrEx>
        <w:trPr>
          <w:trHeight w:val="285" w:hRule="atLeast"/>
        </w:trPr>
        <w:tc>
          <w:tcPr>
            <w:tcW w:w="51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天然毛皮服装（万件）</w:t>
            </w:r>
          </w:p>
        </w:tc>
        <w:tc>
          <w:tcPr>
            <w:tcW w:w="16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 xml:space="preserve">17.2 </w:t>
            </w:r>
          </w:p>
        </w:tc>
        <w:tc>
          <w:tcPr>
            <w:tcW w:w="1585"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5" w:hRule="atLeast"/>
        </w:trPr>
        <w:tc>
          <w:tcPr>
            <w:tcW w:w="51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化学药品原药（吨）</w:t>
            </w:r>
          </w:p>
        </w:tc>
        <w:tc>
          <w:tcPr>
            <w:tcW w:w="16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 xml:space="preserve">5.7 </w:t>
            </w:r>
          </w:p>
        </w:tc>
        <w:tc>
          <w:tcPr>
            <w:tcW w:w="1585"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-36.5%</w:t>
            </w:r>
          </w:p>
        </w:tc>
      </w:tr>
      <w:tr>
        <w:tblPrEx>
          <w:tblCellMar>
            <w:top w:w="0" w:type="dxa"/>
            <w:left w:w="108" w:type="dxa"/>
            <w:bottom w:w="0" w:type="dxa"/>
            <w:right w:w="108" w:type="dxa"/>
          </w:tblCellMar>
        </w:tblPrEx>
        <w:trPr>
          <w:trHeight w:val="285" w:hRule="atLeast"/>
        </w:trPr>
        <w:tc>
          <w:tcPr>
            <w:tcW w:w="51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柴油（吨）</w:t>
            </w:r>
          </w:p>
        </w:tc>
        <w:tc>
          <w:tcPr>
            <w:tcW w:w="16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 xml:space="preserve">44333.3 </w:t>
            </w:r>
          </w:p>
        </w:tc>
        <w:tc>
          <w:tcPr>
            <w:tcW w:w="1585"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59.3%</w:t>
            </w:r>
          </w:p>
        </w:tc>
      </w:tr>
      <w:tr>
        <w:tblPrEx>
          <w:tblCellMar>
            <w:top w:w="0" w:type="dxa"/>
            <w:left w:w="108" w:type="dxa"/>
            <w:bottom w:w="0" w:type="dxa"/>
            <w:right w:w="108" w:type="dxa"/>
          </w:tblCellMar>
        </w:tblPrEx>
        <w:trPr>
          <w:trHeight w:val="285" w:hRule="atLeast"/>
        </w:trPr>
        <w:tc>
          <w:tcPr>
            <w:tcW w:w="5117" w:type="dxa"/>
            <w:tcBorders>
              <w:top w:val="nil"/>
              <w:left w:val="nil"/>
              <w:bottom w:val="nil"/>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汽油（吨）</w:t>
            </w:r>
          </w:p>
        </w:tc>
        <w:tc>
          <w:tcPr>
            <w:tcW w:w="1678"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 xml:space="preserve">53568.0 </w:t>
            </w:r>
          </w:p>
        </w:tc>
        <w:tc>
          <w:tcPr>
            <w:tcW w:w="158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60.4%</w:t>
            </w:r>
          </w:p>
        </w:tc>
      </w:tr>
      <w:tr>
        <w:tblPrEx>
          <w:tblCellMar>
            <w:top w:w="0" w:type="dxa"/>
            <w:left w:w="108" w:type="dxa"/>
            <w:bottom w:w="0" w:type="dxa"/>
            <w:right w:w="108" w:type="dxa"/>
          </w:tblCellMar>
        </w:tblPrEx>
        <w:trPr>
          <w:trHeight w:val="285" w:hRule="atLeast"/>
        </w:trPr>
        <w:tc>
          <w:tcPr>
            <w:tcW w:w="5117" w:type="dxa"/>
            <w:tcBorders>
              <w:top w:val="nil"/>
              <w:left w:val="nil"/>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营养、保健食品（吨）</w:t>
            </w:r>
          </w:p>
        </w:tc>
        <w:tc>
          <w:tcPr>
            <w:tcW w:w="1678"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490.0 </w:t>
            </w:r>
          </w:p>
        </w:tc>
        <w:tc>
          <w:tcPr>
            <w:tcW w:w="158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r>
      <w:tr>
        <w:tblPrEx>
          <w:tblCellMar>
            <w:top w:w="0" w:type="dxa"/>
            <w:left w:w="108" w:type="dxa"/>
            <w:bottom w:w="0" w:type="dxa"/>
            <w:right w:w="108" w:type="dxa"/>
          </w:tblCellMar>
        </w:tblPrEx>
        <w:trPr>
          <w:trHeight w:val="285" w:hRule="atLeast"/>
        </w:trPr>
        <w:tc>
          <w:tcPr>
            <w:tcW w:w="51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自来水生产量（万立方米）</w:t>
            </w:r>
          </w:p>
        </w:tc>
        <w:tc>
          <w:tcPr>
            <w:tcW w:w="16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971.0 </w:t>
            </w:r>
          </w:p>
        </w:tc>
        <w:tc>
          <w:tcPr>
            <w:tcW w:w="1585"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9.7%</w:t>
            </w:r>
          </w:p>
        </w:tc>
      </w:tr>
    </w:tbl>
    <w:p>
      <w:pPr>
        <w:widowControl/>
        <w:ind w:firstLine="707" w:firstLineChars="200"/>
        <w:rPr>
          <w:rFonts w:hint="eastAsia" w:ascii="仿宋" w:hAnsi="仿宋" w:eastAsia="仿宋" w:cs="宋体"/>
          <w:color w:val="000000"/>
          <w:kern w:val="0"/>
          <w:sz w:val="32"/>
          <w:szCs w:val="32"/>
          <w:lang w:val="en-US" w:eastAsia="zh-CN"/>
        </w:rPr>
      </w:pPr>
      <w:r>
        <w:rPr>
          <w:rFonts w:hint="eastAsia" w:ascii="仿宋" w:hAnsi="仿宋" w:eastAsia="仿宋" w:cs="宋体"/>
          <w:b/>
          <w:color w:val="000000" w:themeColor="text1"/>
          <w:spacing w:val="16"/>
          <w:kern w:val="0"/>
          <w:sz w:val="32"/>
          <w:szCs w:val="32"/>
        </w:rPr>
        <w:t>建筑业</w:t>
      </w:r>
      <w:r>
        <w:rPr>
          <w:rFonts w:hint="eastAsia" w:ascii="仿宋" w:hAnsi="仿宋" w:eastAsia="仿宋" w:cs="宋体"/>
          <w:b/>
          <w:color w:val="000000" w:themeColor="text1"/>
          <w:spacing w:val="16"/>
          <w:kern w:val="0"/>
          <w:sz w:val="32"/>
          <w:szCs w:val="32"/>
          <w:lang w:val="en-US" w:eastAsia="zh-CN"/>
        </w:rPr>
        <w:t>局势低迷</w:t>
      </w:r>
      <w:r>
        <w:rPr>
          <w:rFonts w:hint="eastAsia" w:ascii="仿宋" w:hAnsi="仿宋" w:eastAsia="仿宋" w:cs="宋体"/>
          <w:b/>
          <w:color w:val="000000" w:themeColor="text1"/>
          <w:spacing w:val="16"/>
          <w:kern w:val="0"/>
          <w:sz w:val="32"/>
          <w:szCs w:val="32"/>
        </w:rPr>
        <w:t>。</w:t>
      </w:r>
      <w:r>
        <w:rPr>
          <w:rFonts w:hint="eastAsia" w:ascii="仿宋" w:hAnsi="仿宋" w:eastAsia="仿宋" w:cs="宋体"/>
          <w:color w:val="000000" w:themeColor="text1"/>
          <w:spacing w:val="16"/>
          <w:kern w:val="0"/>
          <w:sz w:val="32"/>
          <w:szCs w:val="32"/>
        </w:rPr>
        <w:t>全县实现建筑业增加值</w:t>
      </w:r>
      <w:r>
        <w:rPr>
          <w:rFonts w:hint="eastAsia" w:ascii="仿宋" w:hAnsi="仿宋" w:eastAsia="仿宋" w:cs="宋体"/>
          <w:color w:val="000000" w:themeColor="text1"/>
          <w:spacing w:val="16"/>
          <w:kern w:val="0"/>
          <w:sz w:val="32"/>
          <w:szCs w:val="32"/>
          <w:lang w:val="en-US" w:eastAsia="zh-CN"/>
        </w:rPr>
        <w:t>11.08</w:t>
      </w:r>
      <w:r>
        <w:rPr>
          <w:rFonts w:hint="eastAsia" w:ascii="仿宋" w:hAnsi="仿宋" w:eastAsia="仿宋" w:cs="宋体"/>
          <w:color w:val="000000" w:themeColor="text1"/>
          <w:spacing w:val="16"/>
          <w:kern w:val="0"/>
          <w:sz w:val="32"/>
          <w:szCs w:val="32"/>
        </w:rPr>
        <w:t>亿元，</w:t>
      </w:r>
      <w:r>
        <w:rPr>
          <w:rFonts w:hint="eastAsia" w:ascii="仿宋" w:hAnsi="仿宋" w:eastAsia="仿宋" w:cs="宋体"/>
          <w:color w:val="000000" w:themeColor="text1"/>
          <w:spacing w:val="16"/>
          <w:kern w:val="0"/>
          <w:sz w:val="32"/>
          <w:szCs w:val="32"/>
          <w:lang w:val="en-US" w:eastAsia="zh-CN"/>
        </w:rPr>
        <w:t>占地区生产总值的比重为10.5%，增速</w:t>
      </w:r>
      <w:r>
        <w:rPr>
          <w:rFonts w:hint="eastAsia" w:ascii="仿宋" w:hAnsi="仿宋" w:eastAsia="仿宋" w:cs="宋体"/>
          <w:color w:val="000000" w:themeColor="text1"/>
          <w:spacing w:val="16"/>
          <w:kern w:val="0"/>
          <w:sz w:val="32"/>
          <w:szCs w:val="32"/>
        </w:rPr>
        <w:t>同比</w:t>
      </w:r>
      <w:r>
        <w:rPr>
          <w:rFonts w:hint="eastAsia" w:ascii="仿宋" w:hAnsi="仿宋" w:eastAsia="仿宋" w:cs="宋体"/>
          <w:color w:val="000000" w:themeColor="text1"/>
          <w:spacing w:val="16"/>
          <w:kern w:val="0"/>
          <w:sz w:val="32"/>
          <w:szCs w:val="32"/>
          <w:lang w:val="en-US" w:eastAsia="zh-CN"/>
        </w:rPr>
        <w:t>下降4.1</w:t>
      </w:r>
      <w:r>
        <w:rPr>
          <w:rFonts w:hint="eastAsia" w:ascii="仿宋" w:hAnsi="仿宋" w:eastAsia="仿宋" w:cs="宋体"/>
          <w:color w:val="000000" w:themeColor="text1"/>
          <w:spacing w:val="16"/>
          <w:kern w:val="0"/>
          <w:sz w:val="32"/>
          <w:szCs w:val="32"/>
        </w:rPr>
        <w:t>%，</w:t>
      </w:r>
      <w:r>
        <w:rPr>
          <w:rFonts w:hint="eastAsia" w:ascii="仿宋" w:hAnsi="仿宋" w:eastAsia="仿宋" w:cs="宋体"/>
          <w:color w:val="000000" w:themeColor="text1"/>
          <w:spacing w:val="16"/>
          <w:kern w:val="0"/>
          <w:sz w:val="32"/>
          <w:szCs w:val="32"/>
          <w:lang w:val="en-US" w:eastAsia="zh-CN"/>
        </w:rPr>
        <w:t>下拉经济增长0.5</w:t>
      </w:r>
      <w:r>
        <w:rPr>
          <w:rFonts w:hint="eastAsia" w:ascii="仿宋" w:hAnsi="仿宋" w:eastAsia="仿宋" w:cs="宋体"/>
          <w:color w:val="000000" w:themeColor="text1"/>
          <w:spacing w:val="16"/>
          <w:kern w:val="0"/>
          <w:sz w:val="32"/>
          <w:szCs w:val="32"/>
        </w:rPr>
        <w:t>个百分点。</w:t>
      </w:r>
    </w:p>
    <w:p>
      <w:pPr>
        <w:widowControl/>
        <w:jc w:val="center"/>
        <w:rPr>
          <w:rFonts w:ascii="黑体" w:hAnsi="黑体" w:eastAsia="黑体"/>
          <w:kern w:val="0"/>
          <w:sz w:val="32"/>
          <w:szCs w:val="32"/>
        </w:rPr>
      </w:pPr>
      <w:r>
        <w:rPr>
          <w:rFonts w:hint="eastAsia" w:ascii="黑体" w:hAnsi="黑体" w:eastAsia="黑体"/>
          <w:kern w:val="0"/>
          <w:sz w:val="32"/>
          <w:szCs w:val="32"/>
        </w:rPr>
        <w:t>四、固定资产投资</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3" w:firstLineChars="200"/>
        <w:textAlignment w:val="auto"/>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lang w:val="en-US" w:eastAsia="zh-CN"/>
        </w:rPr>
        <w:t>固定资产投资低位运行</w:t>
      </w:r>
      <w:r>
        <w:rPr>
          <w:rFonts w:ascii="仿宋" w:hAnsi="仿宋" w:eastAsia="仿宋" w:cs="宋体"/>
          <w:b/>
          <w:color w:val="000000" w:themeColor="text1"/>
          <w:kern w:val="0"/>
          <w:sz w:val="32"/>
          <w:szCs w:val="32"/>
        </w:rPr>
        <w:t>。</w:t>
      </w:r>
      <w:r>
        <w:rPr>
          <w:rFonts w:hint="eastAsia" w:ascii="仿宋" w:hAnsi="仿宋" w:eastAsia="仿宋" w:cs="宋体"/>
          <w:color w:val="000000"/>
          <w:spacing w:val="16"/>
          <w:kern w:val="0"/>
          <w:sz w:val="32"/>
          <w:szCs w:val="32"/>
          <w:lang w:val="en-US" w:eastAsia="zh-CN"/>
        </w:rPr>
        <w:t>全县固定资产投资增速同比下降44.8%，降幅较去年同期扩大了38个百分点，降幅比全区（-6.2%）高38.6个百分点，比吴忠市（-29.5%）高15.3个百分点，第一、二、三产业投资均表现为下降。</w:t>
      </w:r>
      <w:r>
        <w:rPr>
          <w:rFonts w:hint="eastAsia" w:ascii="仿宋" w:hAnsi="仿宋" w:eastAsia="仿宋" w:cs="宋体"/>
          <w:b/>
          <w:bCs/>
          <w:color w:val="000000"/>
          <w:spacing w:val="16"/>
          <w:kern w:val="0"/>
          <w:sz w:val="32"/>
          <w:szCs w:val="32"/>
          <w:lang w:val="en-US" w:eastAsia="zh-CN"/>
        </w:rPr>
        <w:t>从产业结构来看:</w:t>
      </w:r>
      <w:r>
        <w:rPr>
          <w:rFonts w:hint="eastAsia" w:ascii="仿宋" w:hAnsi="仿宋" w:eastAsia="仿宋" w:cs="宋体"/>
          <w:color w:val="000000"/>
          <w:spacing w:val="16"/>
          <w:kern w:val="0"/>
          <w:sz w:val="32"/>
          <w:szCs w:val="32"/>
          <w:lang w:val="en-US" w:eastAsia="zh-CN"/>
        </w:rPr>
        <w:t>第一产业完成投资同比下降0.67%。第二产业贡献率和增速双双下降，完成投资同比下降48.3%。受民间投资低迷影响，第三产业投资形势不容乐观，完成投资同比下降42.13%。</w:t>
      </w:r>
      <w:r>
        <w:rPr>
          <w:rFonts w:hint="eastAsia" w:ascii="仿宋" w:hAnsi="仿宋" w:eastAsia="仿宋" w:cs="宋体"/>
          <w:b/>
          <w:bCs/>
          <w:color w:val="000000"/>
          <w:spacing w:val="16"/>
          <w:kern w:val="0"/>
          <w:sz w:val="32"/>
          <w:szCs w:val="32"/>
          <w:lang w:val="en-US" w:eastAsia="zh-CN"/>
        </w:rPr>
        <w:t>从项目地域来看：</w:t>
      </w:r>
      <w:r>
        <w:rPr>
          <w:rFonts w:hint="eastAsia" w:ascii="仿宋" w:hAnsi="仿宋" w:eastAsia="仿宋" w:cs="宋体"/>
          <w:color w:val="000000"/>
          <w:spacing w:val="16"/>
          <w:kern w:val="0"/>
          <w:sz w:val="32"/>
          <w:szCs w:val="32"/>
          <w:lang w:val="en-US" w:eastAsia="zh-CN"/>
        </w:rPr>
        <w:t>县属地方项目完成投资同比下降47.63%，占全县固定资产投资总量比重为63.94%；房地产项目完成投资同比下降15.01%，占全县固定资产投资总量比重为4.40%；区属中央项目完成投资同比下降41.25%，占全县固定资产投资总量比重为31.66%。</w:t>
      </w:r>
      <w:r>
        <w:rPr>
          <w:rFonts w:hint="eastAsia" w:ascii="Times New Roman" w:hAnsi="Times New Roman" w:eastAsia="仿宋_GB2312" w:cs="仿宋_GB2312"/>
          <w:b/>
          <w:bCs/>
          <w:color w:val="auto"/>
          <w:kern w:val="0"/>
          <w:sz w:val="32"/>
          <w:szCs w:val="21"/>
          <w:lang w:val="en-US" w:eastAsia="zh-CN" w:bidi="ar"/>
        </w:rPr>
        <w:t>从投资主体看：</w:t>
      </w:r>
      <w:r>
        <w:rPr>
          <w:rFonts w:hint="eastAsia" w:ascii="Times New Roman" w:hAnsi="Times New Roman" w:eastAsia="仿宋_GB2312" w:cs="仿宋_GB2312"/>
          <w:color w:val="auto"/>
          <w:kern w:val="0"/>
          <w:sz w:val="32"/>
          <w:szCs w:val="21"/>
          <w:lang w:val="en-US" w:eastAsia="zh-CN" w:bidi="ar"/>
        </w:rPr>
        <w:t>国有经济完成投资同比下降32.81%，占全县固定资产投资总量比重为54.29%；民间完成投资同比下降54.45%，占全县固定资产投资总量比重为45.71%。</w:t>
      </w:r>
    </w:p>
    <w:p>
      <w:pPr>
        <w:spacing w:line="600" w:lineRule="exact"/>
        <w:jc w:val="center"/>
        <w:rPr>
          <w:rFonts w:ascii="仿宋" w:hAnsi="仿宋" w:eastAsia="仿宋" w:cs="宋体"/>
          <w:kern w:val="0"/>
          <w:sz w:val="30"/>
          <w:szCs w:val="30"/>
          <w:highlight w:val="none"/>
        </w:rPr>
      </w:pPr>
      <w:r>
        <w:rPr>
          <w:rFonts w:hint="eastAsia" w:ascii="仿宋" w:hAnsi="仿宋" w:eastAsia="仿宋" w:cs="宋体"/>
          <w:kern w:val="0"/>
          <w:sz w:val="30"/>
          <w:szCs w:val="30"/>
          <w:highlight w:val="none"/>
        </w:rPr>
        <w:t>图4　20</w:t>
      </w:r>
      <w:r>
        <w:rPr>
          <w:rFonts w:ascii="仿宋" w:hAnsi="仿宋" w:eastAsia="仿宋" w:cs="宋体"/>
          <w:kern w:val="0"/>
          <w:sz w:val="30"/>
          <w:szCs w:val="30"/>
          <w:highlight w:val="none"/>
        </w:rPr>
        <w:t>1</w:t>
      </w:r>
      <w:r>
        <w:rPr>
          <w:rFonts w:hint="eastAsia" w:ascii="仿宋" w:hAnsi="仿宋" w:eastAsia="仿宋" w:cs="宋体"/>
          <w:kern w:val="0"/>
          <w:sz w:val="30"/>
          <w:szCs w:val="30"/>
          <w:highlight w:val="none"/>
          <w:lang w:val="en-US" w:eastAsia="zh-CN"/>
        </w:rPr>
        <w:t>5</w:t>
      </w:r>
      <w:r>
        <w:rPr>
          <w:rFonts w:hint="eastAsia" w:ascii="仿宋" w:hAnsi="仿宋" w:eastAsia="仿宋" w:cs="宋体"/>
          <w:kern w:val="0"/>
          <w:sz w:val="30"/>
          <w:szCs w:val="30"/>
          <w:highlight w:val="none"/>
        </w:rPr>
        <w:t>－201</w:t>
      </w:r>
      <w:r>
        <w:rPr>
          <w:rFonts w:hint="eastAsia" w:ascii="仿宋" w:hAnsi="仿宋" w:eastAsia="仿宋" w:cs="宋体"/>
          <w:kern w:val="0"/>
          <w:sz w:val="30"/>
          <w:szCs w:val="30"/>
          <w:highlight w:val="none"/>
          <w:lang w:val="en-US" w:eastAsia="zh-CN"/>
        </w:rPr>
        <w:t>9</w:t>
      </w:r>
      <w:r>
        <w:rPr>
          <w:rFonts w:hint="eastAsia" w:ascii="仿宋" w:hAnsi="仿宋" w:eastAsia="仿宋" w:cs="宋体"/>
          <w:kern w:val="0"/>
          <w:sz w:val="30"/>
          <w:szCs w:val="30"/>
          <w:highlight w:val="none"/>
        </w:rPr>
        <w:t>年固定资产投资增速图</w:t>
      </w:r>
    </w:p>
    <w:p>
      <w:pPr>
        <w:widowControl/>
        <w:rPr>
          <w:rFonts w:ascii="仿宋" w:hAnsi="仿宋" w:eastAsia="仿宋"/>
          <w:kern w:val="0"/>
          <w:sz w:val="32"/>
          <w:szCs w:val="32"/>
        </w:rPr>
      </w:pPr>
      <w:r>
        <w:drawing>
          <wp:inline distT="0" distB="0" distL="114300" distR="114300">
            <wp:extent cx="5274310" cy="2731135"/>
            <wp:effectExtent l="12700" t="0" r="27940" b="1841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jc w:val="center"/>
        <w:rPr>
          <w:rFonts w:ascii="黑体" w:hAnsi="黑体" w:eastAsia="黑体"/>
          <w:color w:val="000000" w:themeColor="text1"/>
          <w:kern w:val="0"/>
          <w:sz w:val="32"/>
          <w:szCs w:val="32"/>
          <w:highlight w:val="none"/>
        </w:rPr>
      </w:pPr>
      <w:r>
        <w:rPr>
          <w:rFonts w:hint="eastAsia" w:ascii="黑体" w:hAnsi="黑体" w:eastAsia="黑体"/>
          <w:color w:val="000000" w:themeColor="text1"/>
          <w:kern w:val="0"/>
          <w:sz w:val="32"/>
          <w:szCs w:val="32"/>
          <w:highlight w:val="none"/>
        </w:rPr>
        <w:t>五、交通运输和邮电业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仿宋" w:hAnsi="仿宋" w:eastAsia="仿宋" w:cs="宋体"/>
          <w:color w:val="000000"/>
          <w:spacing w:val="16"/>
          <w:kern w:val="0"/>
          <w:sz w:val="32"/>
          <w:szCs w:val="32"/>
          <w:lang w:val="en-US" w:eastAsia="zh-CN" w:bidi="ar-SA"/>
        </w:rPr>
      </w:pPr>
      <w:r>
        <w:rPr>
          <w:rFonts w:hint="eastAsia" w:ascii="仿宋" w:hAnsi="仿宋" w:eastAsia="仿宋" w:cs="方正仿宋简体"/>
          <w:b/>
          <w:sz w:val="32"/>
          <w:szCs w:val="32"/>
        </w:rPr>
        <w:t>交通运输业</w:t>
      </w:r>
      <w:r>
        <w:rPr>
          <w:rFonts w:hint="eastAsia" w:ascii="仿宋" w:hAnsi="仿宋" w:eastAsia="仿宋" w:cs="方正仿宋简体"/>
          <w:b/>
          <w:sz w:val="32"/>
          <w:szCs w:val="32"/>
          <w:lang w:val="en-US" w:eastAsia="zh-CN"/>
        </w:rPr>
        <w:t>较快</w:t>
      </w:r>
      <w:r>
        <w:rPr>
          <w:rFonts w:hint="eastAsia" w:ascii="仿宋" w:hAnsi="仿宋" w:eastAsia="仿宋" w:cs="方正仿宋简体"/>
          <w:b/>
          <w:sz w:val="32"/>
          <w:szCs w:val="32"/>
        </w:rPr>
        <w:t>发展</w:t>
      </w:r>
      <w:r>
        <w:rPr>
          <w:rFonts w:hint="eastAsia" w:ascii="仿宋" w:hAnsi="仿宋" w:eastAsia="仿宋" w:cs="方正仿宋简体"/>
          <w:sz w:val="32"/>
          <w:szCs w:val="32"/>
        </w:rPr>
        <w:t>。</w:t>
      </w:r>
      <w:r>
        <w:rPr>
          <w:rFonts w:hint="eastAsia" w:ascii="仿宋" w:hAnsi="仿宋" w:eastAsia="仿宋" w:cs="宋体"/>
          <w:color w:val="000000"/>
          <w:spacing w:val="16"/>
          <w:kern w:val="0"/>
          <w:sz w:val="32"/>
          <w:szCs w:val="32"/>
          <w:lang w:val="en-US" w:eastAsia="zh-CN" w:bidi="ar-SA"/>
        </w:rPr>
        <w:t>截止2019年底，全县公路通车总里程为3462公里，其中国道7条476公里，省道6条280公里，县道1条6公里、乡道20条386公里，村道264条2314公里；高速公路170.3公里，一级公路48公里，二级公路358.2公里，三级公路590公里，四级公路2295.5公里，分别占总里程的4.92%、1.39%、10.35%、17.04%、66.3%；沥青（水泥、机砖）路面公路2985公里，砂砾路面公路477公里，分别占总里程的86.22%、13.78%，等级公路密度为40.62公里/百平方公里。</w:t>
      </w:r>
      <w:r>
        <w:rPr>
          <w:rFonts w:hint="eastAsia" w:ascii="仿宋_GB2312" w:eastAsia="仿宋_GB2312"/>
          <w:sz w:val="32"/>
          <w:szCs w:val="32"/>
        </w:rPr>
        <w:t>全县境内</w:t>
      </w:r>
      <w:r>
        <w:rPr>
          <w:rFonts w:hint="eastAsia" w:ascii="仿宋_GB2312" w:eastAsia="仿宋_GB2312"/>
          <w:sz w:val="32"/>
          <w:szCs w:val="32"/>
          <w:lang w:val="en-US" w:eastAsia="zh-CN"/>
        </w:rPr>
        <w:t>普通</w:t>
      </w:r>
      <w:r>
        <w:rPr>
          <w:rFonts w:hint="eastAsia" w:ascii="仿宋_GB2312" w:eastAsia="仿宋_GB2312"/>
          <w:sz w:val="32"/>
          <w:szCs w:val="32"/>
        </w:rPr>
        <w:t>铁路总里程为137.6公里，其中</w:t>
      </w:r>
      <w:r>
        <w:rPr>
          <w:rFonts w:hint="eastAsia" w:ascii="仿宋_GB2312" w:eastAsia="仿宋_GB2312"/>
          <w:sz w:val="32"/>
          <w:szCs w:val="32"/>
          <w:lang w:val="en-US" w:eastAsia="zh-CN"/>
        </w:rPr>
        <w:t>正线60.9公里，联络线76.7</w:t>
      </w:r>
      <w:r>
        <w:rPr>
          <w:rFonts w:hint="eastAsia" w:ascii="仿宋_GB2312" w:eastAsia="仿宋_GB2312"/>
          <w:sz w:val="32"/>
          <w:szCs w:val="32"/>
        </w:rPr>
        <w:t>公里</w:t>
      </w:r>
      <w:r>
        <w:rPr>
          <w:rFonts w:hint="eastAsia" w:ascii="仿宋_GB2312" w:eastAsia="仿宋_GB2312"/>
          <w:sz w:val="32"/>
          <w:szCs w:val="32"/>
          <w:lang w:eastAsia="zh-CN"/>
        </w:rPr>
        <w:t>；</w:t>
      </w:r>
      <w:r>
        <w:rPr>
          <w:rFonts w:hint="eastAsia" w:ascii="仿宋_GB2312" w:eastAsia="仿宋_GB2312"/>
          <w:sz w:val="32"/>
          <w:szCs w:val="32"/>
          <w:lang w:val="en-US" w:eastAsia="zh-CN"/>
        </w:rPr>
        <w:t>全县境内高速铁路（在建）60.78公里</w:t>
      </w:r>
      <w:r>
        <w:rPr>
          <w:rFonts w:hint="eastAsia" w:ascii="仿宋_GB2312" w:eastAsia="仿宋_GB2312"/>
          <w:sz w:val="32"/>
          <w:szCs w:val="32"/>
        </w:rPr>
        <w:t>。</w:t>
      </w:r>
      <w:r>
        <w:rPr>
          <w:rFonts w:hint="eastAsia" w:ascii="仿宋" w:hAnsi="仿宋" w:eastAsia="仿宋" w:cs="宋体"/>
          <w:color w:val="000000"/>
          <w:spacing w:val="16"/>
          <w:kern w:val="0"/>
          <w:sz w:val="32"/>
          <w:szCs w:val="32"/>
          <w:lang w:val="en-US" w:eastAsia="zh-CN" w:bidi="ar-SA"/>
        </w:rPr>
        <w:t>公路通车总里程为3462公里，其中国省干线及高速公路为13条756公里，农村公路284条2700公里，公路密度为40.62公里/百平方公里。以县城为中心，3条高速公路为骨架，10条国省干线公路为依托，县乡公路为支脉，南通北畅、东进西出、外通内连的公路“三纵八横”覆盖城乡的交通网络，实现了所有建制村村村通硬化公路，661个自然村有597个通硬化公路，90.3%自然村通硬化公路。年末全县拥有营运车辆5296辆，其中营运普货车3987辆，危险货运车辆537辆，班线客车105辆，出租车617辆，公交车50辆，各类汽车和其他机动车维修业户433家，汽车综合性能检测站A级站2家。</w:t>
      </w:r>
    </w:p>
    <w:p>
      <w:pPr>
        <w:snapToGrid w:val="0"/>
        <w:spacing w:line="560" w:lineRule="exact"/>
        <w:ind w:firstLine="643" w:firstLineChars="200"/>
        <w:rPr>
          <w:rFonts w:hint="eastAsia" w:ascii="仿宋_GB2312" w:eastAsia="仿宋_GB2312"/>
          <w:bCs/>
          <w:color w:val="000000"/>
          <w:sz w:val="32"/>
          <w:szCs w:val="32"/>
        </w:rPr>
      </w:pPr>
      <w:r>
        <w:rPr>
          <w:rFonts w:hint="eastAsia" w:ascii="仿宋_GB2312" w:eastAsia="仿宋_GB2312"/>
          <w:b/>
          <w:bCs w:val="0"/>
          <w:color w:val="000000"/>
          <w:sz w:val="32"/>
          <w:szCs w:val="32"/>
        </w:rPr>
        <w:t>邮政、通信事业持续发展。</w:t>
      </w:r>
      <w:r>
        <w:rPr>
          <w:rFonts w:hint="eastAsia" w:ascii="仿宋_GB2312" w:eastAsia="仿宋_GB2312"/>
          <w:bCs/>
          <w:color w:val="000000"/>
          <w:sz w:val="32"/>
          <w:szCs w:val="32"/>
        </w:rPr>
        <w:t>201</w:t>
      </w:r>
      <w:r>
        <w:rPr>
          <w:rFonts w:hint="eastAsia" w:ascii="仿宋_GB2312" w:eastAsia="仿宋_GB2312"/>
          <w:bCs/>
          <w:color w:val="000000"/>
          <w:sz w:val="32"/>
          <w:szCs w:val="32"/>
          <w:lang w:val="en-US" w:eastAsia="zh-CN"/>
        </w:rPr>
        <w:t>9</w:t>
      </w:r>
      <w:r>
        <w:rPr>
          <w:rFonts w:hint="eastAsia" w:ascii="仿宋_GB2312" w:eastAsia="仿宋_GB2312"/>
          <w:bCs/>
          <w:color w:val="000000"/>
          <w:sz w:val="32"/>
          <w:szCs w:val="32"/>
        </w:rPr>
        <w:t>年邮政电信业务总量</w:t>
      </w:r>
      <w:r>
        <w:rPr>
          <w:rFonts w:hint="eastAsia" w:ascii="仿宋_GB2312" w:eastAsia="仿宋_GB2312"/>
          <w:bCs/>
          <w:color w:val="000000"/>
          <w:sz w:val="32"/>
          <w:szCs w:val="32"/>
          <w:lang w:val="en-US" w:eastAsia="zh-CN"/>
        </w:rPr>
        <w:t>15962万</w:t>
      </w:r>
      <w:r>
        <w:rPr>
          <w:rFonts w:hint="eastAsia" w:ascii="仿宋_GB2312" w:eastAsia="仿宋_GB2312"/>
          <w:bCs/>
          <w:color w:val="000000"/>
          <w:sz w:val="32"/>
          <w:szCs w:val="32"/>
        </w:rPr>
        <w:t>元。年末固定电话用户数</w:t>
      </w:r>
      <w:r>
        <w:rPr>
          <w:rFonts w:hint="eastAsia" w:ascii="仿宋_GB2312" w:eastAsia="仿宋_GB2312"/>
          <w:bCs/>
          <w:color w:val="000000"/>
          <w:sz w:val="32"/>
          <w:szCs w:val="32"/>
          <w:lang w:val="en-US" w:eastAsia="zh-CN"/>
        </w:rPr>
        <w:t>6086</w:t>
      </w:r>
      <w:r>
        <w:rPr>
          <w:rFonts w:hint="eastAsia" w:ascii="仿宋_GB2312" w:eastAsia="仿宋_GB2312"/>
          <w:bCs/>
          <w:color w:val="000000"/>
          <w:sz w:val="32"/>
          <w:szCs w:val="32"/>
        </w:rPr>
        <w:t>部，移动电话用户数</w:t>
      </w:r>
      <w:r>
        <w:rPr>
          <w:rFonts w:hint="eastAsia" w:ascii="仿宋_GB2312" w:eastAsia="仿宋_GB2312"/>
          <w:bCs/>
          <w:color w:val="000000"/>
          <w:sz w:val="32"/>
          <w:szCs w:val="32"/>
          <w:lang w:val="en-US" w:eastAsia="zh-CN"/>
        </w:rPr>
        <w:t>19.7</w:t>
      </w:r>
      <w:r>
        <w:rPr>
          <w:rFonts w:hint="eastAsia" w:ascii="仿宋_GB2312" w:eastAsia="仿宋_GB2312"/>
          <w:bCs/>
          <w:color w:val="000000"/>
          <w:sz w:val="32"/>
          <w:szCs w:val="32"/>
        </w:rPr>
        <w:t>万户</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宽带用户</w:t>
      </w:r>
      <w:r>
        <w:rPr>
          <w:rFonts w:hint="eastAsia" w:ascii="仿宋_GB2312" w:eastAsia="仿宋_GB2312"/>
          <w:bCs/>
          <w:color w:val="000000"/>
          <w:sz w:val="32"/>
          <w:szCs w:val="32"/>
          <w:lang w:val="en-US" w:eastAsia="zh-CN"/>
        </w:rPr>
        <w:t>6.9</w:t>
      </w:r>
      <w:r>
        <w:rPr>
          <w:rFonts w:hint="eastAsia" w:ascii="仿宋_GB2312" w:eastAsia="仿宋_GB2312"/>
          <w:bCs/>
          <w:color w:val="000000"/>
          <w:sz w:val="32"/>
          <w:szCs w:val="32"/>
        </w:rPr>
        <w:t>万户。</w:t>
      </w:r>
    </w:p>
    <w:p>
      <w:pPr>
        <w:widowControl/>
        <w:jc w:val="center"/>
        <w:rPr>
          <w:rFonts w:ascii="黑体" w:hAnsi="黑体" w:eastAsia="黑体"/>
          <w:kern w:val="0"/>
          <w:sz w:val="32"/>
          <w:szCs w:val="32"/>
        </w:rPr>
      </w:pPr>
      <w:r>
        <w:rPr>
          <w:rFonts w:hint="eastAsia" w:ascii="黑体" w:hAnsi="黑体" w:eastAsia="黑体"/>
          <w:kern w:val="0"/>
          <w:sz w:val="32"/>
          <w:szCs w:val="32"/>
        </w:rPr>
        <w:t>六、贸易</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43" w:firstLineChars="200"/>
        <w:textAlignment w:val="auto"/>
        <w:rPr>
          <w:rFonts w:hint="eastAsia" w:ascii="仿宋" w:hAnsi="仿宋" w:eastAsia="仿宋" w:cs="宋体"/>
          <w:color w:val="000000"/>
          <w:spacing w:val="16"/>
          <w:kern w:val="0"/>
          <w:sz w:val="32"/>
          <w:szCs w:val="32"/>
        </w:rPr>
      </w:pPr>
      <w:r>
        <w:rPr>
          <w:rFonts w:hint="eastAsia" w:ascii="仿宋" w:hAnsi="仿宋" w:eastAsia="仿宋" w:cs="宋体"/>
          <w:b/>
          <w:kern w:val="0"/>
          <w:sz w:val="32"/>
          <w:szCs w:val="32"/>
        </w:rPr>
        <w:t>市场消费</w:t>
      </w:r>
      <w:r>
        <w:rPr>
          <w:rFonts w:hint="eastAsia" w:ascii="仿宋" w:hAnsi="仿宋" w:eastAsia="仿宋" w:cs="宋体"/>
          <w:b/>
          <w:kern w:val="0"/>
          <w:sz w:val="32"/>
          <w:szCs w:val="32"/>
          <w:lang w:val="en-US" w:eastAsia="zh-CN"/>
        </w:rPr>
        <w:t>平稳运行</w:t>
      </w:r>
      <w:r>
        <w:rPr>
          <w:rFonts w:hint="eastAsia" w:ascii="仿宋" w:hAnsi="仿宋" w:eastAsia="仿宋" w:cs="宋体"/>
          <w:kern w:val="0"/>
          <w:sz w:val="32"/>
          <w:szCs w:val="32"/>
        </w:rPr>
        <w:t>。</w:t>
      </w:r>
      <w:r>
        <w:rPr>
          <w:rFonts w:hint="eastAsia" w:ascii="仿宋" w:hAnsi="仿宋" w:eastAsia="仿宋" w:cs="宋体"/>
          <w:color w:val="000000"/>
          <w:spacing w:val="16"/>
          <w:kern w:val="0"/>
          <w:sz w:val="32"/>
          <w:szCs w:val="32"/>
        </w:rPr>
        <w:t>全县实现社会消费品零售总额</w:t>
      </w:r>
      <w:r>
        <w:rPr>
          <w:rFonts w:hint="eastAsia" w:ascii="仿宋" w:hAnsi="仿宋" w:eastAsia="仿宋" w:cs="宋体"/>
          <w:color w:val="000000"/>
          <w:spacing w:val="16"/>
          <w:kern w:val="0"/>
          <w:sz w:val="32"/>
          <w:szCs w:val="32"/>
          <w:lang w:val="en-US" w:eastAsia="zh-CN"/>
        </w:rPr>
        <w:t>15.2</w:t>
      </w:r>
      <w:r>
        <w:rPr>
          <w:rFonts w:hint="eastAsia" w:ascii="仿宋" w:hAnsi="仿宋" w:eastAsia="仿宋" w:cs="宋体"/>
          <w:color w:val="000000"/>
          <w:spacing w:val="16"/>
          <w:kern w:val="0"/>
          <w:sz w:val="32"/>
          <w:szCs w:val="32"/>
        </w:rPr>
        <w:t>亿元，同比增长</w:t>
      </w:r>
      <w:r>
        <w:rPr>
          <w:rFonts w:hint="eastAsia" w:ascii="仿宋" w:hAnsi="仿宋" w:eastAsia="仿宋" w:cs="宋体"/>
          <w:color w:val="000000"/>
          <w:spacing w:val="16"/>
          <w:kern w:val="0"/>
          <w:sz w:val="32"/>
          <w:szCs w:val="32"/>
          <w:lang w:val="en-US" w:eastAsia="zh-CN"/>
        </w:rPr>
        <w:t>5.7</w:t>
      </w:r>
      <w:r>
        <w:rPr>
          <w:rFonts w:hint="eastAsia" w:ascii="仿宋" w:hAnsi="仿宋" w:eastAsia="仿宋" w:cs="宋体"/>
          <w:color w:val="000000"/>
          <w:spacing w:val="16"/>
          <w:kern w:val="0"/>
          <w:sz w:val="32"/>
          <w:szCs w:val="32"/>
        </w:rPr>
        <w:t>%。按经营所在地分，城镇消费零售额</w:t>
      </w:r>
      <w:r>
        <w:rPr>
          <w:rFonts w:hint="eastAsia" w:ascii="仿宋" w:hAnsi="仿宋" w:eastAsia="仿宋" w:cs="宋体"/>
          <w:color w:val="000000"/>
          <w:spacing w:val="16"/>
          <w:kern w:val="0"/>
          <w:sz w:val="32"/>
          <w:szCs w:val="32"/>
          <w:lang w:val="en-US" w:eastAsia="zh-CN"/>
        </w:rPr>
        <w:t>14.21</w:t>
      </w:r>
      <w:r>
        <w:rPr>
          <w:rFonts w:hint="eastAsia" w:ascii="仿宋" w:hAnsi="仿宋" w:eastAsia="仿宋" w:cs="宋体"/>
          <w:color w:val="000000"/>
          <w:spacing w:val="16"/>
          <w:kern w:val="0"/>
          <w:sz w:val="32"/>
          <w:szCs w:val="32"/>
        </w:rPr>
        <w:t>亿元，同比增长</w:t>
      </w:r>
      <w:r>
        <w:rPr>
          <w:rFonts w:hint="eastAsia" w:ascii="仿宋" w:hAnsi="仿宋" w:eastAsia="仿宋" w:cs="宋体"/>
          <w:color w:val="000000"/>
          <w:spacing w:val="16"/>
          <w:kern w:val="0"/>
          <w:sz w:val="32"/>
          <w:szCs w:val="32"/>
          <w:lang w:val="en-US" w:eastAsia="zh-CN"/>
        </w:rPr>
        <w:t>5.6</w:t>
      </w:r>
      <w:r>
        <w:rPr>
          <w:rFonts w:hint="eastAsia" w:ascii="仿宋" w:hAnsi="仿宋" w:eastAsia="仿宋" w:cs="宋体"/>
          <w:color w:val="000000"/>
          <w:spacing w:val="16"/>
          <w:kern w:val="0"/>
          <w:sz w:val="32"/>
          <w:szCs w:val="32"/>
        </w:rPr>
        <w:t>%，乡村消费零售额</w:t>
      </w:r>
      <w:r>
        <w:rPr>
          <w:rFonts w:hint="eastAsia" w:ascii="仿宋" w:hAnsi="仿宋" w:eastAsia="仿宋" w:cs="宋体"/>
          <w:color w:val="000000"/>
          <w:spacing w:val="16"/>
          <w:kern w:val="0"/>
          <w:sz w:val="32"/>
          <w:szCs w:val="32"/>
          <w:lang w:val="en-US" w:eastAsia="zh-CN"/>
        </w:rPr>
        <w:t>0.99</w:t>
      </w:r>
      <w:r>
        <w:rPr>
          <w:rFonts w:hint="eastAsia" w:ascii="仿宋" w:hAnsi="仿宋" w:eastAsia="仿宋" w:cs="宋体"/>
          <w:color w:val="000000"/>
          <w:spacing w:val="16"/>
          <w:kern w:val="0"/>
          <w:sz w:val="32"/>
          <w:szCs w:val="32"/>
        </w:rPr>
        <w:t>亿元，同比增长</w:t>
      </w:r>
      <w:r>
        <w:rPr>
          <w:rFonts w:hint="eastAsia" w:ascii="仿宋" w:hAnsi="仿宋" w:eastAsia="仿宋" w:cs="宋体"/>
          <w:color w:val="000000"/>
          <w:spacing w:val="16"/>
          <w:kern w:val="0"/>
          <w:sz w:val="32"/>
          <w:szCs w:val="32"/>
          <w:lang w:val="en-US" w:eastAsia="zh-CN"/>
        </w:rPr>
        <w:t>8.2</w:t>
      </w:r>
      <w:r>
        <w:rPr>
          <w:rFonts w:hint="eastAsia" w:ascii="仿宋" w:hAnsi="仿宋" w:eastAsia="仿宋" w:cs="宋体"/>
          <w:color w:val="000000"/>
          <w:spacing w:val="16"/>
          <w:kern w:val="0"/>
          <w:sz w:val="32"/>
          <w:szCs w:val="32"/>
        </w:rPr>
        <w:t>%。按销售行业分，批发业</w:t>
      </w:r>
      <w:r>
        <w:rPr>
          <w:rFonts w:hint="eastAsia" w:ascii="仿宋" w:hAnsi="仿宋" w:eastAsia="仿宋" w:cs="宋体"/>
          <w:color w:val="000000"/>
          <w:spacing w:val="16"/>
          <w:kern w:val="0"/>
          <w:sz w:val="32"/>
          <w:szCs w:val="32"/>
          <w:lang w:val="en-US" w:eastAsia="zh-CN"/>
        </w:rPr>
        <w:t>8.07</w:t>
      </w:r>
      <w:r>
        <w:rPr>
          <w:rFonts w:hint="eastAsia" w:ascii="仿宋" w:hAnsi="仿宋" w:eastAsia="仿宋" w:cs="宋体"/>
          <w:color w:val="000000"/>
          <w:spacing w:val="16"/>
          <w:kern w:val="0"/>
          <w:sz w:val="32"/>
          <w:szCs w:val="32"/>
        </w:rPr>
        <w:t>亿元，同比增长</w:t>
      </w:r>
      <w:r>
        <w:rPr>
          <w:rFonts w:hint="eastAsia" w:ascii="仿宋" w:hAnsi="仿宋" w:eastAsia="仿宋" w:cs="宋体"/>
          <w:color w:val="000000"/>
          <w:spacing w:val="16"/>
          <w:kern w:val="0"/>
          <w:sz w:val="32"/>
          <w:szCs w:val="32"/>
          <w:lang w:val="en-US" w:eastAsia="zh-CN"/>
        </w:rPr>
        <w:t>8.4</w:t>
      </w:r>
      <w:r>
        <w:rPr>
          <w:rFonts w:hint="eastAsia" w:ascii="仿宋" w:hAnsi="仿宋" w:eastAsia="仿宋" w:cs="宋体"/>
          <w:color w:val="000000"/>
          <w:spacing w:val="16"/>
          <w:kern w:val="0"/>
          <w:sz w:val="32"/>
          <w:szCs w:val="32"/>
        </w:rPr>
        <w:t>%；零售业</w:t>
      </w:r>
      <w:r>
        <w:rPr>
          <w:rFonts w:hint="eastAsia" w:ascii="仿宋" w:hAnsi="仿宋" w:eastAsia="仿宋" w:cs="宋体"/>
          <w:color w:val="000000"/>
          <w:spacing w:val="16"/>
          <w:kern w:val="0"/>
          <w:sz w:val="32"/>
          <w:szCs w:val="32"/>
          <w:lang w:val="en-US" w:eastAsia="zh-CN"/>
        </w:rPr>
        <w:t>3.36</w:t>
      </w:r>
      <w:r>
        <w:rPr>
          <w:rFonts w:hint="eastAsia" w:ascii="仿宋" w:hAnsi="仿宋" w:eastAsia="仿宋" w:cs="宋体"/>
          <w:color w:val="000000"/>
          <w:spacing w:val="16"/>
          <w:kern w:val="0"/>
          <w:sz w:val="32"/>
          <w:szCs w:val="32"/>
        </w:rPr>
        <w:t>亿元，同比下降</w:t>
      </w:r>
      <w:r>
        <w:rPr>
          <w:rFonts w:hint="eastAsia" w:ascii="仿宋" w:hAnsi="仿宋" w:eastAsia="仿宋" w:cs="宋体"/>
          <w:color w:val="000000"/>
          <w:spacing w:val="16"/>
          <w:kern w:val="0"/>
          <w:sz w:val="32"/>
          <w:szCs w:val="32"/>
          <w:lang w:val="en-US" w:eastAsia="zh-CN"/>
        </w:rPr>
        <w:t>7.8</w:t>
      </w:r>
      <w:r>
        <w:rPr>
          <w:rFonts w:hint="eastAsia" w:ascii="仿宋" w:hAnsi="仿宋" w:eastAsia="仿宋" w:cs="宋体"/>
          <w:color w:val="000000"/>
          <w:spacing w:val="16"/>
          <w:kern w:val="0"/>
          <w:sz w:val="32"/>
          <w:szCs w:val="32"/>
        </w:rPr>
        <w:t>%；住宿业</w:t>
      </w:r>
      <w:r>
        <w:rPr>
          <w:rFonts w:hint="eastAsia" w:ascii="仿宋" w:hAnsi="仿宋" w:eastAsia="仿宋" w:cs="宋体"/>
          <w:color w:val="000000"/>
          <w:spacing w:val="16"/>
          <w:kern w:val="0"/>
          <w:sz w:val="32"/>
          <w:szCs w:val="32"/>
          <w:lang w:val="en-US" w:eastAsia="zh-CN"/>
        </w:rPr>
        <w:t>0.12</w:t>
      </w:r>
      <w:r>
        <w:rPr>
          <w:rFonts w:hint="eastAsia" w:ascii="仿宋" w:hAnsi="仿宋" w:eastAsia="仿宋" w:cs="宋体"/>
          <w:color w:val="000000"/>
          <w:spacing w:val="16"/>
          <w:kern w:val="0"/>
          <w:sz w:val="32"/>
          <w:szCs w:val="32"/>
        </w:rPr>
        <w:t>亿元，同比</w:t>
      </w:r>
      <w:r>
        <w:rPr>
          <w:rFonts w:hint="eastAsia" w:ascii="仿宋" w:hAnsi="仿宋" w:eastAsia="仿宋" w:cs="宋体"/>
          <w:color w:val="000000"/>
          <w:spacing w:val="16"/>
          <w:kern w:val="0"/>
          <w:sz w:val="32"/>
          <w:szCs w:val="32"/>
          <w:lang w:val="en-US" w:eastAsia="zh-CN"/>
        </w:rPr>
        <w:t>增长31.9</w:t>
      </w:r>
      <w:r>
        <w:rPr>
          <w:rFonts w:hint="eastAsia" w:ascii="仿宋" w:hAnsi="仿宋" w:eastAsia="仿宋" w:cs="宋体"/>
          <w:color w:val="000000"/>
          <w:spacing w:val="16"/>
          <w:kern w:val="0"/>
          <w:sz w:val="32"/>
          <w:szCs w:val="32"/>
        </w:rPr>
        <w:t>%；餐饮业</w:t>
      </w:r>
      <w:r>
        <w:rPr>
          <w:rFonts w:hint="eastAsia" w:ascii="仿宋" w:hAnsi="仿宋" w:eastAsia="仿宋" w:cs="宋体"/>
          <w:color w:val="000000"/>
          <w:spacing w:val="16"/>
          <w:kern w:val="0"/>
          <w:sz w:val="32"/>
          <w:szCs w:val="32"/>
          <w:lang w:val="en-US" w:eastAsia="zh-CN"/>
        </w:rPr>
        <w:t>3.66</w:t>
      </w:r>
      <w:r>
        <w:rPr>
          <w:rFonts w:hint="eastAsia" w:ascii="仿宋" w:hAnsi="仿宋" w:eastAsia="仿宋" w:cs="宋体"/>
          <w:color w:val="000000"/>
          <w:spacing w:val="16"/>
          <w:kern w:val="0"/>
          <w:sz w:val="32"/>
          <w:szCs w:val="32"/>
        </w:rPr>
        <w:t>亿元，同比增长</w:t>
      </w:r>
      <w:r>
        <w:rPr>
          <w:rFonts w:hint="eastAsia" w:ascii="仿宋" w:hAnsi="仿宋" w:eastAsia="仿宋" w:cs="宋体"/>
          <w:color w:val="000000"/>
          <w:spacing w:val="16"/>
          <w:kern w:val="0"/>
          <w:sz w:val="32"/>
          <w:szCs w:val="32"/>
          <w:lang w:val="en-US" w:eastAsia="zh-CN"/>
        </w:rPr>
        <w:t>14.3</w:t>
      </w:r>
      <w:r>
        <w:rPr>
          <w:rFonts w:hint="eastAsia" w:ascii="仿宋" w:hAnsi="仿宋" w:eastAsia="仿宋" w:cs="宋体"/>
          <w:color w:val="000000"/>
          <w:spacing w:val="16"/>
          <w:kern w:val="0"/>
          <w:sz w:val="32"/>
          <w:szCs w:val="32"/>
        </w:rPr>
        <w:t>%。</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firstLineChars="200"/>
        <w:textAlignment w:val="auto"/>
        <w:rPr>
          <w:rFonts w:ascii="仿宋" w:hAnsi="仿宋" w:eastAsia="仿宋" w:cs="宋体"/>
          <w:color w:val="000000"/>
          <w:kern w:val="0"/>
          <w:sz w:val="30"/>
          <w:szCs w:val="30"/>
          <w:highlight w:val="none"/>
        </w:rPr>
      </w:pPr>
      <w:r>
        <w:rPr>
          <w:rFonts w:hint="eastAsia" w:ascii="仿宋" w:hAnsi="仿宋" w:eastAsia="仿宋" w:cs="宋体"/>
          <w:sz w:val="30"/>
          <w:szCs w:val="30"/>
          <w:highlight w:val="none"/>
        </w:rPr>
        <w:t>图5　20</w:t>
      </w:r>
      <w:r>
        <w:rPr>
          <w:rFonts w:ascii="仿宋" w:hAnsi="仿宋" w:eastAsia="仿宋" w:cs="宋体"/>
          <w:sz w:val="30"/>
          <w:szCs w:val="30"/>
          <w:highlight w:val="none"/>
        </w:rPr>
        <w:t>1</w:t>
      </w:r>
      <w:r>
        <w:rPr>
          <w:rFonts w:hint="eastAsia" w:ascii="仿宋" w:hAnsi="仿宋" w:eastAsia="仿宋" w:cs="宋体"/>
          <w:sz w:val="30"/>
          <w:szCs w:val="30"/>
          <w:highlight w:val="none"/>
          <w:lang w:val="en-US" w:eastAsia="zh-CN"/>
        </w:rPr>
        <w:t>5</w:t>
      </w:r>
      <w:r>
        <w:rPr>
          <w:rFonts w:hint="eastAsia" w:ascii="仿宋" w:hAnsi="仿宋" w:eastAsia="仿宋" w:cs="宋体"/>
          <w:sz w:val="30"/>
          <w:szCs w:val="30"/>
          <w:highlight w:val="none"/>
        </w:rPr>
        <w:t>－201</w:t>
      </w:r>
      <w:r>
        <w:rPr>
          <w:rFonts w:hint="eastAsia" w:ascii="仿宋" w:hAnsi="仿宋" w:eastAsia="仿宋" w:cs="宋体"/>
          <w:sz w:val="30"/>
          <w:szCs w:val="30"/>
          <w:highlight w:val="none"/>
          <w:lang w:val="en-US" w:eastAsia="zh-CN"/>
        </w:rPr>
        <w:t>9</w:t>
      </w:r>
      <w:r>
        <w:rPr>
          <w:rFonts w:hint="eastAsia" w:ascii="仿宋" w:hAnsi="仿宋" w:eastAsia="仿宋" w:cs="宋体"/>
          <w:sz w:val="30"/>
          <w:szCs w:val="30"/>
          <w:highlight w:val="none"/>
        </w:rPr>
        <w:t>年社会消费品零售总额总量及增速图</w:t>
      </w:r>
    </w:p>
    <w:p>
      <w:r>
        <w:drawing>
          <wp:inline distT="0" distB="0" distL="114300" distR="114300">
            <wp:extent cx="5298440" cy="3154045"/>
            <wp:effectExtent l="10795" t="0" r="24765" b="16510"/>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420" w:firstLineChars="200"/>
      </w:pPr>
    </w:p>
    <w:p>
      <w:pPr>
        <w:widowControl/>
        <w:jc w:val="center"/>
        <w:rPr>
          <w:rFonts w:ascii="黑体" w:hAnsi="黑体" w:eastAsia="黑体"/>
          <w:kern w:val="0"/>
          <w:sz w:val="32"/>
          <w:szCs w:val="32"/>
        </w:rPr>
      </w:pPr>
      <w:r>
        <w:rPr>
          <w:rFonts w:hint="eastAsia" w:ascii="黑体" w:hAnsi="黑体" w:eastAsia="黑体"/>
          <w:kern w:val="0"/>
          <w:sz w:val="32"/>
          <w:szCs w:val="32"/>
        </w:rPr>
        <w:t>七、财政、金融</w:t>
      </w:r>
    </w:p>
    <w:p>
      <w:pPr>
        <w:spacing w:line="600" w:lineRule="exact"/>
        <w:ind w:firstLine="643" w:firstLineChars="200"/>
        <w:rPr>
          <w:rFonts w:hint="eastAsia" w:ascii="仿宋" w:hAnsi="仿宋" w:eastAsia="仿宋" w:cs="宋体"/>
          <w:color w:val="000000"/>
          <w:kern w:val="0"/>
          <w:sz w:val="32"/>
          <w:szCs w:val="32"/>
          <w:lang w:val="en-US" w:eastAsia="zh-CN"/>
        </w:rPr>
      </w:pPr>
      <w:r>
        <w:rPr>
          <w:rFonts w:hint="eastAsia" w:ascii="仿宋" w:hAnsi="仿宋" w:eastAsia="仿宋"/>
          <w:b/>
          <w:sz w:val="32"/>
          <w:szCs w:val="32"/>
        </w:rPr>
        <w:t>财政收支基本平稳。</w:t>
      </w:r>
      <w:r>
        <w:rPr>
          <w:rFonts w:hint="eastAsia" w:ascii="仿宋" w:hAnsi="仿宋" w:eastAsia="仿宋" w:cs="宋体"/>
          <w:color w:val="000000"/>
          <w:kern w:val="0"/>
          <w:sz w:val="32"/>
          <w:szCs w:val="32"/>
          <w:lang w:val="en-US" w:eastAsia="zh-CN"/>
        </w:rPr>
        <w:t>全年全县一般公共预算总收入21.18亿元，同比下降7.3%；县级一般公共财政预算收入完成8.76亿元，同口径增长5.8%，其中税收收入完成4.73亿元，同比下降16.6%，占比县级一般预算收入的54.0%。县级一般公共预算支出37.69亿元，同比增长2.7%。其中，一般公共服务支出3.15亿元，同比下降0.1%；公共安全支出0.83亿元，同比增长10.4%；教育支出4.77亿元，同比增长22.3%；社会保障和就业支出4.48亿元，同比增长8.0%；医疗卫生与计划生育支出2.81亿元，同比持平；节能环保支出1.44亿元，同比下降18.7%；城乡社区事务支出5.64亿元，同比增长9.8%。</w:t>
      </w:r>
    </w:p>
    <w:p>
      <w:pPr>
        <w:widowControl/>
        <w:jc w:val="both"/>
        <w:rPr>
          <w:rFonts w:hint="eastAsia" w:ascii="仿宋" w:hAnsi="仿宋" w:eastAsia="仿宋"/>
          <w:kern w:val="0"/>
          <w:sz w:val="30"/>
          <w:szCs w:val="30"/>
        </w:rPr>
      </w:pPr>
    </w:p>
    <w:p>
      <w:pPr>
        <w:widowControl/>
        <w:ind w:firstLine="600" w:firstLineChars="200"/>
        <w:jc w:val="center"/>
        <w:rPr>
          <w:rFonts w:ascii="仿宋" w:hAnsi="仿宋" w:eastAsia="仿宋"/>
          <w:kern w:val="0"/>
          <w:sz w:val="30"/>
          <w:szCs w:val="30"/>
          <w:highlight w:val="none"/>
        </w:rPr>
      </w:pPr>
      <w:r>
        <w:rPr>
          <w:rFonts w:hint="eastAsia" w:ascii="仿宋" w:hAnsi="仿宋" w:eastAsia="仿宋"/>
          <w:kern w:val="0"/>
          <w:sz w:val="30"/>
          <w:szCs w:val="30"/>
          <w:highlight w:val="none"/>
        </w:rPr>
        <w:t>图6　20</w:t>
      </w:r>
      <w:r>
        <w:rPr>
          <w:rFonts w:ascii="仿宋" w:hAnsi="仿宋" w:eastAsia="仿宋"/>
          <w:kern w:val="0"/>
          <w:sz w:val="30"/>
          <w:szCs w:val="30"/>
          <w:highlight w:val="none"/>
        </w:rPr>
        <w:t>1</w:t>
      </w:r>
      <w:r>
        <w:rPr>
          <w:rFonts w:hint="eastAsia" w:ascii="仿宋" w:hAnsi="仿宋" w:eastAsia="仿宋"/>
          <w:kern w:val="0"/>
          <w:sz w:val="30"/>
          <w:szCs w:val="30"/>
          <w:highlight w:val="none"/>
          <w:lang w:val="en-US" w:eastAsia="zh-CN"/>
        </w:rPr>
        <w:t>5</w:t>
      </w:r>
      <w:r>
        <w:rPr>
          <w:rFonts w:hint="eastAsia" w:ascii="仿宋" w:hAnsi="仿宋" w:eastAsia="仿宋"/>
          <w:kern w:val="0"/>
          <w:sz w:val="30"/>
          <w:szCs w:val="30"/>
          <w:highlight w:val="none"/>
        </w:rPr>
        <w:t>－201</w:t>
      </w:r>
      <w:r>
        <w:rPr>
          <w:rFonts w:hint="eastAsia" w:ascii="仿宋" w:hAnsi="仿宋" w:eastAsia="仿宋"/>
          <w:kern w:val="0"/>
          <w:sz w:val="30"/>
          <w:szCs w:val="30"/>
          <w:highlight w:val="none"/>
          <w:lang w:val="en-US" w:eastAsia="zh-CN"/>
        </w:rPr>
        <w:t>9</w:t>
      </w:r>
      <w:r>
        <w:rPr>
          <w:rFonts w:hint="eastAsia" w:ascii="仿宋" w:hAnsi="仿宋" w:eastAsia="仿宋"/>
          <w:kern w:val="0"/>
          <w:sz w:val="30"/>
          <w:szCs w:val="30"/>
          <w:highlight w:val="none"/>
        </w:rPr>
        <w:t>年财政收入总量及增速图</w:t>
      </w:r>
    </w:p>
    <w:p>
      <w:pPr>
        <w:widowControl/>
        <w:ind w:firstLine="420" w:firstLineChars="200"/>
      </w:pPr>
      <w:r>
        <w:drawing>
          <wp:inline distT="0" distB="0" distL="114300" distR="114300">
            <wp:extent cx="5271135" cy="3054985"/>
            <wp:effectExtent l="13970" t="0" r="29845" b="1714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widowControl/>
        <w:ind w:firstLine="420" w:firstLineChars="200"/>
      </w:pPr>
    </w:p>
    <w:p>
      <w:pPr>
        <w:widowControl/>
        <w:ind w:firstLine="420" w:firstLineChars="200"/>
      </w:pPr>
    </w:p>
    <w:p>
      <w:pPr>
        <w:keepNext w:val="0"/>
        <w:keepLines w:val="0"/>
        <w:pageBreakBefore w:val="0"/>
        <w:kinsoku/>
        <w:overflowPunct/>
        <w:topLinePunct w:val="0"/>
        <w:autoSpaceDE/>
        <w:autoSpaceDN/>
        <w:bidi w:val="0"/>
        <w:adjustRightInd/>
        <w:snapToGrid/>
        <w:spacing w:line="600" w:lineRule="exact"/>
        <w:ind w:firstLine="643" w:firstLineChars="200"/>
        <w:textAlignment w:val="auto"/>
        <w:rPr>
          <w:rFonts w:hint="eastAsia" w:ascii="仿宋" w:hAnsi="仿宋" w:eastAsia="仿宋" w:cs="宋体"/>
          <w:kern w:val="0"/>
          <w:sz w:val="32"/>
          <w:szCs w:val="32"/>
        </w:rPr>
      </w:pPr>
      <w:r>
        <w:rPr>
          <w:rFonts w:hint="eastAsia" w:ascii="仿宋" w:hAnsi="仿宋" w:eastAsia="仿宋" w:cs="宋体"/>
          <w:b/>
          <w:kern w:val="0"/>
          <w:sz w:val="32"/>
          <w:szCs w:val="32"/>
        </w:rPr>
        <w:t>金融</w:t>
      </w:r>
      <w:r>
        <w:rPr>
          <w:rFonts w:hint="eastAsia" w:ascii="仿宋" w:hAnsi="仿宋" w:eastAsia="仿宋" w:cs="宋体"/>
          <w:b/>
          <w:kern w:val="0"/>
          <w:sz w:val="32"/>
          <w:szCs w:val="32"/>
          <w:lang w:val="en-US" w:eastAsia="zh-CN"/>
        </w:rPr>
        <w:t>市场保持平稳</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全</w:t>
      </w:r>
      <w:r>
        <w:rPr>
          <w:rFonts w:hint="eastAsia" w:ascii="仿宋" w:hAnsi="仿宋" w:eastAsia="仿宋" w:cs="宋体"/>
          <w:kern w:val="0"/>
          <w:sz w:val="32"/>
          <w:szCs w:val="32"/>
        </w:rPr>
        <w:t>县金融机构各项存款余额</w:t>
      </w:r>
      <w:r>
        <w:rPr>
          <w:rFonts w:hint="eastAsia" w:ascii="仿宋" w:hAnsi="仿宋" w:eastAsia="仿宋" w:cs="宋体"/>
          <w:kern w:val="0"/>
          <w:sz w:val="32"/>
          <w:szCs w:val="32"/>
          <w:lang w:val="en-US" w:eastAsia="zh-CN"/>
        </w:rPr>
        <w:t>1091268</w:t>
      </w:r>
      <w:r>
        <w:rPr>
          <w:rFonts w:hint="eastAsia" w:ascii="仿宋" w:hAnsi="仿宋" w:eastAsia="仿宋" w:cs="宋体"/>
          <w:kern w:val="0"/>
          <w:sz w:val="32"/>
          <w:szCs w:val="32"/>
        </w:rPr>
        <w:t>万元，同比增长</w:t>
      </w:r>
      <w:r>
        <w:rPr>
          <w:rFonts w:hint="eastAsia" w:ascii="仿宋" w:hAnsi="仿宋" w:eastAsia="仿宋" w:cs="宋体"/>
          <w:kern w:val="0"/>
          <w:sz w:val="32"/>
          <w:szCs w:val="32"/>
          <w:lang w:val="en-US" w:eastAsia="zh-CN"/>
        </w:rPr>
        <w:t>2.04</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其中</w:t>
      </w:r>
      <w:r>
        <w:rPr>
          <w:rFonts w:hint="eastAsia" w:ascii="仿宋" w:hAnsi="仿宋" w:eastAsia="仿宋" w:cs="宋体"/>
          <w:kern w:val="0"/>
          <w:sz w:val="32"/>
          <w:szCs w:val="32"/>
        </w:rPr>
        <w:t>住户存款余额</w:t>
      </w:r>
      <w:r>
        <w:rPr>
          <w:rFonts w:hint="eastAsia" w:ascii="仿宋" w:hAnsi="仿宋" w:eastAsia="仿宋" w:cs="宋体"/>
          <w:kern w:val="0"/>
          <w:sz w:val="32"/>
          <w:szCs w:val="32"/>
          <w:lang w:val="en-US" w:eastAsia="zh-CN"/>
        </w:rPr>
        <w:t>718945</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同比增长</w:t>
      </w:r>
      <w:r>
        <w:rPr>
          <w:rFonts w:hint="eastAsia" w:ascii="仿宋" w:hAnsi="仿宋" w:eastAsia="仿宋" w:cs="宋体"/>
          <w:kern w:val="0"/>
          <w:sz w:val="32"/>
          <w:szCs w:val="32"/>
          <w:lang w:val="en-US" w:eastAsia="zh-CN"/>
        </w:rPr>
        <w:t>6.43</w:t>
      </w:r>
      <w:r>
        <w:rPr>
          <w:rFonts w:hint="eastAsia" w:ascii="仿宋" w:hAnsi="仿宋" w:eastAsia="仿宋" w:cs="宋体"/>
          <w:kern w:val="0"/>
          <w:sz w:val="32"/>
          <w:szCs w:val="32"/>
        </w:rPr>
        <w:t>%;非金融企业存款余额</w:t>
      </w:r>
      <w:r>
        <w:rPr>
          <w:rFonts w:hint="eastAsia" w:ascii="仿宋" w:hAnsi="仿宋" w:eastAsia="仿宋" w:cs="宋体"/>
          <w:kern w:val="0"/>
          <w:sz w:val="32"/>
          <w:szCs w:val="32"/>
          <w:lang w:val="en-US" w:eastAsia="zh-CN"/>
        </w:rPr>
        <w:t>144220</w:t>
      </w:r>
      <w:r>
        <w:rPr>
          <w:rFonts w:hint="eastAsia" w:ascii="仿宋" w:hAnsi="仿宋" w:eastAsia="仿宋" w:cs="宋体"/>
          <w:kern w:val="0"/>
          <w:sz w:val="32"/>
          <w:szCs w:val="32"/>
        </w:rPr>
        <w:t>万元，同比</w:t>
      </w:r>
      <w:r>
        <w:rPr>
          <w:rFonts w:hint="eastAsia" w:ascii="仿宋" w:hAnsi="仿宋" w:eastAsia="仿宋" w:cs="宋体"/>
          <w:kern w:val="0"/>
          <w:sz w:val="32"/>
          <w:szCs w:val="32"/>
          <w:lang w:eastAsia="zh-CN"/>
        </w:rPr>
        <w:t>下降</w:t>
      </w:r>
      <w:r>
        <w:rPr>
          <w:rFonts w:hint="eastAsia" w:ascii="仿宋" w:hAnsi="仿宋" w:eastAsia="仿宋" w:cs="宋体"/>
          <w:kern w:val="0"/>
          <w:sz w:val="32"/>
          <w:szCs w:val="32"/>
          <w:lang w:val="en-US" w:eastAsia="zh-CN"/>
        </w:rPr>
        <w:t>0.63</w:t>
      </w:r>
      <w:r>
        <w:rPr>
          <w:rFonts w:hint="eastAsia" w:ascii="仿宋" w:hAnsi="仿宋" w:eastAsia="仿宋" w:cs="宋体"/>
          <w:kern w:val="0"/>
          <w:sz w:val="32"/>
          <w:szCs w:val="32"/>
        </w:rPr>
        <w:t>%，;机关团体存款余额</w:t>
      </w:r>
      <w:r>
        <w:rPr>
          <w:rFonts w:hint="eastAsia" w:ascii="仿宋" w:hAnsi="仿宋" w:eastAsia="仿宋" w:cs="宋体"/>
          <w:kern w:val="0"/>
          <w:sz w:val="32"/>
          <w:szCs w:val="32"/>
          <w:lang w:val="en-US" w:eastAsia="zh-CN"/>
        </w:rPr>
        <w:t>226007</w:t>
      </w:r>
      <w:r>
        <w:rPr>
          <w:rFonts w:hint="eastAsia" w:ascii="仿宋" w:hAnsi="仿宋" w:eastAsia="仿宋" w:cs="宋体"/>
          <w:kern w:val="0"/>
          <w:sz w:val="32"/>
          <w:szCs w:val="32"/>
        </w:rPr>
        <w:t>万元，同比</w:t>
      </w:r>
      <w:r>
        <w:rPr>
          <w:rFonts w:hint="eastAsia" w:ascii="仿宋" w:hAnsi="仿宋" w:eastAsia="仿宋" w:cs="宋体"/>
          <w:kern w:val="0"/>
          <w:sz w:val="32"/>
          <w:szCs w:val="32"/>
          <w:lang w:eastAsia="zh-CN"/>
        </w:rPr>
        <w:t>下降</w:t>
      </w:r>
      <w:r>
        <w:rPr>
          <w:rFonts w:hint="eastAsia" w:ascii="仿宋" w:hAnsi="仿宋" w:eastAsia="仿宋" w:cs="宋体"/>
          <w:kern w:val="0"/>
          <w:sz w:val="32"/>
          <w:szCs w:val="32"/>
          <w:lang w:val="en-US" w:eastAsia="zh-CN"/>
        </w:rPr>
        <w:t>8.99</w:t>
      </w:r>
      <w:r>
        <w:rPr>
          <w:rFonts w:hint="eastAsia" w:ascii="仿宋" w:hAnsi="仿宋" w:eastAsia="仿宋" w:cs="宋体"/>
          <w:kern w:val="0"/>
          <w:sz w:val="32"/>
          <w:szCs w:val="32"/>
        </w:rPr>
        <w:t>%</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财政性存款余额</w:t>
      </w:r>
      <w:r>
        <w:rPr>
          <w:rFonts w:hint="eastAsia" w:ascii="仿宋" w:hAnsi="仿宋" w:eastAsia="仿宋" w:cs="宋体"/>
          <w:kern w:val="0"/>
          <w:sz w:val="32"/>
          <w:szCs w:val="32"/>
          <w:lang w:val="en-US" w:eastAsia="zh-CN"/>
        </w:rPr>
        <w:t>2096</w:t>
      </w:r>
      <w:r>
        <w:rPr>
          <w:rFonts w:hint="eastAsia" w:ascii="仿宋" w:hAnsi="仿宋" w:eastAsia="仿宋" w:cs="宋体"/>
          <w:kern w:val="0"/>
          <w:sz w:val="32"/>
          <w:szCs w:val="32"/>
        </w:rPr>
        <w:t>万元，较上年末</w:t>
      </w:r>
      <w:r>
        <w:rPr>
          <w:rFonts w:hint="eastAsia" w:ascii="仿宋" w:hAnsi="仿宋" w:eastAsia="仿宋" w:cs="宋体"/>
          <w:kern w:val="0"/>
          <w:sz w:val="32"/>
          <w:szCs w:val="32"/>
          <w:lang w:eastAsia="zh-CN"/>
        </w:rPr>
        <w:t>增加</w:t>
      </w:r>
      <w:r>
        <w:rPr>
          <w:rFonts w:hint="eastAsia" w:ascii="仿宋" w:hAnsi="仿宋" w:eastAsia="仿宋" w:cs="宋体"/>
          <w:kern w:val="0"/>
          <w:sz w:val="32"/>
          <w:szCs w:val="32"/>
          <w:lang w:val="en-US" w:eastAsia="zh-CN"/>
        </w:rPr>
        <w:t>1655</w:t>
      </w:r>
      <w:r>
        <w:rPr>
          <w:rFonts w:hint="eastAsia" w:ascii="仿宋" w:hAnsi="仿宋" w:eastAsia="仿宋" w:cs="宋体"/>
          <w:kern w:val="0"/>
          <w:sz w:val="32"/>
          <w:szCs w:val="32"/>
        </w:rPr>
        <w:t>万元。金融机构各项贷款余额</w:t>
      </w:r>
      <w:r>
        <w:rPr>
          <w:rFonts w:hint="eastAsia" w:ascii="仿宋" w:hAnsi="仿宋" w:eastAsia="仿宋" w:cs="宋体"/>
          <w:kern w:val="0"/>
          <w:sz w:val="32"/>
          <w:szCs w:val="32"/>
          <w:lang w:val="en-US" w:eastAsia="zh-CN"/>
        </w:rPr>
        <w:t>745169</w:t>
      </w:r>
      <w:r>
        <w:rPr>
          <w:rFonts w:hint="eastAsia" w:ascii="仿宋" w:hAnsi="仿宋" w:eastAsia="仿宋" w:cs="宋体"/>
          <w:kern w:val="0"/>
          <w:sz w:val="32"/>
          <w:szCs w:val="32"/>
        </w:rPr>
        <w:t>万元，同比增长</w:t>
      </w:r>
      <w:r>
        <w:rPr>
          <w:rFonts w:hint="eastAsia" w:ascii="仿宋" w:hAnsi="仿宋" w:eastAsia="仿宋" w:cs="宋体"/>
          <w:kern w:val="0"/>
          <w:sz w:val="32"/>
          <w:szCs w:val="32"/>
          <w:lang w:val="en-US" w:eastAsia="zh-CN"/>
        </w:rPr>
        <w:t>9.98</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其中</w:t>
      </w:r>
      <w:r>
        <w:rPr>
          <w:rFonts w:hint="eastAsia" w:ascii="仿宋" w:hAnsi="仿宋" w:eastAsia="仿宋" w:cs="宋体"/>
          <w:kern w:val="0"/>
          <w:sz w:val="32"/>
          <w:szCs w:val="32"/>
        </w:rPr>
        <w:t>住户贷款余额</w:t>
      </w:r>
      <w:r>
        <w:rPr>
          <w:rFonts w:hint="eastAsia" w:ascii="仿宋" w:hAnsi="仿宋" w:eastAsia="仿宋" w:cs="宋体"/>
          <w:kern w:val="0"/>
          <w:sz w:val="32"/>
          <w:szCs w:val="32"/>
          <w:lang w:val="en-US" w:eastAsia="zh-CN"/>
        </w:rPr>
        <w:t>528835</w:t>
      </w:r>
      <w:r>
        <w:rPr>
          <w:rFonts w:hint="eastAsia" w:ascii="仿宋" w:hAnsi="仿宋" w:eastAsia="仿宋" w:cs="宋体"/>
          <w:kern w:val="0"/>
          <w:sz w:val="32"/>
          <w:szCs w:val="32"/>
        </w:rPr>
        <w:t>万元，同比增长</w:t>
      </w:r>
      <w:r>
        <w:rPr>
          <w:rFonts w:hint="eastAsia" w:ascii="仿宋" w:hAnsi="仿宋" w:eastAsia="仿宋" w:cs="宋体"/>
          <w:kern w:val="0"/>
          <w:sz w:val="32"/>
          <w:szCs w:val="32"/>
          <w:lang w:val="en-US" w:eastAsia="zh-CN"/>
        </w:rPr>
        <w:t>1.55</w:t>
      </w:r>
      <w:r>
        <w:rPr>
          <w:rFonts w:hint="eastAsia" w:ascii="仿宋" w:hAnsi="仿宋" w:eastAsia="仿宋" w:cs="宋体"/>
          <w:kern w:val="0"/>
          <w:sz w:val="32"/>
          <w:szCs w:val="32"/>
        </w:rPr>
        <w:t>%；非金融企业及机关团体贷款余额</w:t>
      </w:r>
      <w:r>
        <w:rPr>
          <w:rFonts w:hint="eastAsia" w:ascii="仿宋" w:hAnsi="仿宋" w:eastAsia="仿宋" w:cs="宋体"/>
          <w:kern w:val="0"/>
          <w:sz w:val="32"/>
          <w:szCs w:val="32"/>
          <w:lang w:val="en-US" w:eastAsia="zh-CN"/>
        </w:rPr>
        <w:t>216334</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同比</w:t>
      </w:r>
      <w:r>
        <w:rPr>
          <w:rFonts w:hint="eastAsia" w:ascii="仿宋" w:hAnsi="仿宋" w:eastAsia="仿宋" w:cs="宋体"/>
          <w:kern w:val="0"/>
          <w:sz w:val="32"/>
          <w:szCs w:val="32"/>
        </w:rPr>
        <w:t>增长</w:t>
      </w:r>
      <w:r>
        <w:rPr>
          <w:rFonts w:hint="eastAsia" w:ascii="仿宋" w:hAnsi="仿宋" w:eastAsia="仿宋" w:cs="宋体"/>
          <w:kern w:val="0"/>
          <w:sz w:val="32"/>
          <w:szCs w:val="32"/>
          <w:lang w:val="en-US" w:eastAsia="zh-CN"/>
        </w:rPr>
        <w:t>37.98</w:t>
      </w:r>
      <w:r>
        <w:rPr>
          <w:rFonts w:hint="eastAsia" w:ascii="仿宋" w:hAnsi="仿宋" w:eastAsia="仿宋" w:cs="宋体"/>
          <w:kern w:val="0"/>
          <w:sz w:val="32"/>
          <w:szCs w:val="32"/>
        </w:rPr>
        <w:t>%；票据融资</w:t>
      </w:r>
      <w:r>
        <w:rPr>
          <w:rFonts w:hint="eastAsia" w:ascii="仿宋" w:hAnsi="仿宋" w:eastAsia="仿宋" w:cs="宋体"/>
          <w:kern w:val="0"/>
          <w:sz w:val="32"/>
          <w:szCs w:val="32"/>
          <w:lang w:val="en-US" w:eastAsia="zh-CN"/>
        </w:rPr>
        <w:t>24867</w:t>
      </w:r>
      <w:r>
        <w:rPr>
          <w:rFonts w:hint="eastAsia" w:ascii="仿宋" w:hAnsi="仿宋" w:eastAsia="仿宋" w:cs="宋体"/>
          <w:kern w:val="0"/>
          <w:sz w:val="32"/>
          <w:szCs w:val="32"/>
        </w:rPr>
        <w:t>万元，较上年末</w:t>
      </w:r>
      <w:r>
        <w:rPr>
          <w:rFonts w:hint="eastAsia" w:ascii="仿宋" w:hAnsi="仿宋" w:eastAsia="仿宋" w:cs="宋体"/>
          <w:kern w:val="0"/>
          <w:sz w:val="32"/>
          <w:szCs w:val="32"/>
          <w:lang w:eastAsia="zh-CN"/>
        </w:rPr>
        <w:t>增加</w:t>
      </w:r>
      <w:r>
        <w:rPr>
          <w:rFonts w:hint="eastAsia" w:ascii="仿宋" w:hAnsi="仿宋" w:eastAsia="仿宋" w:cs="宋体"/>
          <w:kern w:val="0"/>
          <w:sz w:val="32"/>
          <w:szCs w:val="32"/>
          <w:lang w:val="en-US" w:eastAsia="zh-CN"/>
        </w:rPr>
        <w:t>5068</w:t>
      </w:r>
      <w:r>
        <w:rPr>
          <w:rFonts w:hint="eastAsia" w:ascii="仿宋" w:hAnsi="仿宋" w:eastAsia="仿宋" w:cs="宋体"/>
          <w:kern w:val="0"/>
          <w:sz w:val="32"/>
          <w:szCs w:val="32"/>
        </w:rPr>
        <w:t>万元。</w:t>
      </w:r>
    </w:p>
    <w:p>
      <w:pPr>
        <w:widowControl/>
        <w:ind w:firstLine="600" w:firstLineChars="200"/>
        <w:jc w:val="center"/>
        <w:rPr>
          <w:rFonts w:ascii="仿宋" w:hAnsi="仿宋" w:eastAsia="仿宋"/>
          <w:kern w:val="0"/>
          <w:sz w:val="30"/>
          <w:szCs w:val="30"/>
          <w:highlight w:val="none"/>
        </w:rPr>
      </w:pPr>
      <w:r>
        <w:rPr>
          <w:rFonts w:hint="eastAsia" w:ascii="仿宋" w:hAnsi="仿宋" w:eastAsia="仿宋"/>
          <w:kern w:val="0"/>
          <w:sz w:val="30"/>
          <w:szCs w:val="30"/>
          <w:highlight w:val="none"/>
        </w:rPr>
        <w:t>图7　20</w:t>
      </w:r>
      <w:r>
        <w:rPr>
          <w:rFonts w:ascii="仿宋" w:hAnsi="仿宋" w:eastAsia="仿宋"/>
          <w:kern w:val="0"/>
          <w:sz w:val="30"/>
          <w:szCs w:val="30"/>
          <w:highlight w:val="none"/>
        </w:rPr>
        <w:t>1</w:t>
      </w:r>
      <w:r>
        <w:rPr>
          <w:rFonts w:hint="eastAsia" w:ascii="仿宋" w:hAnsi="仿宋" w:eastAsia="仿宋"/>
          <w:kern w:val="0"/>
          <w:sz w:val="30"/>
          <w:szCs w:val="30"/>
          <w:highlight w:val="none"/>
          <w:lang w:val="en-US" w:eastAsia="zh-CN"/>
        </w:rPr>
        <w:t>5</w:t>
      </w:r>
      <w:r>
        <w:rPr>
          <w:rFonts w:hint="eastAsia" w:ascii="仿宋" w:hAnsi="仿宋" w:eastAsia="仿宋"/>
          <w:kern w:val="0"/>
          <w:sz w:val="30"/>
          <w:szCs w:val="30"/>
          <w:highlight w:val="none"/>
        </w:rPr>
        <w:t>－201</w:t>
      </w:r>
      <w:r>
        <w:rPr>
          <w:rFonts w:hint="eastAsia" w:ascii="仿宋" w:hAnsi="仿宋" w:eastAsia="仿宋"/>
          <w:kern w:val="0"/>
          <w:sz w:val="30"/>
          <w:szCs w:val="30"/>
          <w:highlight w:val="none"/>
          <w:lang w:val="en-US" w:eastAsia="zh-CN"/>
        </w:rPr>
        <w:t>9</w:t>
      </w:r>
      <w:r>
        <w:rPr>
          <w:rFonts w:hint="eastAsia" w:ascii="仿宋" w:hAnsi="仿宋" w:eastAsia="仿宋"/>
          <w:kern w:val="0"/>
          <w:sz w:val="30"/>
          <w:szCs w:val="30"/>
          <w:highlight w:val="none"/>
        </w:rPr>
        <w:t>年金融存</w:t>
      </w:r>
      <w:r>
        <w:rPr>
          <w:rFonts w:ascii="仿宋" w:hAnsi="仿宋" w:eastAsia="仿宋"/>
          <w:kern w:val="0"/>
          <w:sz w:val="30"/>
          <w:szCs w:val="30"/>
          <w:highlight w:val="none"/>
        </w:rPr>
        <w:t>款余额</w:t>
      </w:r>
      <w:r>
        <w:rPr>
          <w:rFonts w:hint="eastAsia" w:ascii="仿宋" w:hAnsi="仿宋" w:eastAsia="仿宋"/>
          <w:kern w:val="0"/>
          <w:sz w:val="30"/>
          <w:szCs w:val="30"/>
          <w:highlight w:val="none"/>
        </w:rPr>
        <w:t xml:space="preserve">总量及增速图 </w:t>
      </w:r>
    </w:p>
    <w:p>
      <w:pPr>
        <w:widowControl/>
        <w:shd w:val="clear" w:color="auto" w:fill="FFFFFF"/>
        <w:ind w:firstLine="600"/>
        <w:jc w:val="left"/>
        <w:rPr>
          <w:rFonts w:ascii="仿宋" w:hAnsi="仿宋" w:eastAsia="仿宋" w:cs="宋体"/>
          <w:kern w:val="0"/>
          <w:sz w:val="32"/>
          <w:szCs w:val="32"/>
        </w:rPr>
      </w:pPr>
      <w:r>
        <w:drawing>
          <wp:inline distT="0" distB="0" distL="114300" distR="114300">
            <wp:extent cx="4944745" cy="2927985"/>
            <wp:effectExtent l="13970" t="0" r="32385" b="2984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widowControl/>
        <w:jc w:val="center"/>
        <w:rPr>
          <w:rFonts w:ascii="黑体" w:hAnsi="黑体" w:eastAsia="黑体"/>
          <w:kern w:val="0"/>
          <w:sz w:val="32"/>
          <w:szCs w:val="32"/>
        </w:rPr>
      </w:pPr>
      <w:r>
        <w:rPr>
          <w:rFonts w:hint="eastAsia" w:ascii="黑体" w:hAnsi="黑体" w:eastAsia="黑体"/>
          <w:kern w:val="0"/>
          <w:sz w:val="32"/>
          <w:szCs w:val="32"/>
        </w:rPr>
        <w:t>八、教育、文化、卫生</w:t>
      </w:r>
    </w:p>
    <w:p>
      <w:pPr>
        <w:widowControl/>
        <w:spacing w:line="600" w:lineRule="exact"/>
        <w:ind w:firstLine="645"/>
        <w:jc w:val="left"/>
        <w:rPr>
          <w:rFonts w:hint="eastAsia" w:ascii="仿宋" w:hAnsi="仿宋" w:eastAsia="仿宋" w:cs="宋体"/>
          <w:color w:val="000000"/>
          <w:kern w:val="0"/>
          <w:sz w:val="32"/>
          <w:szCs w:val="32"/>
          <w:highlight w:val="none"/>
          <w:lang w:val="en-US" w:eastAsia="zh-CN"/>
        </w:rPr>
      </w:pPr>
      <w:r>
        <w:rPr>
          <w:rFonts w:hint="eastAsia" w:ascii="仿宋_GB2312" w:eastAsia="仿宋_GB2312"/>
          <w:b/>
          <w:bCs/>
          <w:sz w:val="32"/>
          <w:szCs w:val="32"/>
          <w:lang w:val="en-US" w:eastAsia="zh-CN"/>
        </w:rPr>
        <w:t>教育教学工作：</w:t>
      </w:r>
      <w:r>
        <w:rPr>
          <w:rFonts w:hint="eastAsia" w:ascii="仿宋" w:hAnsi="仿宋" w:eastAsia="仿宋" w:cs="宋体"/>
          <w:color w:val="000000"/>
          <w:kern w:val="0"/>
          <w:sz w:val="32"/>
          <w:szCs w:val="32"/>
          <w:lang w:val="en-US" w:eastAsia="zh-CN"/>
        </w:rPr>
        <w:t>2019年全县现有各级各类学校65所，其中：高级中学1所、职业中学1所、初级中学5所、小学35所、幼儿园23所。在校学生27563人，其中：普通高中2777人、职业中学1325人、初中5807人、小学12194人、园幼儿5460人。毕业生数5568人，其中：普通高中882人，职业中学686人，初中2054人，小学1946人。招生数5404人，其中：普通高中1017人，职业中学434人，初中1805人，小学2148人。学龄儿童入学率：100.0%；初中毛入学率：1120.0%；净入学率： 100.0%。初中升学率：96.88%；高中升学率：78.40%。</w:t>
      </w:r>
      <w:r>
        <w:rPr>
          <w:rFonts w:hint="eastAsia" w:ascii="仿宋" w:hAnsi="仿宋" w:eastAsia="仿宋" w:cs="宋体"/>
          <w:color w:val="000000"/>
          <w:kern w:val="0"/>
          <w:sz w:val="32"/>
          <w:szCs w:val="32"/>
          <w:highlight w:val="none"/>
          <w:lang w:val="en-US" w:eastAsia="zh-CN"/>
        </w:rPr>
        <w:t>全县教职工1640人，普通高中235人、职业中学61人、初中457人、小学796人、幼儿园91人；专任教师2007人，普通高中235人、职业中学61人、初中421人、小学791人，幼儿园499人（其中在编85人，公办院校购买服务222人，聘用89人，民办院校聘用103人）。</w:t>
      </w:r>
    </w:p>
    <w:p>
      <w:pPr>
        <w:widowControl/>
        <w:spacing w:line="600" w:lineRule="exact"/>
        <w:ind w:firstLine="645"/>
        <w:jc w:val="left"/>
        <w:rPr>
          <w:rFonts w:hint="eastAsia" w:ascii="仿宋" w:hAnsi="仿宋" w:eastAsia="仿宋" w:cs="宋体"/>
          <w:color w:val="000000"/>
          <w:kern w:val="0"/>
          <w:sz w:val="32"/>
          <w:szCs w:val="32"/>
          <w:lang w:val="en-US" w:eastAsia="zh-CN"/>
        </w:rPr>
      </w:pPr>
      <w:r>
        <w:rPr>
          <w:rFonts w:hint="eastAsia" w:ascii="仿宋_GB2312" w:hAnsi="仿宋_GB2312" w:eastAsia="仿宋_GB2312" w:cs="仿宋_GB2312"/>
          <w:b/>
          <w:bCs/>
          <w:sz w:val="32"/>
          <w:szCs w:val="32"/>
          <w:lang w:val="en-US" w:eastAsia="zh-CN"/>
        </w:rPr>
        <w:t>文化旅游广播电视工作：</w:t>
      </w:r>
      <w:r>
        <w:rPr>
          <w:rFonts w:hint="default" w:ascii="仿宋" w:hAnsi="仿宋" w:eastAsia="仿宋" w:cs="宋体"/>
          <w:color w:val="000000"/>
          <w:kern w:val="0"/>
          <w:sz w:val="32"/>
          <w:szCs w:val="32"/>
          <w:lang w:val="en-US" w:eastAsia="zh-CN"/>
        </w:rPr>
        <w:t>建成了县文化馆、图书馆、革命历史纪念园、体育馆、影剧院、慢读书吧等公共文化设施。其中文化馆达到部颁一级标准，数字化文化馆建成并投入使用；图书馆达到部颁二级标准，实现总分馆制，建有8个分馆，新图书馆已经进入装修布展阶段，预计2020年底完成搬迁工作；8个乡镇综合文化站，99个村综合文化服务中心实现全覆盖，公共基础设施配备齐全，有效满足了人民群众公共文化需求。对8个乡镇10个村综合文化服务中心进行示范点打造，完善基础设施建设，严格规范管理，对99个村综合文化服务中心按照需求配备文化器材、演出服装道具等</w:t>
      </w:r>
      <w:r>
        <w:rPr>
          <w:rFonts w:hint="eastAsia" w:ascii="仿宋" w:hAnsi="仿宋" w:eastAsia="仿宋" w:cs="宋体"/>
          <w:color w:val="000000"/>
          <w:kern w:val="0"/>
          <w:sz w:val="32"/>
          <w:szCs w:val="32"/>
          <w:lang w:val="en-US" w:eastAsia="zh-CN"/>
        </w:rPr>
        <w:t>。全</w:t>
      </w:r>
      <w:r>
        <w:rPr>
          <w:rFonts w:hint="default" w:ascii="仿宋" w:hAnsi="仿宋" w:eastAsia="仿宋" w:cs="宋体"/>
          <w:color w:val="000000"/>
          <w:kern w:val="0"/>
          <w:sz w:val="32"/>
          <w:szCs w:val="32"/>
          <w:lang w:val="en-US" w:eastAsia="zh-CN"/>
        </w:rPr>
        <w:t>年开展各类群众性文化演出活动300余场次，总观众人次达42万余人次。</w:t>
      </w:r>
    </w:p>
    <w:p>
      <w:pPr>
        <w:widowControl/>
        <w:spacing w:line="600" w:lineRule="exact"/>
        <w:ind w:firstLine="645"/>
        <w:jc w:val="left"/>
        <w:rPr>
          <w:rFonts w:hint="default" w:ascii="仿宋" w:hAnsi="仿宋" w:eastAsia="仿宋" w:cs="宋体"/>
          <w:color w:val="000000"/>
          <w:kern w:val="0"/>
          <w:sz w:val="32"/>
          <w:szCs w:val="32"/>
          <w:lang w:val="en-US" w:eastAsia="zh-CN"/>
        </w:rPr>
      </w:pPr>
      <w:r>
        <w:rPr>
          <w:rFonts w:hint="default" w:ascii="仿宋" w:hAnsi="仿宋" w:eastAsia="仿宋" w:cs="宋体"/>
          <w:color w:val="000000"/>
          <w:kern w:val="0"/>
          <w:sz w:val="32"/>
          <w:szCs w:val="32"/>
          <w:lang w:val="en-US" w:eastAsia="zh-CN"/>
        </w:rPr>
        <w:t>精心策划、统筹联动，“两华一节”系列活动圆满完成。2019年“盐州大集·民俗嘉年华”冬春季文化旅游系列活动集聚效应凸显。充分利用新建的古城文化园和“九曲”民俗文化园的阵地，成功举办了2019年全国乡村春晚“百县万村”区域联动活动和“畅游古城猜灯谜”、“龙门祈福游九曲”等12项活动内容。</w:t>
      </w:r>
      <w:r>
        <w:rPr>
          <w:rFonts w:hint="eastAsia" w:ascii="仿宋" w:hAnsi="仿宋" w:eastAsia="仿宋" w:cs="宋体"/>
          <w:color w:val="000000"/>
          <w:kern w:val="0"/>
          <w:sz w:val="32"/>
          <w:szCs w:val="32"/>
          <w:lang w:val="en-US" w:eastAsia="zh-CN"/>
        </w:rPr>
        <w:t>组织</w:t>
      </w:r>
      <w:r>
        <w:rPr>
          <w:rFonts w:hint="default" w:ascii="仿宋" w:hAnsi="仿宋" w:eastAsia="仿宋" w:cs="宋体"/>
          <w:color w:val="000000"/>
          <w:kern w:val="0"/>
          <w:sz w:val="32"/>
          <w:szCs w:val="32"/>
          <w:lang w:val="en-US" w:eastAsia="zh-CN"/>
        </w:rPr>
        <w:t>2支社火代表队参加“多彩非遗·扮靓吴忠”第四届社火大赛</w:t>
      </w:r>
      <w:r>
        <w:rPr>
          <w:rFonts w:hint="eastAsia" w:ascii="仿宋" w:hAnsi="仿宋" w:eastAsia="仿宋" w:cs="宋体"/>
          <w:color w:val="000000"/>
          <w:kern w:val="0"/>
          <w:sz w:val="32"/>
          <w:szCs w:val="32"/>
          <w:lang w:val="en-US" w:eastAsia="zh-CN"/>
        </w:rPr>
        <w:t>，</w:t>
      </w:r>
      <w:r>
        <w:rPr>
          <w:rFonts w:hint="default" w:ascii="仿宋" w:hAnsi="仿宋" w:eastAsia="仿宋" w:cs="宋体"/>
          <w:color w:val="000000"/>
          <w:kern w:val="0"/>
          <w:sz w:val="32"/>
          <w:szCs w:val="32"/>
          <w:lang w:val="en-US" w:eastAsia="zh-CN"/>
        </w:rPr>
        <w:t>分别获得一等奖和二等奖，获得全区社火大赛一等奖；组织参加“壮丽70年 筑梦新征程-激情广场 舞动塞上”全区广场舞大赛，获得全区三等奖及优秀组织奖；组织参加2019年“欢乐宁夏”全区群众文艺会演，小品《有事找村长》、舞蹈《扇韵》分别获得创作一等奖和二等奖。</w:t>
      </w:r>
    </w:p>
    <w:p>
      <w:pPr>
        <w:widowControl/>
        <w:ind w:firstLine="643" w:firstLineChars="200"/>
        <w:rPr>
          <w:rFonts w:hint="eastAsia" w:ascii="仿宋" w:hAnsi="仿宋" w:eastAsia="仿宋" w:cs="宋体"/>
          <w:color w:val="000000"/>
          <w:kern w:val="0"/>
          <w:sz w:val="32"/>
          <w:szCs w:val="32"/>
          <w:lang w:val="en-US" w:eastAsia="zh-CN"/>
        </w:rPr>
      </w:pPr>
      <w:r>
        <w:rPr>
          <w:rFonts w:hint="eastAsia" w:ascii="仿宋" w:hAnsi="仿宋" w:eastAsia="仿宋"/>
          <w:b/>
          <w:bCs/>
          <w:sz w:val="32"/>
          <w:szCs w:val="32"/>
          <w:highlight w:val="none"/>
          <w:lang w:val="en-US" w:eastAsia="zh-CN"/>
        </w:rPr>
        <w:t>卫生健康工作：</w:t>
      </w:r>
      <w:r>
        <w:rPr>
          <w:rFonts w:hint="eastAsia" w:ascii="仿宋" w:hAnsi="仿宋" w:eastAsia="仿宋" w:cs="宋体"/>
          <w:color w:val="000000"/>
          <w:kern w:val="0"/>
          <w:sz w:val="32"/>
          <w:szCs w:val="32"/>
          <w:lang w:val="en-US" w:eastAsia="zh-CN"/>
        </w:rPr>
        <w:t>截止2019年末，全县出生人口政策符合率92.4%，出生人口性别比趋于正常。</w:t>
      </w:r>
      <w:r>
        <w:rPr>
          <w:rFonts w:hint="default" w:ascii="Times New Roman" w:hAnsi="Times New Roman" w:eastAsia="仿宋_GB2312" w:cs="Times New Roman"/>
          <w:sz w:val="32"/>
          <w:szCs w:val="32"/>
          <w:lang w:val="en-US" w:eastAsia="zh-CN"/>
        </w:rPr>
        <w:t>全县共有医疗机构数142个（其中</w:t>
      </w:r>
      <w:r>
        <w:rPr>
          <w:rFonts w:hint="eastAsia" w:ascii="Times New Roman" w:hAnsi="Times New Roman" w:eastAsia="仿宋_GB2312" w:cs="Times New Roman"/>
          <w:sz w:val="32"/>
          <w:szCs w:val="32"/>
          <w:lang w:val="en-US" w:eastAsia="zh-CN"/>
        </w:rPr>
        <w:t>县级医疗机构5个，乡镇卫生院8个，社区卫生服务中心及社区卫生服务站6个，</w:t>
      </w:r>
      <w:r>
        <w:rPr>
          <w:rFonts w:hint="default" w:ascii="Times New Roman" w:hAnsi="Times New Roman" w:eastAsia="仿宋_GB2312" w:cs="Times New Roman"/>
          <w:sz w:val="32"/>
          <w:szCs w:val="32"/>
          <w:lang w:val="en-US" w:eastAsia="zh-CN"/>
        </w:rPr>
        <w:t>村卫生室102个</w:t>
      </w:r>
      <w:r>
        <w:rPr>
          <w:rFonts w:hint="eastAsia" w:ascii="Times New Roman" w:hAnsi="Times New Roman" w:eastAsia="仿宋_GB2312" w:cs="Times New Roman"/>
          <w:sz w:val="32"/>
          <w:szCs w:val="32"/>
          <w:lang w:val="en-US" w:eastAsia="zh-CN"/>
        </w:rPr>
        <w:t>，民营医院1个，个体诊所20个</w:t>
      </w:r>
      <w:r>
        <w:rPr>
          <w:rFonts w:hint="default" w:ascii="Times New Roman" w:hAnsi="Times New Roman" w:eastAsia="仿宋_GB2312" w:cs="Times New Roman"/>
          <w:sz w:val="32"/>
          <w:szCs w:val="32"/>
          <w:lang w:val="en-US" w:eastAsia="zh-CN"/>
        </w:rPr>
        <w:t>）</w:t>
      </w:r>
      <w:r>
        <w:rPr>
          <w:rFonts w:hint="eastAsia" w:ascii="仿宋" w:hAnsi="仿宋" w:eastAsia="仿宋" w:cs="宋体"/>
          <w:color w:val="000000"/>
          <w:kern w:val="0"/>
          <w:sz w:val="32"/>
          <w:szCs w:val="32"/>
          <w:lang w:val="en-US" w:eastAsia="zh-CN"/>
        </w:rPr>
        <w:t>。2019年末全县执业医师（助理）368人，护士410人，</w:t>
      </w:r>
      <w:bookmarkStart w:id="0" w:name="_GoBack"/>
      <w:bookmarkEnd w:id="0"/>
      <w:r>
        <w:rPr>
          <w:rFonts w:hint="eastAsia" w:ascii="仿宋" w:hAnsi="仿宋" w:eastAsia="仿宋" w:cs="宋体"/>
          <w:color w:val="000000"/>
          <w:kern w:val="0"/>
          <w:sz w:val="32"/>
          <w:szCs w:val="32"/>
          <w:lang w:val="en-US" w:eastAsia="zh-CN"/>
        </w:rPr>
        <w:t>卫生机构实有病床676张，每千人拥有职业（助理）医师数、床位数分别为2.3人、4.3张。2019年5月，国家中医药管理局对我县深化医改与中医药扶贫工作进行了调研，对中医药工作给予了充分肯定。2019年卫生健康工作荣获自治区考核一等奖。</w:t>
      </w:r>
    </w:p>
    <w:p>
      <w:pPr>
        <w:widowControl/>
        <w:jc w:val="center"/>
        <w:rPr>
          <w:rFonts w:ascii="黑体" w:hAnsi="黑体" w:eastAsia="黑体"/>
          <w:kern w:val="0"/>
          <w:sz w:val="32"/>
          <w:szCs w:val="32"/>
        </w:rPr>
      </w:pPr>
      <w:r>
        <w:rPr>
          <w:rFonts w:hint="eastAsia" w:ascii="黑体" w:hAnsi="黑体" w:eastAsia="黑体"/>
          <w:kern w:val="0"/>
          <w:sz w:val="32"/>
          <w:szCs w:val="32"/>
        </w:rPr>
        <w:t>九、人口、就业与社会保障</w:t>
      </w:r>
    </w:p>
    <w:p>
      <w:pPr>
        <w:widowControl/>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据公安年报资料显示，2019年末全县户籍人口总户数68487户，比上年增加193户，总人口172975人，比上年减少134人。总人口中，按性别分，男性88452人，占总人口的51.1%，女性84523人，占总人口的48.9%，人口性别比为104.6：100（以女性为100，男性对女性的比例）；按户口分，城镇人口26887人，乡村人口146088人。以回族为主的少数民族人口4234人，占总人口的2.45%，其中回族人口3738人，占总人口的2.16%。分乡镇看，花马池镇25544户58130人，大水坑镇9601户25089人，惠安堡镇6704户19466人，高沙窝镇4585户11971人，王乐井乡8338户22441人，冯记沟乡4368户11258人，青山乡4955户12861人，麻黄山乡4392户11759人。分年龄看，18周岁以下38224人，占总人口22.1%；18周岁至34周岁44797人，占总人口25.9%；35岁至59岁64917人，占总人口37.5%；60岁以上人口25037人，占总人口14.5%。</w:t>
      </w:r>
    </w:p>
    <w:p>
      <w:pPr>
        <w:widowControl/>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据人口变动抽样调查数据显示，2019年全县常住人口总户数55833户，常住人口数为159125人，较上年增加594人；其中城镇人口81822人，乡村人口77303人，城镇化率为51.42%，比上年提高了1个百分点。2019年全县人口出生率为13.18‰，死亡率为5.17‰，人口自然增长率为8.01‰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660"/>
        <w:jc w:val="both"/>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2019年末城镇职工基本养老保险、基本医疗保险参保人数分别为25388人、17969人；城乡居民基本养老保险、基本医疗保险参保人数分别为80039人、144816人；失业保险、工伤保险、生育保险参保人数分别为7575人、18601人、13366人；按项目参加工伤保险599个，参保率为100%；被征地农民参加基本养老保险1276人（企业职工1119人、城乡居民157人）参保率为100%；建档立卡贫困人员城乡居民基本养老和基本医疗保险参保率分别达到100%，实现应保尽保。社会保障卡持卡人数达到16.3万人。企业退休人员基本养老金自2005年以来实现“十五连涨”，机关事业单位退休人员与企业退休人员养老金实现2016年以来的第4次同步调整，机关事业、企业退休人员养老金人均每月分别调增209元、152元。城乡居民基础养老金由2016年的150元调增至195元，年满65、70、75、80周岁的城乡居民，每月还可分别发放城乡居民基本养老保险高龄补贴2元、4元、6元、8元。截至2019年末，全县领取机关事业单位、企业退休职工养老保险待遇人数分别为2591人、4602人，全年累计发放养老金分别为1.7亿元、1.4亿元；领取城乡居民基本养老保险待遇18776人，全年累计发放养老金4768万元。享受工伤保险待遇78人，基金支付566万元。各项社会保险待遇发放率达到100%。全县城镇实有登记失业人员922人（其中女性554人），失业人员就业人数1018人，城镇登记失业率2.35%，转移劳动力42526人次，转移经济收入44653.6万元。</w:t>
      </w:r>
    </w:p>
    <w:p>
      <w:pPr>
        <w:widowControl/>
        <w:ind w:firstLine="640" w:firstLineChars="200"/>
        <w:rPr>
          <w:rFonts w:hint="eastAsia" w:ascii="仿宋" w:hAnsi="仿宋" w:eastAsia="仿宋" w:cs="宋体"/>
          <w:color w:val="000000"/>
          <w:kern w:val="0"/>
          <w:sz w:val="32"/>
          <w:szCs w:val="32"/>
          <w:highlight w:val="none"/>
          <w:lang w:val="en-US" w:eastAsia="zh-CN"/>
        </w:rPr>
      </w:pPr>
      <w:r>
        <w:rPr>
          <w:rFonts w:hint="default" w:ascii="仿宋" w:hAnsi="仿宋" w:eastAsia="仿宋" w:cs="宋体"/>
          <w:color w:val="000000"/>
          <w:kern w:val="0"/>
          <w:sz w:val="32"/>
          <w:szCs w:val="32"/>
          <w:highlight w:val="none"/>
          <w:lang w:val="en-US" w:eastAsia="zh-CN"/>
        </w:rPr>
        <w:t>201</w:t>
      </w:r>
      <w:r>
        <w:rPr>
          <w:rFonts w:hint="eastAsia" w:ascii="仿宋" w:hAnsi="仿宋" w:eastAsia="仿宋" w:cs="宋体"/>
          <w:color w:val="000000"/>
          <w:kern w:val="0"/>
          <w:sz w:val="32"/>
          <w:szCs w:val="32"/>
          <w:highlight w:val="none"/>
          <w:lang w:val="en-US" w:eastAsia="zh-CN"/>
        </w:rPr>
        <w:t>9</w:t>
      </w:r>
      <w:r>
        <w:rPr>
          <w:rFonts w:hint="default" w:ascii="仿宋" w:hAnsi="仿宋" w:eastAsia="仿宋" w:cs="宋体"/>
          <w:color w:val="000000"/>
          <w:kern w:val="0"/>
          <w:sz w:val="32"/>
          <w:szCs w:val="32"/>
          <w:highlight w:val="none"/>
          <w:lang w:val="en-US" w:eastAsia="zh-CN"/>
        </w:rPr>
        <w:t>年末，</w:t>
      </w:r>
      <w:r>
        <w:rPr>
          <w:rFonts w:hint="eastAsia" w:ascii="仿宋" w:hAnsi="仿宋" w:eastAsia="仿宋" w:cs="宋体"/>
          <w:color w:val="000000"/>
          <w:kern w:val="0"/>
          <w:sz w:val="32"/>
          <w:szCs w:val="32"/>
          <w:highlight w:val="none"/>
          <w:lang w:val="en-US" w:eastAsia="zh-CN"/>
        </w:rPr>
        <w:t>城镇居民最低生活保障人数2039人；农村居民最低生活保障人数7147人。</w:t>
      </w:r>
      <w:r>
        <w:rPr>
          <w:rFonts w:hint="default" w:ascii="仿宋" w:hAnsi="仿宋" w:eastAsia="仿宋" w:cs="宋体"/>
          <w:color w:val="000000"/>
          <w:kern w:val="0"/>
          <w:sz w:val="32"/>
          <w:szCs w:val="32"/>
          <w:highlight w:val="none"/>
          <w:lang w:val="en-US" w:eastAsia="zh-CN"/>
        </w:rPr>
        <w:t>全县养老机构</w:t>
      </w:r>
      <w:r>
        <w:rPr>
          <w:rFonts w:hint="eastAsia" w:ascii="仿宋" w:hAnsi="仿宋" w:eastAsia="仿宋" w:cs="宋体"/>
          <w:color w:val="000000"/>
          <w:kern w:val="0"/>
          <w:sz w:val="32"/>
          <w:szCs w:val="32"/>
          <w:highlight w:val="none"/>
          <w:lang w:val="en-US" w:eastAsia="zh-CN"/>
        </w:rPr>
        <w:t>48所</w:t>
      </w:r>
      <w:r>
        <w:rPr>
          <w:rFonts w:hint="default" w:ascii="仿宋" w:hAnsi="仿宋" w:eastAsia="仿宋" w:cs="宋体"/>
          <w:color w:val="000000"/>
          <w:kern w:val="0"/>
          <w:sz w:val="32"/>
          <w:szCs w:val="32"/>
          <w:highlight w:val="none"/>
          <w:lang w:val="en-US" w:eastAsia="zh-CN"/>
        </w:rPr>
        <w:t>（</w:t>
      </w:r>
      <w:r>
        <w:rPr>
          <w:rFonts w:hint="eastAsia" w:ascii="仿宋" w:hAnsi="仿宋" w:eastAsia="仿宋" w:cs="宋体"/>
          <w:color w:val="000000"/>
          <w:kern w:val="0"/>
          <w:sz w:val="32"/>
          <w:szCs w:val="32"/>
          <w:highlight w:val="none"/>
          <w:lang w:val="en-US" w:eastAsia="zh-CN"/>
        </w:rPr>
        <w:t>公办养老机构4所，民办养老机构3所，老饭桌25个，互助院8所，日间照料中心8个</w:t>
      </w:r>
      <w:r>
        <w:rPr>
          <w:rFonts w:hint="default" w:ascii="仿宋" w:hAnsi="仿宋" w:eastAsia="仿宋" w:cs="宋体"/>
          <w:color w:val="000000"/>
          <w:kern w:val="0"/>
          <w:sz w:val="32"/>
          <w:szCs w:val="32"/>
          <w:highlight w:val="none"/>
          <w:lang w:val="en-US" w:eastAsia="zh-CN"/>
        </w:rPr>
        <w:t>），</w:t>
      </w:r>
      <w:r>
        <w:rPr>
          <w:rFonts w:hint="eastAsia" w:ascii="仿宋" w:hAnsi="仿宋" w:eastAsia="仿宋" w:cs="宋体"/>
          <w:color w:val="000000"/>
          <w:kern w:val="0"/>
          <w:sz w:val="32"/>
          <w:szCs w:val="32"/>
          <w:highlight w:val="none"/>
          <w:lang w:val="en-US" w:eastAsia="zh-CN"/>
        </w:rPr>
        <w:t>各类老年人福利中心</w:t>
      </w:r>
      <w:r>
        <w:rPr>
          <w:rFonts w:hint="default" w:ascii="仿宋" w:hAnsi="仿宋" w:eastAsia="仿宋" w:cs="宋体"/>
          <w:color w:val="000000"/>
          <w:kern w:val="0"/>
          <w:sz w:val="32"/>
          <w:szCs w:val="32"/>
          <w:highlight w:val="none"/>
          <w:lang w:val="en-US" w:eastAsia="zh-CN"/>
        </w:rPr>
        <w:t>床</w:t>
      </w:r>
      <w:r>
        <w:rPr>
          <w:rFonts w:hint="eastAsia" w:ascii="仿宋" w:hAnsi="仿宋" w:eastAsia="仿宋" w:cs="宋体"/>
          <w:color w:val="000000"/>
          <w:kern w:val="0"/>
          <w:sz w:val="32"/>
          <w:szCs w:val="32"/>
          <w:highlight w:val="none"/>
          <w:lang w:val="en-US" w:eastAsia="zh-CN"/>
        </w:rPr>
        <w:t>位</w:t>
      </w:r>
      <w:r>
        <w:rPr>
          <w:rFonts w:hint="default" w:ascii="仿宋" w:hAnsi="仿宋" w:eastAsia="仿宋" w:cs="宋体"/>
          <w:color w:val="000000"/>
          <w:kern w:val="0"/>
          <w:sz w:val="32"/>
          <w:szCs w:val="32"/>
          <w:highlight w:val="none"/>
          <w:lang w:val="en-US" w:eastAsia="zh-CN"/>
        </w:rPr>
        <w:t>1</w:t>
      </w:r>
      <w:r>
        <w:rPr>
          <w:rFonts w:hint="eastAsia" w:ascii="仿宋" w:hAnsi="仿宋" w:eastAsia="仿宋" w:cs="宋体"/>
          <w:color w:val="000000"/>
          <w:kern w:val="0"/>
          <w:sz w:val="32"/>
          <w:szCs w:val="32"/>
          <w:highlight w:val="none"/>
          <w:lang w:val="en-US" w:eastAsia="zh-CN"/>
        </w:rPr>
        <w:t>226</w:t>
      </w:r>
      <w:r>
        <w:rPr>
          <w:rFonts w:hint="default" w:ascii="仿宋" w:hAnsi="仿宋" w:eastAsia="仿宋" w:cs="宋体"/>
          <w:color w:val="000000"/>
          <w:kern w:val="0"/>
          <w:sz w:val="32"/>
          <w:szCs w:val="32"/>
          <w:highlight w:val="none"/>
          <w:lang w:val="en-US" w:eastAsia="zh-CN"/>
        </w:rPr>
        <w:t>张，收养人数</w:t>
      </w:r>
      <w:r>
        <w:rPr>
          <w:rFonts w:hint="eastAsia" w:ascii="仿宋" w:hAnsi="仿宋" w:eastAsia="仿宋" w:cs="宋体"/>
          <w:color w:val="000000"/>
          <w:kern w:val="0"/>
          <w:sz w:val="32"/>
          <w:szCs w:val="32"/>
          <w:highlight w:val="none"/>
          <w:lang w:val="en-US" w:eastAsia="zh-CN"/>
        </w:rPr>
        <w:t>303人。流浪乞讨站床位21个</w:t>
      </w:r>
      <w:r>
        <w:rPr>
          <w:rFonts w:hint="default" w:ascii="仿宋" w:hAnsi="仿宋" w:eastAsia="仿宋" w:cs="宋体"/>
          <w:color w:val="000000"/>
          <w:kern w:val="0"/>
          <w:sz w:val="32"/>
          <w:szCs w:val="32"/>
          <w:highlight w:val="none"/>
          <w:lang w:val="en-US" w:eastAsia="zh-CN"/>
        </w:rPr>
        <w:t>。</w:t>
      </w:r>
    </w:p>
    <w:p>
      <w:pPr>
        <w:widowControl/>
        <w:jc w:val="center"/>
        <w:rPr>
          <w:rFonts w:ascii="黑体" w:hAnsi="黑体" w:eastAsia="黑体"/>
          <w:kern w:val="0"/>
          <w:sz w:val="32"/>
          <w:szCs w:val="32"/>
        </w:rPr>
      </w:pPr>
      <w:r>
        <w:rPr>
          <w:rFonts w:hint="eastAsia" w:ascii="黑体" w:hAnsi="黑体" w:eastAsia="黑体"/>
          <w:kern w:val="0"/>
          <w:sz w:val="32"/>
          <w:szCs w:val="32"/>
        </w:rPr>
        <w:t>十、人民生活、环境保护与安全生产</w:t>
      </w:r>
    </w:p>
    <w:p>
      <w:pPr>
        <w:widowControl/>
        <w:ind w:firstLine="643" w:firstLineChars="200"/>
        <w:rPr>
          <w:rFonts w:hint="eastAsia"/>
          <w:lang w:val="en-US" w:eastAsia="zh-CN"/>
        </w:rPr>
      </w:pPr>
      <w:r>
        <w:rPr>
          <w:rFonts w:hint="eastAsia" w:ascii="仿宋" w:hAnsi="仿宋" w:eastAsia="仿宋"/>
          <w:b/>
          <w:kern w:val="0"/>
          <w:sz w:val="32"/>
          <w:szCs w:val="32"/>
        </w:rPr>
        <w:t>城乡居民收入持续增加</w:t>
      </w:r>
      <w:r>
        <w:rPr>
          <w:rFonts w:hint="eastAsia" w:ascii="仿宋" w:hAnsi="仿宋" w:eastAsia="仿宋"/>
          <w:kern w:val="0"/>
          <w:sz w:val="32"/>
          <w:szCs w:val="32"/>
        </w:rPr>
        <w:t>。</w:t>
      </w:r>
      <w:r>
        <w:rPr>
          <w:rFonts w:hint="eastAsia" w:ascii="仿宋" w:hAnsi="仿宋" w:eastAsia="仿宋" w:cs="宋体"/>
          <w:color w:val="000000"/>
          <w:kern w:val="0"/>
          <w:sz w:val="32"/>
          <w:szCs w:val="32"/>
          <w:lang w:val="en-US" w:eastAsia="zh-CN"/>
        </w:rPr>
        <w:t>2019年全县城镇居民人均可支配收入28464元，较上年增加1863元，同比增长7.0%；其中工资性收入18351元，增长8.9%；经营净收入6013元，增长5.7%；财产净收入905元，下降14.8%；转移性收入3195元，下降6.7%。2019年农村居民人均可支配收入12127元，较上年增加1442元，同比增长13.5%；其中工资性收入1564元，增长14.0%；经营净收入8572元，增长11.1%；财产净收入272元，增长16.2%；转移性收入1719元，增长26.1%；在经营净收入中，牧业净收入5192元，增长10.8%，占全部收入的42.8%。</w:t>
      </w:r>
    </w:p>
    <w:p>
      <w:pPr>
        <w:widowControl/>
        <w:ind w:firstLine="300" w:firstLineChars="100"/>
        <w:jc w:val="both"/>
        <w:rPr>
          <w:rFonts w:ascii="仿宋" w:hAnsi="仿宋" w:eastAsia="仿宋"/>
          <w:kern w:val="0"/>
          <w:sz w:val="30"/>
          <w:szCs w:val="30"/>
        </w:rPr>
      </w:pPr>
      <w:r>
        <w:rPr>
          <w:rFonts w:hint="eastAsia" w:ascii="仿宋" w:hAnsi="仿宋" w:eastAsia="仿宋"/>
          <w:kern w:val="0"/>
          <w:sz w:val="30"/>
          <w:szCs w:val="30"/>
        </w:rPr>
        <w:t>图8　20</w:t>
      </w:r>
      <w:r>
        <w:rPr>
          <w:rFonts w:ascii="仿宋" w:hAnsi="仿宋" w:eastAsia="仿宋"/>
          <w:kern w:val="0"/>
          <w:sz w:val="30"/>
          <w:szCs w:val="30"/>
        </w:rPr>
        <w:t>1</w:t>
      </w:r>
      <w:r>
        <w:rPr>
          <w:rFonts w:hint="eastAsia" w:ascii="仿宋" w:hAnsi="仿宋" w:eastAsia="仿宋"/>
          <w:kern w:val="0"/>
          <w:sz w:val="30"/>
          <w:szCs w:val="30"/>
          <w:lang w:val="en-US" w:eastAsia="zh-CN"/>
        </w:rPr>
        <w:t>5</w:t>
      </w:r>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年城镇居民</w:t>
      </w:r>
      <w:r>
        <w:rPr>
          <w:rFonts w:hint="eastAsia" w:ascii="仿宋" w:hAnsi="仿宋" w:eastAsia="仿宋"/>
          <w:kern w:val="0"/>
          <w:sz w:val="30"/>
          <w:szCs w:val="30"/>
          <w:lang w:val="en-US" w:eastAsia="zh-CN"/>
        </w:rPr>
        <w:t>人均</w:t>
      </w:r>
      <w:r>
        <w:rPr>
          <w:rFonts w:hint="eastAsia" w:ascii="仿宋" w:hAnsi="仿宋" w:eastAsia="仿宋"/>
          <w:kern w:val="0"/>
          <w:sz w:val="30"/>
          <w:szCs w:val="30"/>
        </w:rPr>
        <w:t>可支配收入总量及增速图</w:t>
      </w:r>
    </w:p>
    <w:p>
      <w:pPr>
        <w:widowControl/>
        <w:ind w:firstLine="420" w:firstLineChars="200"/>
        <w:rPr>
          <w:rFonts w:hint="eastAsia" w:ascii="仿宋" w:hAnsi="仿宋" w:eastAsia="仿宋"/>
          <w:kern w:val="0"/>
          <w:sz w:val="30"/>
          <w:szCs w:val="30"/>
        </w:rPr>
      </w:pPr>
      <w:r>
        <w:drawing>
          <wp:inline distT="0" distB="0" distL="114300" distR="114300">
            <wp:extent cx="5332095" cy="3642995"/>
            <wp:effectExtent l="13970" t="0" r="26035" b="1968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widowControl/>
        <w:jc w:val="both"/>
        <w:rPr>
          <w:rFonts w:hint="eastAsia" w:ascii="仿宋" w:hAnsi="仿宋" w:eastAsia="仿宋"/>
          <w:kern w:val="0"/>
          <w:sz w:val="30"/>
          <w:szCs w:val="30"/>
        </w:rPr>
      </w:pPr>
    </w:p>
    <w:p>
      <w:pPr>
        <w:widowControl/>
        <w:ind w:firstLine="300" w:firstLineChars="100"/>
        <w:jc w:val="both"/>
        <w:rPr>
          <w:rFonts w:ascii="仿宋" w:hAnsi="仿宋" w:eastAsia="仿宋"/>
          <w:kern w:val="0"/>
          <w:sz w:val="30"/>
          <w:szCs w:val="30"/>
        </w:rPr>
      </w:pPr>
      <w:r>
        <w:rPr>
          <w:rFonts w:hint="eastAsia" w:ascii="仿宋" w:hAnsi="仿宋" w:eastAsia="仿宋"/>
          <w:kern w:val="0"/>
          <w:sz w:val="30"/>
          <w:szCs w:val="30"/>
        </w:rPr>
        <w:t>图9　20</w:t>
      </w:r>
      <w:r>
        <w:rPr>
          <w:rFonts w:ascii="仿宋" w:hAnsi="仿宋" w:eastAsia="仿宋"/>
          <w:kern w:val="0"/>
          <w:sz w:val="30"/>
          <w:szCs w:val="30"/>
        </w:rPr>
        <w:t>1</w:t>
      </w:r>
      <w:r>
        <w:rPr>
          <w:rFonts w:hint="eastAsia" w:ascii="仿宋" w:hAnsi="仿宋" w:eastAsia="仿宋"/>
          <w:kern w:val="0"/>
          <w:sz w:val="30"/>
          <w:szCs w:val="30"/>
          <w:lang w:val="en-US" w:eastAsia="zh-CN"/>
        </w:rPr>
        <w:t>5</w:t>
      </w:r>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年农村居民人均</w:t>
      </w:r>
      <w:r>
        <w:rPr>
          <w:rFonts w:hint="eastAsia" w:ascii="仿宋" w:hAnsi="仿宋" w:eastAsia="仿宋"/>
          <w:kern w:val="0"/>
          <w:sz w:val="30"/>
          <w:szCs w:val="30"/>
          <w:lang w:val="en-US" w:eastAsia="zh-CN"/>
        </w:rPr>
        <w:t>可</w:t>
      </w:r>
      <w:r>
        <w:rPr>
          <w:rFonts w:hint="eastAsia" w:ascii="仿宋" w:hAnsi="仿宋" w:eastAsia="仿宋"/>
          <w:kern w:val="0"/>
          <w:sz w:val="30"/>
          <w:szCs w:val="30"/>
        </w:rPr>
        <w:t>支配收入</w:t>
      </w:r>
      <w:r>
        <w:rPr>
          <w:rFonts w:hint="eastAsia" w:ascii="仿宋" w:hAnsi="仿宋" w:eastAsia="仿宋"/>
          <w:kern w:val="0"/>
          <w:sz w:val="30"/>
          <w:szCs w:val="30"/>
          <w:lang w:val="en-US" w:eastAsia="zh-CN"/>
        </w:rPr>
        <w:t>总量及增速</w:t>
      </w:r>
      <w:r>
        <w:rPr>
          <w:rFonts w:hint="eastAsia" w:ascii="仿宋" w:hAnsi="仿宋" w:eastAsia="仿宋"/>
          <w:kern w:val="0"/>
          <w:sz w:val="30"/>
          <w:szCs w:val="30"/>
        </w:rPr>
        <w:t>图</w:t>
      </w:r>
    </w:p>
    <w:p>
      <w:pPr>
        <w:widowControl/>
        <w:ind w:firstLine="420" w:firstLineChars="200"/>
        <w:rPr>
          <w:rFonts w:ascii="仿宋" w:hAnsi="仿宋" w:eastAsia="仿宋" w:cs="宋体"/>
          <w:kern w:val="0"/>
          <w:sz w:val="32"/>
          <w:szCs w:val="32"/>
        </w:rPr>
      </w:pPr>
      <w:r>
        <w:drawing>
          <wp:inline distT="0" distB="0" distL="114300" distR="114300">
            <wp:extent cx="5167630" cy="3338195"/>
            <wp:effectExtent l="13970" t="13970" r="19050" b="1968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widowControl/>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全年最高气温33.9℃，最低气温-19.3℃，年平均气温9.3℃，全年降水量323.1毫米，蒸发量1162.4毫米，日照2479.6小时，无霜期221天，大风天数6天，扬沙13次。</w:t>
      </w:r>
    </w:p>
    <w:p>
      <w:pPr>
        <w:widowControl/>
        <w:ind w:firstLine="643" w:firstLineChars="200"/>
        <w:rPr>
          <w:rFonts w:hint="eastAsia" w:ascii="仿宋" w:hAnsi="仿宋" w:eastAsia="仿宋" w:cs="宋体"/>
          <w:color w:val="000000"/>
          <w:kern w:val="0"/>
          <w:sz w:val="32"/>
          <w:szCs w:val="32"/>
          <w:lang w:val="en-US" w:eastAsia="zh-CN"/>
        </w:rPr>
      </w:pPr>
      <w:r>
        <w:rPr>
          <w:rFonts w:hint="eastAsia" w:ascii="仿宋" w:hAnsi="仿宋" w:eastAsia="仿宋"/>
          <w:b/>
          <w:sz w:val="32"/>
          <w:szCs w:val="32"/>
        </w:rPr>
        <w:t>能源消耗持续</w:t>
      </w:r>
      <w:r>
        <w:rPr>
          <w:rFonts w:hint="eastAsia" w:ascii="仿宋" w:hAnsi="仿宋" w:eastAsia="仿宋"/>
          <w:b/>
          <w:sz w:val="32"/>
          <w:szCs w:val="32"/>
          <w:lang w:val="en-US" w:eastAsia="zh-CN"/>
        </w:rPr>
        <w:t>下降</w:t>
      </w:r>
      <w:r>
        <w:rPr>
          <w:rFonts w:hint="eastAsia" w:ascii="仿宋" w:hAnsi="仿宋" w:eastAsia="仿宋"/>
          <w:b/>
          <w:sz w:val="32"/>
          <w:szCs w:val="32"/>
        </w:rPr>
        <w:t>。</w:t>
      </w:r>
      <w:r>
        <w:rPr>
          <w:rFonts w:hint="eastAsia" w:ascii="仿宋" w:hAnsi="仿宋" w:eastAsia="仿宋" w:cs="宋体"/>
          <w:color w:val="000000"/>
          <w:kern w:val="0"/>
          <w:sz w:val="32"/>
          <w:szCs w:val="32"/>
          <w:lang w:val="en-US" w:eastAsia="zh-CN"/>
        </w:rPr>
        <w:t>2019年全县规模以上工业能耗40.1万吨标准煤，同比增长0.6%；单位工业增加值能耗同比下降11.9%。</w:t>
      </w:r>
    </w:p>
    <w:p>
      <w:pPr>
        <w:widowControl/>
        <w:ind w:firstLine="640" w:firstLineChars="200"/>
        <w:rPr>
          <w:rFonts w:hint="eastAsia" w:ascii="仿宋" w:hAnsi="仿宋" w:eastAsia="仿宋" w:cs="宋体"/>
          <w:color w:val="000000"/>
          <w:kern w:val="0"/>
          <w:sz w:val="32"/>
          <w:szCs w:val="32"/>
          <w:lang w:val="en-US" w:eastAsia="zh-CN"/>
        </w:rPr>
      </w:pPr>
      <w:r>
        <w:rPr>
          <w:rFonts w:hint="default" w:ascii="Times New Roman" w:hAnsi="Times New Roman" w:eastAsia="仿宋_GB2312" w:cs="Times New Roman"/>
          <w:color w:val="000000"/>
          <w:kern w:val="0"/>
          <w:sz w:val="32"/>
          <w:szCs w:val="32"/>
        </w:rPr>
        <w:t>201</w:t>
      </w:r>
      <w:r>
        <w:rPr>
          <w:rFonts w:hint="eastAsia"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年全年共发生各类生产安全事故</w:t>
      </w:r>
      <w:r>
        <w:rPr>
          <w:rFonts w:hint="eastAsia"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起，死亡</w:t>
      </w:r>
      <w:r>
        <w:rPr>
          <w:rFonts w:hint="eastAsia" w:ascii="Times New Roman" w:hAnsi="Times New Roman" w:eastAsia="仿宋_GB2312" w:cs="Times New Roman"/>
          <w:color w:val="000000"/>
          <w:kern w:val="0"/>
          <w:sz w:val="32"/>
          <w:szCs w:val="32"/>
          <w:lang w:val="en-US" w:eastAsia="zh-CN"/>
        </w:rPr>
        <w:t>8</w:t>
      </w:r>
      <w:r>
        <w:rPr>
          <w:rFonts w:hint="default" w:ascii="Times New Roman" w:hAnsi="Times New Roman" w:eastAsia="仿宋_GB2312" w:cs="Times New Roman"/>
          <w:color w:val="000000"/>
          <w:kern w:val="0"/>
          <w:sz w:val="32"/>
          <w:szCs w:val="32"/>
        </w:rPr>
        <w:t>人，受伤人数</w:t>
      </w:r>
      <w:r>
        <w:rPr>
          <w:rFonts w:hint="eastAsia" w:ascii="Times New Roman" w:hAnsi="Times New Roman" w:eastAsia="仿宋_GB2312" w:cs="Times New Roman"/>
          <w:color w:val="000000"/>
          <w:kern w:val="0"/>
          <w:sz w:val="32"/>
          <w:szCs w:val="32"/>
          <w:lang w:val="en-US" w:eastAsia="zh-CN"/>
        </w:rPr>
        <w:t>10</w:t>
      </w:r>
      <w:r>
        <w:rPr>
          <w:rFonts w:hint="default" w:ascii="Times New Roman" w:hAnsi="Times New Roman" w:eastAsia="仿宋_GB2312" w:cs="Times New Roman"/>
          <w:color w:val="000000"/>
          <w:kern w:val="0"/>
          <w:sz w:val="32"/>
          <w:szCs w:val="32"/>
        </w:rPr>
        <w:t>人。</w:t>
      </w:r>
      <w:r>
        <w:rPr>
          <w:rFonts w:hint="eastAsia" w:ascii="仿宋" w:hAnsi="仿宋" w:eastAsia="仿宋" w:cs="宋体"/>
          <w:color w:val="000000"/>
          <w:kern w:val="0"/>
          <w:sz w:val="32"/>
          <w:szCs w:val="32"/>
          <w:lang w:val="en-US" w:eastAsia="zh-CN"/>
        </w:rPr>
        <w:t>全县亿元地区生产总值安全事故死亡人数为0.076人；工矿商贸从业人员10万人生产安全死亡率为0；煤矿百万吨死亡率为0。</w:t>
      </w:r>
    </w:p>
    <w:p>
      <w:pPr>
        <w:widowControl/>
        <w:ind w:firstLine="480" w:firstLineChars="200"/>
        <w:rPr>
          <w:rFonts w:hint="eastAsia" w:ascii="仿宋" w:hAnsi="仿宋" w:eastAsia="仿宋"/>
          <w:kern w:val="0"/>
          <w:sz w:val="24"/>
          <w:szCs w:val="24"/>
        </w:rPr>
      </w:pPr>
      <w:r>
        <w:rPr>
          <w:rFonts w:hint="eastAsia" w:ascii="仿宋" w:hAnsi="仿宋" w:eastAsia="仿宋"/>
          <w:kern w:val="0"/>
          <w:sz w:val="24"/>
          <w:szCs w:val="24"/>
        </w:rPr>
        <w:t>注：1、本公报中地区生产总值及构成数据为初步核算数，最终核定数据以《盐池经济要情手册》为准。</w:t>
      </w:r>
    </w:p>
    <w:p>
      <w:pPr>
        <w:pStyle w:val="2"/>
        <w:jc w:val="both"/>
        <w:rPr>
          <w:rFonts w:hint="default" w:ascii="仿宋" w:hAnsi="仿宋" w:eastAsia="仿宋" w:cstheme="minorBidi"/>
          <w:b w:val="0"/>
          <w:bCs w:val="0"/>
          <w:kern w:val="0"/>
          <w:sz w:val="24"/>
          <w:szCs w:val="24"/>
          <w:lang w:val="en-US" w:eastAsia="zh-CN" w:bidi="ar-SA"/>
        </w:rPr>
      </w:pPr>
      <w:r>
        <w:rPr>
          <w:rFonts w:hint="eastAsia" w:ascii="仿宋" w:hAnsi="仿宋" w:eastAsia="仿宋"/>
          <w:kern w:val="0"/>
          <w:sz w:val="24"/>
          <w:szCs w:val="24"/>
          <w:lang w:val="en-US" w:eastAsia="zh-CN"/>
        </w:rPr>
        <w:t xml:space="preserve">    </w:t>
      </w:r>
      <w:r>
        <w:rPr>
          <w:rFonts w:hint="eastAsia" w:ascii="仿宋" w:hAnsi="仿宋" w:eastAsia="仿宋" w:cstheme="minorBidi"/>
          <w:b w:val="0"/>
          <w:bCs w:val="0"/>
          <w:kern w:val="0"/>
          <w:sz w:val="24"/>
          <w:szCs w:val="24"/>
          <w:lang w:val="en-US" w:eastAsia="zh-CN" w:bidi="ar-SA"/>
        </w:rPr>
        <w:t>2、在2018年经济普查数据基础上，对2015年至2018年地区生产总值、三次产业、人均地区生产总值总量和速度进行了修正，三次产业占比及贡献率作相应调整。</w:t>
      </w:r>
    </w:p>
    <w:p>
      <w:pPr>
        <w:widowControl/>
        <w:ind w:firstLine="480" w:firstLineChars="200"/>
        <w:rPr>
          <w:rFonts w:ascii="仿宋" w:hAnsi="仿宋" w:eastAsia="仿宋"/>
          <w:kern w:val="0"/>
          <w:sz w:val="24"/>
          <w:szCs w:val="24"/>
        </w:rPr>
      </w:pPr>
      <w:r>
        <w:rPr>
          <w:rFonts w:hint="eastAsia" w:ascii="仿宋" w:hAnsi="仿宋" w:eastAsia="仿宋"/>
          <w:kern w:val="0"/>
          <w:sz w:val="24"/>
          <w:szCs w:val="24"/>
          <w:lang w:val="en-US" w:eastAsia="zh-CN"/>
        </w:rPr>
        <w:t>3</w:t>
      </w:r>
      <w:r>
        <w:rPr>
          <w:rFonts w:hint="eastAsia" w:ascii="仿宋" w:hAnsi="仿宋" w:eastAsia="仿宋"/>
          <w:kern w:val="0"/>
          <w:sz w:val="24"/>
          <w:szCs w:val="24"/>
        </w:rPr>
        <w:t>、地区生产总值及各产业和各行业增加值指标绝对数按现价计算，增长速度按可比价格计算。</w:t>
      </w:r>
    </w:p>
    <w:p>
      <w:pPr>
        <w:widowControl/>
        <w:ind w:firstLine="480" w:firstLineChars="200"/>
        <w:rPr>
          <w:rFonts w:ascii="仿宋" w:hAnsi="仿宋" w:eastAsia="仿宋"/>
          <w:kern w:val="0"/>
          <w:sz w:val="24"/>
          <w:szCs w:val="24"/>
        </w:rPr>
      </w:pPr>
      <w:r>
        <w:rPr>
          <w:rFonts w:hint="eastAsia" w:ascii="仿宋" w:hAnsi="仿宋" w:eastAsia="仿宋"/>
          <w:kern w:val="0"/>
          <w:sz w:val="24"/>
          <w:szCs w:val="24"/>
          <w:lang w:val="en-US" w:eastAsia="zh-CN"/>
        </w:rPr>
        <w:t>4</w:t>
      </w:r>
      <w:r>
        <w:rPr>
          <w:rFonts w:hint="eastAsia" w:ascii="仿宋" w:hAnsi="仿宋" w:eastAsia="仿宋"/>
          <w:kern w:val="0"/>
          <w:sz w:val="24"/>
          <w:szCs w:val="24"/>
        </w:rPr>
        <w:t>、从2011年开始，纳入规模以上工业统计范围的工业企业起点标准从年主营业务收入500万元提高到2000万元。</w:t>
      </w:r>
    </w:p>
    <w:p>
      <w:pPr>
        <w:widowControl/>
        <w:ind w:firstLine="480" w:firstLineChars="200"/>
        <w:rPr>
          <w:rFonts w:ascii="仿宋" w:hAnsi="仿宋" w:eastAsia="仿宋"/>
          <w:kern w:val="0"/>
          <w:sz w:val="24"/>
          <w:szCs w:val="24"/>
        </w:rPr>
      </w:pPr>
      <w:r>
        <w:rPr>
          <w:rFonts w:hint="eastAsia" w:ascii="仿宋" w:hAnsi="仿宋" w:eastAsia="仿宋"/>
          <w:kern w:val="0"/>
          <w:sz w:val="24"/>
          <w:szCs w:val="24"/>
          <w:lang w:val="en-US" w:eastAsia="zh-CN"/>
        </w:rPr>
        <w:t>5</w:t>
      </w:r>
      <w:r>
        <w:rPr>
          <w:rFonts w:hint="eastAsia" w:ascii="仿宋" w:hAnsi="仿宋" w:eastAsia="仿宋"/>
          <w:kern w:val="0"/>
          <w:sz w:val="24"/>
          <w:szCs w:val="24"/>
        </w:rPr>
        <w:t>、201</w:t>
      </w:r>
      <w:r>
        <w:rPr>
          <w:rFonts w:hint="eastAsia" w:ascii="仿宋" w:hAnsi="仿宋" w:eastAsia="仿宋"/>
          <w:kern w:val="0"/>
          <w:sz w:val="24"/>
          <w:szCs w:val="24"/>
          <w:lang w:val="en-US" w:eastAsia="zh-CN"/>
        </w:rPr>
        <w:t>9</w:t>
      </w:r>
      <w:r>
        <w:rPr>
          <w:rFonts w:hint="eastAsia" w:ascii="仿宋" w:hAnsi="仿宋" w:eastAsia="仿宋"/>
          <w:kern w:val="0"/>
          <w:sz w:val="24"/>
          <w:szCs w:val="24"/>
        </w:rPr>
        <w:t>年年末户籍人口数为公安年报数，是指已在其经常居住地的公安户籍管理机关登记了常住户口的人；常住人口数以自治区统计局反馈的人口变动抽样调查数据为准。</w:t>
      </w:r>
    </w:p>
    <w:p>
      <w:pPr>
        <w:widowControl/>
        <w:ind w:firstLine="480" w:firstLineChars="200"/>
        <w:rPr>
          <w:rFonts w:ascii="仿宋" w:hAnsi="仿宋" w:eastAsia="仿宋"/>
          <w:kern w:val="0"/>
          <w:sz w:val="24"/>
          <w:szCs w:val="24"/>
        </w:rPr>
      </w:pPr>
      <w:r>
        <w:rPr>
          <w:rFonts w:hint="eastAsia" w:ascii="仿宋" w:hAnsi="仿宋" w:eastAsia="仿宋"/>
          <w:kern w:val="0"/>
          <w:sz w:val="24"/>
          <w:szCs w:val="24"/>
          <w:lang w:val="en-US" w:eastAsia="zh-CN"/>
        </w:rPr>
        <w:t>6</w:t>
      </w:r>
      <w:r>
        <w:rPr>
          <w:rFonts w:hint="eastAsia" w:ascii="仿宋" w:hAnsi="仿宋" w:eastAsia="仿宋"/>
          <w:kern w:val="0"/>
          <w:sz w:val="24"/>
          <w:szCs w:val="24"/>
        </w:rPr>
        <w:t>、数据来源：本公报中交通运输业数据来自县交通运输局；邮政、通讯数据来自邮政局、电信局、移动公司、联通公司、网络公司；财政数据来自财政局；金融数据来自人行；教育、卫生、文化数据分别来自县教体局、文化旅游广播电视局、卫计局；就业数据来自就业创业和人才服务局；人口户籍数据来自公安局，常住人口数来自区统计局人口变动抽样调查数据；社会保障数据分别来自民政局、社保局；气象数据来自气象局；安全生产数据来自县安全生产监督管理局；价格指数来自吴忠市调查队，农村居民人均可支配收入、城镇居民人均可支配收入来自国家统计局盐池调查队。</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5AAF"/>
    <w:rsid w:val="00006498"/>
    <w:rsid w:val="000170EE"/>
    <w:rsid w:val="00024F8B"/>
    <w:rsid w:val="00040AD9"/>
    <w:rsid w:val="00042596"/>
    <w:rsid w:val="000559F4"/>
    <w:rsid w:val="00056420"/>
    <w:rsid w:val="0007224C"/>
    <w:rsid w:val="00076C2D"/>
    <w:rsid w:val="00081E4F"/>
    <w:rsid w:val="00084141"/>
    <w:rsid w:val="000905A0"/>
    <w:rsid w:val="0009152C"/>
    <w:rsid w:val="00095283"/>
    <w:rsid w:val="000A4E50"/>
    <w:rsid w:val="000A5B18"/>
    <w:rsid w:val="000A70BE"/>
    <w:rsid w:val="000B2549"/>
    <w:rsid w:val="000C2D30"/>
    <w:rsid w:val="000C5CC2"/>
    <w:rsid w:val="000D0359"/>
    <w:rsid w:val="000D7B21"/>
    <w:rsid w:val="000D7B86"/>
    <w:rsid w:val="000E0191"/>
    <w:rsid w:val="000E0D14"/>
    <w:rsid w:val="001058C1"/>
    <w:rsid w:val="00106D3F"/>
    <w:rsid w:val="00110D83"/>
    <w:rsid w:val="00113598"/>
    <w:rsid w:val="001278D6"/>
    <w:rsid w:val="00130790"/>
    <w:rsid w:val="00133A4F"/>
    <w:rsid w:val="0014663F"/>
    <w:rsid w:val="001516DF"/>
    <w:rsid w:val="00167B0D"/>
    <w:rsid w:val="00170023"/>
    <w:rsid w:val="00173836"/>
    <w:rsid w:val="001742AE"/>
    <w:rsid w:val="001777D5"/>
    <w:rsid w:val="001814F6"/>
    <w:rsid w:val="00182C23"/>
    <w:rsid w:val="00184EAE"/>
    <w:rsid w:val="001863E5"/>
    <w:rsid w:val="00187E24"/>
    <w:rsid w:val="00193462"/>
    <w:rsid w:val="001A2ED9"/>
    <w:rsid w:val="001A728A"/>
    <w:rsid w:val="001A77B8"/>
    <w:rsid w:val="001C64C9"/>
    <w:rsid w:val="001D4DA2"/>
    <w:rsid w:val="001D588A"/>
    <w:rsid w:val="001E0060"/>
    <w:rsid w:val="001E51FF"/>
    <w:rsid w:val="001E57CD"/>
    <w:rsid w:val="001E6BC8"/>
    <w:rsid w:val="001F4659"/>
    <w:rsid w:val="001F7BF8"/>
    <w:rsid w:val="002140FF"/>
    <w:rsid w:val="0021564E"/>
    <w:rsid w:val="00216CB3"/>
    <w:rsid w:val="00227E07"/>
    <w:rsid w:val="00234BA7"/>
    <w:rsid w:val="00235144"/>
    <w:rsid w:val="00236B0B"/>
    <w:rsid w:val="00241B67"/>
    <w:rsid w:val="00254B67"/>
    <w:rsid w:val="00255EC4"/>
    <w:rsid w:val="002609A7"/>
    <w:rsid w:val="002743DD"/>
    <w:rsid w:val="00276492"/>
    <w:rsid w:val="002951DD"/>
    <w:rsid w:val="00295AAF"/>
    <w:rsid w:val="002A1A8E"/>
    <w:rsid w:val="002A3A71"/>
    <w:rsid w:val="002A5D4E"/>
    <w:rsid w:val="002C51FC"/>
    <w:rsid w:val="002C6B2E"/>
    <w:rsid w:val="002D380A"/>
    <w:rsid w:val="002D3D0C"/>
    <w:rsid w:val="002E11FD"/>
    <w:rsid w:val="002F2027"/>
    <w:rsid w:val="00302F3F"/>
    <w:rsid w:val="00303462"/>
    <w:rsid w:val="0032185E"/>
    <w:rsid w:val="00327897"/>
    <w:rsid w:val="0033295D"/>
    <w:rsid w:val="003336DA"/>
    <w:rsid w:val="00337560"/>
    <w:rsid w:val="003417B8"/>
    <w:rsid w:val="0034287D"/>
    <w:rsid w:val="00346B85"/>
    <w:rsid w:val="00351716"/>
    <w:rsid w:val="00353AE6"/>
    <w:rsid w:val="003548BE"/>
    <w:rsid w:val="00355E88"/>
    <w:rsid w:val="003610DA"/>
    <w:rsid w:val="00370F8E"/>
    <w:rsid w:val="0038029C"/>
    <w:rsid w:val="00380D38"/>
    <w:rsid w:val="0038281C"/>
    <w:rsid w:val="0039209C"/>
    <w:rsid w:val="00395E1E"/>
    <w:rsid w:val="003A6BB1"/>
    <w:rsid w:val="003B1C51"/>
    <w:rsid w:val="003C3D48"/>
    <w:rsid w:val="003E4B36"/>
    <w:rsid w:val="00407E7F"/>
    <w:rsid w:val="00411B39"/>
    <w:rsid w:val="004137A5"/>
    <w:rsid w:val="00421F6F"/>
    <w:rsid w:val="004225F9"/>
    <w:rsid w:val="004303F5"/>
    <w:rsid w:val="00434C38"/>
    <w:rsid w:val="00437E5F"/>
    <w:rsid w:val="00442297"/>
    <w:rsid w:val="004433AE"/>
    <w:rsid w:val="004633F2"/>
    <w:rsid w:val="004718A3"/>
    <w:rsid w:val="004756F7"/>
    <w:rsid w:val="0048601F"/>
    <w:rsid w:val="00490FC1"/>
    <w:rsid w:val="0049678F"/>
    <w:rsid w:val="0049794A"/>
    <w:rsid w:val="004A103E"/>
    <w:rsid w:val="004A2C0D"/>
    <w:rsid w:val="004A4B24"/>
    <w:rsid w:val="004A76F4"/>
    <w:rsid w:val="004B3987"/>
    <w:rsid w:val="004B46F7"/>
    <w:rsid w:val="004B4BC6"/>
    <w:rsid w:val="004D7A73"/>
    <w:rsid w:val="004D7BEA"/>
    <w:rsid w:val="004E25A5"/>
    <w:rsid w:val="004E3AB2"/>
    <w:rsid w:val="004F4B2B"/>
    <w:rsid w:val="005061EB"/>
    <w:rsid w:val="00512DE7"/>
    <w:rsid w:val="005237EF"/>
    <w:rsid w:val="0052782A"/>
    <w:rsid w:val="00532835"/>
    <w:rsid w:val="00534E4E"/>
    <w:rsid w:val="00545517"/>
    <w:rsid w:val="00547D47"/>
    <w:rsid w:val="0055520D"/>
    <w:rsid w:val="00571805"/>
    <w:rsid w:val="00571FAB"/>
    <w:rsid w:val="00576A93"/>
    <w:rsid w:val="005874A9"/>
    <w:rsid w:val="005A32F2"/>
    <w:rsid w:val="005A3F20"/>
    <w:rsid w:val="005C4089"/>
    <w:rsid w:val="005C6D7E"/>
    <w:rsid w:val="005C7B07"/>
    <w:rsid w:val="005D09D5"/>
    <w:rsid w:val="005E6552"/>
    <w:rsid w:val="005E6D54"/>
    <w:rsid w:val="005F1572"/>
    <w:rsid w:val="005F5E63"/>
    <w:rsid w:val="005F6BD4"/>
    <w:rsid w:val="0060626E"/>
    <w:rsid w:val="00610AB3"/>
    <w:rsid w:val="006132D3"/>
    <w:rsid w:val="006243A8"/>
    <w:rsid w:val="006253F0"/>
    <w:rsid w:val="006270A8"/>
    <w:rsid w:val="006337C0"/>
    <w:rsid w:val="006356D9"/>
    <w:rsid w:val="0066608B"/>
    <w:rsid w:val="006776E2"/>
    <w:rsid w:val="006812D4"/>
    <w:rsid w:val="00681673"/>
    <w:rsid w:val="00690137"/>
    <w:rsid w:val="00691A16"/>
    <w:rsid w:val="006961A7"/>
    <w:rsid w:val="006A4474"/>
    <w:rsid w:val="006A7D5E"/>
    <w:rsid w:val="006A7E52"/>
    <w:rsid w:val="006B4F57"/>
    <w:rsid w:val="006C643B"/>
    <w:rsid w:val="006E095C"/>
    <w:rsid w:val="006E45B0"/>
    <w:rsid w:val="006E48DF"/>
    <w:rsid w:val="006E5ED9"/>
    <w:rsid w:val="006E769E"/>
    <w:rsid w:val="006F1A1F"/>
    <w:rsid w:val="006F1E32"/>
    <w:rsid w:val="006F35F9"/>
    <w:rsid w:val="007031EB"/>
    <w:rsid w:val="00705E60"/>
    <w:rsid w:val="00707E70"/>
    <w:rsid w:val="00723859"/>
    <w:rsid w:val="00725905"/>
    <w:rsid w:val="00746BAA"/>
    <w:rsid w:val="00752509"/>
    <w:rsid w:val="0076071C"/>
    <w:rsid w:val="007651BB"/>
    <w:rsid w:val="0076645A"/>
    <w:rsid w:val="00781EB3"/>
    <w:rsid w:val="00786D3E"/>
    <w:rsid w:val="007956A0"/>
    <w:rsid w:val="00795F35"/>
    <w:rsid w:val="007B3611"/>
    <w:rsid w:val="007B59FB"/>
    <w:rsid w:val="007B7C98"/>
    <w:rsid w:val="007D3A49"/>
    <w:rsid w:val="007D3FC1"/>
    <w:rsid w:val="007D66E9"/>
    <w:rsid w:val="007E2987"/>
    <w:rsid w:val="007E36E2"/>
    <w:rsid w:val="00800D0C"/>
    <w:rsid w:val="00802205"/>
    <w:rsid w:val="0080787B"/>
    <w:rsid w:val="008103F6"/>
    <w:rsid w:val="00821189"/>
    <w:rsid w:val="00842842"/>
    <w:rsid w:val="00843E35"/>
    <w:rsid w:val="00846233"/>
    <w:rsid w:val="00851D8A"/>
    <w:rsid w:val="00852A4E"/>
    <w:rsid w:val="0087086C"/>
    <w:rsid w:val="008855E8"/>
    <w:rsid w:val="00887B58"/>
    <w:rsid w:val="008971D1"/>
    <w:rsid w:val="008A421F"/>
    <w:rsid w:val="008B05A2"/>
    <w:rsid w:val="008D4F00"/>
    <w:rsid w:val="008E0209"/>
    <w:rsid w:val="008E1684"/>
    <w:rsid w:val="008E1DD6"/>
    <w:rsid w:val="008F539D"/>
    <w:rsid w:val="00903EBD"/>
    <w:rsid w:val="00910B11"/>
    <w:rsid w:val="00914378"/>
    <w:rsid w:val="00926933"/>
    <w:rsid w:val="00941B0A"/>
    <w:rsid w:val="009457E6"/>
    <w:rsid w:val="009477B3"/>
    <w:rsid w:val="00960C4C"/>
    <w:rsid w:val="00970BBA"/>
    <w:rsid w:val="00973460"/>
    <w:rsid w:val="009820D0"/>
    <w:rsid w:val="00982FA1"/>
    <w:rsid w:val="009849E7"/>
    <w:rsid w:val="00984A32"/>
    <w:rsid w:val="00996FAD"/>
    <w:rsid w:val="0099706F"/>
    <w:rsid w:val="009A5BD3"/>
    <w:rsid w:val="009A6081"/>
    <w:rsid w:val="009B2E33"/>
    <w:rsid w:val="009B51AE"/>
    <w:rsid w:val="009C6440"/>
    <w:rsid w:val="009D0BE0"/>
    <w:rsid w:val="00A0596D"/>
    <w:rsid w:val="00A07DD5"/>
    <w:rsid w:val="00A13B26"/>
    <w:rsid w:val="00A15D22"/>
    <w:rsid w:val="00A211BA"/>
    <w:rsid w:val="00A22207"/>
    <w:rsid w:val="00A24889"/>
    <w:rsid w:val="00A24C19"/>
    <w:rsid w:val="00A2627D"/>
    <w:rsid w:val="00A40A92"/>
    <w:rsid w:val="00A41A5C"/>
    <w:rsid w:val="00A4229F"/>
    <w:rsid w:val="00A45B7E"/>
    <w:rsid w:val="00A52D5C"/>
    <w:rsid w:val="00A54C0F"/>
    <w:rsid w:val="00A6032F"/>
    <w:rsid w:val="00A61C0A"/>
    <w:rsid w:val="00A67BD3"/>
    <w:rsid w:val="00A74D52"/>
    <w:rsid w:val="00A83AC5"/>
    <w:rsid w:val="00AA05C0"/>
    <w:rsid w:val="00AA73C9"/>
    <w:rsid w:val="00AC69A0"/>
    <w:rsid w:val="00AD0AA5"/>
    <w:rsid w:val="00AD17E2"/>
    <w:rsid w:val="00AD5068"/>
    <w:rsid w:val="00AD50BD"/>
    <w:rsid w:val="00AE0958"/>
    <w:rsid w:val="00AF14E7"/>
    <w:rsid w:val="00B029C9"/>
    <w:rsid w:val="00B04CED"/>
    <w:rsid w:val="00B11A43"/>
    <w:rsid w:val="00B13354"/>
    <w:rsid w:val="00B15D13"/>
    <w:rsid w:val="00B21EDA"/>
    <w:rsid w:val="00B22BB4"/>
    <w:rsid w:val="00B25F72"/>
    <w:rsid w:val="00B27D18"/>
    <w:rsid w:val="00B3671D"/>
    <w:rsid w:val="00B372E4"/>
    <w:rsid w:val="00B43BE8"/>
    <w:rsid w:val="00B550C0"/>
    <w:rsid w:val="00B60337"/>
    <w:rsid w:val="00B62CDF"/>
    <w:rsid w:val="00B70568"/>
    <w:rsid w:val="00B71987"/>
    <w:rsid w:val="00B749DF"/>
    <w:rsid w:val="00B756D3"/>
    <w:rsid w:val="00B76F4F"/>
    <w:rsid w:val="00B84E37"/>
    <w:rsid w:val="00B93D94"/>
    <w:rsid w:val="00BA3851"/>
    <w:rsid w:val="00BA582D"/>
    <w:rsid w:val="00BB496D"/>
    <w:rsid w:val="00BB50BD"/>
    <w:rsid w:val="00BB6A44"/>
    <w:rsid w:val="00BC20D1"/>
    <w:rsid w:val="00BC22C5"/>
    <w:rsid w:val="00BC36E6"/>
    <w:rsid w:val="00BC555D"/>
    <w:rsid w:val="00BD1D8A"/>
    <w:rsid w:val="00BD279C"/>
    <w:rsid w:val="00BF691E"/>
    <w:rsid w:val="00BF7EE4"/>
    <w:rsid w:val="00C01991"/>
    <w:rsid w:val="00C01E97"/>
    <w:rsid w:val="00C07E2D"/>
    <w:rsid w:val="00C11B58"/>
    <w:rsid w:val="00C138E7"/>
    <w:rsid w:val="00C20D99"/>
    <w:rsid w:val="00C21BA8"/>
    <w:rsid w:val="00C336FA"/>
    <w:rsid w:val="00C3454A"/>
    <w:rsid w:val="00C35C30"/>
    <w:rsid w:val="00C36540"/>
    <w:rsid w:val="00C37CC5"/>
    <w:rsid w:val="00C44097"/>
    <w:rsid w:val="00C47305"/>
    <w:rsid w:val="00C47D4F"/>
    <w:rsid w:val="00C51A11"/>
    <w:rsid w:val="00C611F2"/>
    <w:rsid w:val="00C611FB"/>
    <w:rsid w:val="00C62143"/>
    <w:rsid w:val="00C745AC"/>
    <w:rsid w:val="00C74BA9"/>
    <w:rsid w:val="00C80FF4"/>
    <w:rsid w:val="00C8257C"/>
    <w:rsid w:val="00C85745"/>
    <w:rsid w:val="00CA3DB9"/>
    <w:rsid w:val="00CC7678"/>
    <w:rsid w:val="00CD3EF9"/>
    <w:rsid w:val="00CD5529"/>
    <w:rsid w:val="00CE02C6"/>
    <w:rsid w:val="00CE2519"/>
    <w:rsid w:val="00CF2F6C"/>
    <w:rsid w:val="00D0649E"/>
    <w:rsid w:val="00D16FD3"/>
    <w:rsid w:val="00D226A0"/>
    <w:rsid w:val="00D31EEE"/>
    <w:rsid w:val="00D32584"/>
    <w:rsid w:val="00D3714B"/>
    <w:rsid w:val="00D4447F"/>
    <w:rsid w:val="00D54938"/>
    <w:rsid w:val="00D55A30"/>
    <w:rsid w:val="00D757C1"/>
    <w:rsid w:val="00D75BB8"/>
    <w:rsid w:val="00D84B8C"/>
    <w:rsid w:val="00D86776"/>
    <w:rsid w:val="00DA4627"/>
    <w:rsid w:val="00DB0911"/>
    <w:rsid w:val="00DB0E97"/>
    <w:rsid w:val="00DB3691"/>
    <w:rsid w:val="00DD375D"/>
    <w:rsid w:val="00DD50EA"/>
    <w:rsid w:val="00DF338C"/>
    <w:rsid w:val="00DF6DB9"/>
    <w:rsid w:val="00E02B9F"/>
    <w:rsid w:val="00E108FD"/>
    <w:rsid w:val="00E12915"/>
    <w:rsid w:val="00E14258"/>
    <w:rsid w:val="00E213F7"/>
    <w:rsid w:val="00E30AD7"/>
    <w:rsid w:val="00E42108"/>
    <w:rsid w:val="00E700DA"/>
    <w:rsid w:val="00E71C57"/>
    <w:rsid w:val="00E75D7F"/>
    <w:rsid w:val="00E76962"/>
    <w:rsid w:val="00E8408F"/>
    <w:rsid w:val="00E86183"/>
    <w:rsid w:val="00E94BF3"/>
    <w:rsid w:val="00E975B9"/>
    <w:rsid w:val="00EA33EA"/>
    <w:rsid w:val="00EB25B9"/>
    <w:rsid w:val="00EC3E15"/>
    <w:rsid w:val="00EC5BF0"/>
    <w:rsid w:val="00EC63DB"/>
    <w:rsid w:val="00F07C97"/>
    <w:rsid w:val="00F11342"/>
    <w:rsid w:val="00F201E9"/>
    <w:rsid w:val="00F261EA"/>
    <w:rsid w:val="00F3707D"/>
    <w:rsid w:val="00F37BDC"/>
    <w:rsid w:val="00F40C80"/>
    <w:rsid w:val="00F41C2F"/>
    <w:rsid w:val="00F41E14"/>
    <w:rsid w:val="00F539CE"/>
    <w:rsid w:val="00F73F5F"/>
    <w:rsid w:val="00F75A6A"/>
    <w:rsid w:val="00F94775"/>
    <w:rsid w:val="00FA11FE"/>
    <w:rsid w:val="00FA5C29"/>
    <w:rsid w:val="00FE25D0"/>
    <w:rsid w:val="00FE4892"/>
    <w:rsid w:val="00FE4A1E"/>
    <w:rsid w:val="00FF4447"/>
    <w:rsid w:val="013F583A"/>
    <w:rsid w:val="0182757F"/>
    <w:rsid w:val="01E01E81"/>
    <w:rsid w:val="02660584"/>
    <w:rsid w:val="02DE3B10"/>
    <w:rsid w:val="039F754E"/>
    <w:rsid w:val="03B34807"/>
    <w:rsid w:val="03BF0C97"/>
    <w:rsid w:val="03C309F4"/>
    <w:rsid w:val="03D6250F"/>
    <w:rsid w:val="04170377"/>
    <w:rsid w:val="04EE799F"/>
    <w:rsid w:val="05180AB1"/>
    <w:rsid w:val="060C5D29"/>
    <w:rsid w:val="074827E4"/>
    <w:rsid w:val="08241CC0"/>
    <w:rsid w:val="086E3B8B"/>
    <w:rsid w:val="08D87C6A"/>
    <w:rsid w:val="097E4A8F"/>
    <w:rsid w:val="098563C2"/>
    <w:rsid w:val="09E77B14"/>
    <w:rsid w:val="0A3C6B38"/>
    <w:rsid w:val="0A8B45AB"/>
    <w:rsid w:val="0AA44A81"/>
    <w:rsid w:val="0AD50AE8"/>
    <w:rsid w:val="0B7A23BC"/>
    <w:rsid w:val="0BA21A4C"/>
    <w:rsid w:val="0C467F74"/>
    <w:rsid w:val="0C5B2E17"/>
    <w:rsid w:val="0D981508"/>
    <w:rsid w:val="0E0E48EB"/>
    <w:rsid w:val="0E8F55BF"/>
    <w:rsid w:val="0F105CB0"/>
    <w:rsid w:val="0F2678B8"/>
    <w:rsid w:val="0F291AD8"/>
    <w:rsid w:val="0F580CB1"/>
    <w:rsid w:val="101D254F"/>
    <w:rsid w:val="10F33239"/>
    <w:rsid w:val="114301BD"/>
    <w:rsid w:val="117079AA"/>
    <w:rsid w:val="119021DD"/>
    <w:rsid w:val="11C264B1"/>
    <w:rsid w:val="11C82532"/>
    <w:rsid w:val="12755C42"/>
    <w:rsid w:val="13222302"/>
    <w:rsid w:val="13F53800"/>
    <w:rsid w:val="14F30EEC"/>
    <w:rsid w:val="15346E64"/>
    <w:rsid w:val="15FE783D"/>
    <w:rsid w:val="162D3568"/>
    <w:rsid w:val="16397D24"/>
    <w:rsid w:val="16605592"/>
    <w:rsid w:val="17D93726"/>
    <w:rsid w:val="17E64A40"/>
    <w:rsid w:val="191E38BC"/>
    <w:rsid w:val="1A745055"/>
    <w:rsid w:val="1A8B59A1"/>
    <w:rsid w:val="1ADA01D8"/>
    <w:rsid w:val="1AE232B9"/>
    <w:rsid w:val="1B7F1BAA"/>
    <w:rsid w:val="1B963454"/>
    <w:rsid w:val="1BC62445"/>
    <w:rsid w:val="1C695429"/>
    <w:rsid w:val="1C8A6C1B"/>
    <w:rsid w:val="1D8C250B"/>
    <w:rsid w:val="1DF02FBB"/>
    <w:rsid w:val="1E1625A9"/>
    <w:rsid w:val="1EA6318D"/>
    <w:rsid w:val="1FC472C1"/>
    <w:rsid w:val="1FFB5ACD"/>
    <w:rsid w:val="213E79EB"/>
    <w:rsid w:val="21F97B2A"/>
    <w:rsid w:val="22BC4663"/>
    <w:rsid w:val="22E274F0"/>
    <w:rsid w:val="22E82EAA"/>
    <w:rsid w:val="23C43511"/>
    <w:rsid w:val="2410278A"/>
    <w:rsid w:val="24A860BF"/>
    <w:rsid w:val="26AB04FD"/>
    <w:rsid w:val="26FB714A"/>
    <w:rsid w:val="271118F4"/>
    <w:rsid w:val="283356B6"/>
    <w:rsid w:val="2882769D"/>
    <w:rsid w:val="28DB24F7"/>
    <w:rsid w:val="28F02595"/>
    <w:rsid w:val="2A255779"/>
    <w:rsid w:val="2A336E54"/>
    <w:rsid w:val="2A4817AA"/>
    <w:rsid w:val="2AAB69FF"/>
    <w:rsid w:val="2B6D49DB"/>
    <w:rsid w:val="2C6B033B"/>
    <w:rsid w:val="2D334ABB"/>
    <w:rsid w:val="2D5D13E4"/>
    <w:rsid w:val="2D9C5C1A"/>
    <w:rsid w:val="2EE81833"/>
    <w:rsid w:val="2F2A1F96"/>
    <w:rsid w:val="2F8F3041"/>
    <w:rsid w:val="2FAE4388"/>
    <w:rsid w:val="2FC77E8F"/>
    <w:rsid w:val="307E081E"/>
    <w:rsid w:val="30822541"/>
    <w:rsid w:val="31295B3D"/>
    <w:rsid w:val="312C660F"/>
    <w:rsid w:val="31786079"/>
    <w:rsid w:val="31AE4E17"/>
    <w:rsid w:val="31F31408"/>
    <w:rsid w:val="33BF0AD7"/>
    <w:rsid w:val="341C5F0B"/>
    <w:rsid w:val="34A96B22"/>
    <w:rsid w:val="35AB7429"/>
    <w:rsid w:val="36786B65"/>
    <w:rsid w:val="36CB47C7"/>
    <w:rsid w:val="370A208A"/>
    <w:rsid w:val="37753662"/>
    <w:rsid w:val="38670DB4"/>
    <w:rsid w:val="39954886"/>
    <w:rsid w:val="39BE0C72"/>
    <w:rsid w:val="39D1696A"/>
    <w:rsid w:val="3A2B4D19"/>
    <w:rsid w:val="3A4B7A34"/>
    <w:rsid w:val="3A6B0E13"/>
    <w:rsid w:val="3A991FFF"/>
    <w:rsid w:val="3AD82D91"/>
    <w:rsid w:val="3B021490"/>
    <w:rsid w:val="3BE500EA"/>
    <w:rsid w:val="3C265FC3"/>
    <w:rsid w:val="3C4A5D1B"/>
    <w:rsid w:val="3C982D59"/>
    <w:rsid w:val="3D2678EB"/>
    <w:rsid w:val="3D324706"/>
    <w:rsid w:val="3D3D04A6"/>
    <w:rsid w:val="3D9C0D67"/>
    <w:rsid w:val="3DB87EE2"/>
    <w:rsid w:val="3DCF4587"/>
    <w:rsid w:val="3E9C64F7"/>
    <w:rsid w:val="3EE50257"/>
    <w:rsid w:val="3FA77A94"/>
    <w:rsid w:val="40620380"/>
    <w:rsid w:val="40E71C16"/>
    <w:rsid w:val="41035375"/>
    <w:rsid w:val="41272551"/>
    <w:rsid w:val="41300070"/>
    <w:rsid w:val="42406B4C"/>
    <w:rsid w:val="42DA6017"/>
    <w:rsid w:val="42F02984"/>
    <w:rsid w:val="43037748"/>
    <w:rsid w:val="434444FE"/>
    <w:rsid w:val="43950067"/>
    <w:rsid w:val="439F22B6"/>
    <w:rsid w:val="442463B3"/>
    <w:rsid w:val="443C0D4F"/>
    <w:rsid w:val="46AD05BD"/>
    <w:rsid w:val="475F276A"/>
    <w:rsid w:val="47D520E1"/>
    <w:rsid w:val="49087161"/>
    <w:rsid w:val="4A7978B5"/>
    <w:rsid w:val="4A9E3598"/>
    <w:rsid w:val="4AF15DCB"/>
    <w:rsid w:val="4B2663D9"/>
    <w:rsid w:val="4C77330D"/>
    <w:rsid w:val="4C9812DE"/>
    <w:rsid w:val="4D367786"/>
    <w:rsid w:val="4D7F5BD4"/>
    <w:rsid w:val="4E746D00"/>
    <w:rsid w:val="4EA966B8"/>
    <w:rsid w:val="4F323973"/>
    <w:rsid w:val="4F69241D"/>
    <w:rsid w:val="4F6A0C81"/>
    <w:rsid w:val="4F7275F9"/>
    <w:rsid w:val="50405C9D"/>
    <w:rsid w:val="50701B5C"/>
    <w:rsid w:val="510621A9"/>
    <w:rsid w:val="51B5642E"/>
    <w:rsid w:val="51E625A0"/>
    <w:rsid w:val="51ED5DF9"/>
    <w:rsid w:val="52616F07"/>
    <w:rsid w:val="529464D1"/>
    <w:rsid w:val="53092A1A"/>
    <w:rsid w:val="533E05C7"/>
    <w:rsid w:val="5366580E"/>
    <w:rsid w:val="53C36307"/>
    <w:rsid w:val="53F620AD"/>
    <w:rsid w:val="543C13D6"/>
    <w:rsid w:val="54525AF8"/>
    <w:rsid w:val="54AD4BEE"/>
    <w:rsid w:val="5525746E"/>
    <w:rsid w:val="564377AE"/>
    <w:rsid w:val="5668202D"/>
    <w:rsid w:val="56AE5EE7"/>
    <w:rsid w:val="56E31A68"/>
    <w:rsid w:val="56FB1D4A"/>
    <w:rsid w:val="575F5126"/>
    <w:rsid w:val="576F754A"/>
    <w:rsid w:val="580D2930"/>
    <w:rsid w:val="58C47B86"/>
    <w:rsid w:val="592F0AF4"/>
    <w:rsid w:val="594B7973"/>
    <w:rsid w:val="59AF68B1"/>
    <w:rsid w:val="5A0D1B47"/>
    <w:rsid w:val="5A750199"/>
    <w:rsid w:val="5C1F337F"/>
    <w:rsid w:val="5C8212BA"/>
    <w:rsid w:val="5C886222"/>
    <w:rsid w:val="5CBF435F"/>
    <w:rsid w:val="5D7A4797"/>
    <w:rsid w:val="5DD63A7D"/>
    <w:rsid w:val="5EEE3CFC"/>
    <w:rsid w:val="5F4245BE"/>
    <w:rsid w:val="600C35B5"/>
    <w:rsid w:val="60C3681D"/>
    <w:rsid w:val="613C6CAD"/>
    <w:rsid w:val="616C3C10"/>
    <w:rsid w:val="61B50CAE"/>
    <w:rsid w:val="61D9249E"/>
    <w:rsid w:val="636256D0"/>
    <w:rsid w:val="63A67D8E"/>
    <w:rsid w:val="64172803"/>
    <w:rsid w:val="642839B3"/>
    <w:rsid w:val="64727CE5"/>
    <w:rsid w:val="653D5A07"/>
    <w:rsid w:val="65D77B80"/>
    <w:rsid w:val="66763444"/>
    <w:rsid w:val="670B4FA4"/>
    <w:rsid w:val="672B3D72"/>
    <w:rsid w:val="67BA39E4"/>
    <w:rsid w:val="680A422E"/>
    <w:rsid w:val="68214BE0"/>
    <w:rsid w:val="68514794"/>
    <w:rsid w:val="68854509"/>
    <w:rsid w:val="68862565"/>
    <w:rsid w:val="68E85401"/>
    <w:rsid w:val="69A036CF"/>
    <w:rsid w:val="6A0A5D5D"/>
    <w:rsid w:val="6B3171B2"/>
    <w:rsid w:val="6B5D6E56"/>
    <w:rsid w:val="6C776D59"/>
    <w:rsid w:val="6C7B6D26"/>
    <w:rsid w:val="6E845E6D"/>
    <w:rsid w:val="6EFD33A8"/>
    <w:rsid w:val="7038609C"/>
    <w:rsid w:val="7084302D"/>
    <w:rsid w:val="70CD2BAB"/>
    <w:rsid w:val="70F24F07"/>
    <w:rsid w:val="71EE3D0C"/>
    <w:rsid w:val="71F617C0"/>
    <w:rsid w:val="71F67267"/>
    <w:rsid w:val="72347B59"/>
    <w:rsid w:val="724D2B54"/>
    <w:rsid w:val="726A6810"/>
    <w:rsid w:val="72C27028"/>
    <w:rsid w:val="73154F11"/>
    <w:rsid w:val="73510306"/>
    <w:rsid w:val="739F5B01"/>
    <w:rsid w:val="74457471"/>
    <w:rsid w:val="746D3ECF"/>
    <w:rsid w:val="74906420"/>
    <w:rsid w:val="74D70F7E"/>
    <w:rsid w:val="74F05CAE"/>
    <w:rsid w:val="77131112"/>
    <w:rsid w:val="779F6FC0"/>
    <w:rsid w:val="77BF5C51"/>
    <w:rsid w:val="77F81B30"/>
    <w:rsid w:val="78921E26"/>
    <w:rsid w:val="78B7154B"/>
    <w:rsid w:val="78D7620B"/>
    <w:rsid w:val="79506391"/>
    <w:rsid w:val="79855C28"/>
    <w:rsid w:val="79C60FB7"/>
    <w:rsid w:val="79CF11E1"/>
    <w:rsid w:val="7C613965"/>
    <w:rsid w:val="7C802320"/>
    <w:rsid w:val="7C8A762B"/>
    <w:rsid w:val="7D460A51"/>
    <w:rsid w:val="7D735418"/>
    <w:rsid w:val="7DB30E9D"/>
    <w:rsid w:val="7E7E3018"/>
    <w:rsid w:val="7F21214A"/>
    <w:rsid w:val="7F797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b/>
      <w:bCs/>
      <w:sz w:val="32"/>
      <w:szCs w:val="32"/>
    </w:rPr>
  </w:style>
  <w:style w:type="paragraph" w:styleId="3">
    <w:name w:val="Balloon Text"/>
    <w:basedOn w:val="1"/>
    <w:link w:val="10"/>
    <w:semiHidden/>
    <w:unhideWhenUsed/>
    <w:qFormat/>
    <w:uiPriority w:val="99"/>
    <w:rPr>
      <w:sz w:val="16"/>
      <w:szCs w:val="16"/>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customStyle="1" w:styleId="10">
    <w:name w:val="批注框文本 Char"/>
    <w:basedOn w:val="8"/>
    <w:link w:val="3"/>
    <w:semiHidden/>
    <w:qFormat/>
    <w:uiPriority w:val="99"/>
    <w:rPr>
      <w:sz w:val="16"/>
      <w:szCs w:val="16"/>
    </w:rPr>
  </w:style>
  <w:style w:type="character" w:customStyle="1" w:styleId="11">
    <w:name w:val="biaozhun"/>
    <w:basedOn w:val="8"/>
    <w:qFormat/>
    <w:uiPriority w:val="0"/>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customStyle="1" w:styleId="14">
    <w:name w:val="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chart" Target="charts/chart9.xml"/><Relationship Id="rId11" Type="http://schemas.openxmlformats.org/officeDocument/2006/relationships/chart" Target="charts/chart8.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32479;&#35745;&#20844;&#25253;\2018&#24180;&#32479;&#35745;&#20844;&#25253;&#29992;&#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32479;&#35745;&#20844;&#25253;\2018&#24180;&#32479;&#35745;&#20844;&#25253;&#29992;&#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2479;&#35745;&#20844;&#25253;\2018&#24180;&#32479;&#35745;&#20844;&#25253;&#29992;&#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2479;&#35745;&#20844;&#25253;\2018&#24180;&#32479;&#35745;&#20844;&#25253;&#29992;&#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32479;&#35745;&#20844;&#25253;\2018&#24180;&#32479;&#35745;&#20844;&#25253;&#29992;&#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32479;&#35745;&#20844;&#25253;\2018&#24180;&#32479;&#35745;&#20844;&#25253;&#29992;&#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E:\&#32479;&#35745;&#20844;&#25253;\2018&#24180;&#32479;&#35745;&#20844;&#25253;&#29992;&#22270;.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32479;&#35745;&#20844;&#25253;\2018&#24180;&#32479;&#35745;&#20844;&#25253;&#29992;&#22270;.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E:\&#32479;&#35745;&#20844;&#25253;\2018&#24180;&#32479;&#35745;&#20844;&#25253;&#2999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65000"/>
                    <a:lumOff val="35000"/>
                  </a:schemeClr>
                </a:solidFill>
                <a:latin typeface="+mn-lt"/>
                <a:ea typeface="+mn-ea"/>
                <a:cs typeface="+mn-cs"/>
              </a:defRPr>
            </a:pPr>
            <a:r>
              <a:rPr lang="en-US" altLang="zh-CN" sz="1200" b="0"/>
              <a:t>2015-2019</a:t>
            </a:r>
            <a:r>
              <a:rPr altLang="en-US" sz="1200" b="0"/>
              <a:t>年地区生产总值总量及增长图     单位：万元  </a:t>
            </a:r>
            <a:r>
              <a:rPr lang="en-US" altLang="zh-CN" sz="1200" b="0"/>
              <a:t>%  </a:t>
            </a:r>
            <a:endParaRPr lang="en-US" altLang="zh-CN" sz="1400" b="0"/>
          </a:p>
          <a:p>
            <a:pPr defTabSz="914400">
              <a:defRPr lang="zh-CN" sz="1400" b="1" i="0" u="none" strike="noStrike" kern="1200" baseline="0">
                <a:solidFill>
                  <a:schemeClr val="tx1">
                    <a:lumMod val="65000"/>
                    <a:lumOff val="35000"/>
                  </a:schemeClr>
                </a:solidFill>
                <a:latin typeface="+mn-lt"/>
                <a:ea typeface="+mn-ea"/>
                <a:cs typeface="+mn-cs"/>
              </a:defRPr>
            </a:pPr>
            <a:r>
              <a:rPr altLang="en-US" sz="1200" b="0"/>
              <a:t>年均增长</a:t>
            </a:r>
            <a:r>
              <a:rPr lang="en-US" altLang="zh-CN" sz="1200" b="0"/>
              <a:t>10.9%</a:t>
            </a:r>
            <a:endParaRPr lang="en-US" altLang="zh-CN" sz="1200" b="0"/>
          </a:p>
        </c:rich>
      </c:tx>
      <c:layout>
        <c:manualLayout>
          <c:xMode val="edge"/>
          <c:yMode val="edge"/>
          <c:x val="0.0785454709818683"/>
          <c:y val="0.0160978750804894"/>
        </c:manualLayout>
      </c:layout>
      <c:overlay val="0"/>
      <c:spPr>
        <a:noFill/>
        <a:ln>
          <a:noFill/>
        </a:ln>
        <a:effectLst/>
      </c:spPr>
    </c:title>
    <c:autoTitleDeleted val="0"/>
    <c:plotArea>
      <c:layout/>
      <c:barChart>
        <c:barDir val="col"/>
        <c:grouping val="clustered"/>
        <c:varyColors val="0"/>
        <c:ser>
          <c:idx val="0"/>
          <c:order val="0"/>
          <c:spPr>
            <a:gradFill flip="none" rotWithShape="1">
              <a:gsLst>
                <a:gs pos="0">
                  <a:srgbClr val="9EE256"/>
                </a:gs>
                <a:gs pos="100000">
                  <a:srgbClr val="52762D"/>
                </a:gs>
              </a:gsLst>
              <a:lin ang="16200000" scaled="0"/>
            </a:gradFill>
            <a:ln>
              <a:noFill/>
            </a:ln>
            <a:effectLst>
              <a:outerShdw blurRad="40000" dist="23000" dir="5400000" rotWithShape="0">
                <a:srgbClr val="000000">
                  <a:alpha val="35000"/>
                </a:srgbClr>
              </a:outerShdw>
            </a:effectLst>
          </c:spPr>
          <c:invertIfNegative val="0"/>
          <c:dLbls>
            <c:dLbl>
              <c:idx val="2"/>
              <c:layout>
                <c:manualLayout>
                  <c:x val="-0.0311986863711002"/>
                  <c:y val="0.028852318871553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[2018年统计公报用图.xlsx]Sheet1!$A$1:$A$5</c:f>
              <c:strCache>
                <c:ptCount val="5"/>
                <c:pt idx="0">
                  <c:v>2015年</c:v>
                </c:pt>
                <c:pt idx="1">
                  <c:v>2016年</c:v>
                </c:pt>
                <c:pt idx="2">
                  <c:v>2017年</c:v>
                </c:pt>
                <c:pt idx="3">
                  <c:v>2018年</c:v>
                </c:pt>
                <c:pt idx="4">
                  <c:v>2019年</c:v>
                </c:pt>
              </c:strCache>
            </c:strRef>
          </c:cat>
          <c:val>
            <c:numRef>
              <c:f>[2018年统计公报用图.xlsx]Sheet1!$B$1:$B$5</c:f>
              <c:numCache>
                <c:formatCode>General</c:formatCode>
                <c:ptCount val="5"/>
                <c:pt idx="0">
                  <c:v>608345</c:v>
                </c:pt>
                <c:pt idx="1">
                  <c:v>696074</c:v>
                </c:pt>
                <c:pt idx="2">
                  <c:v>833936</c:v>
                </c:pt>
                <c:pt idx="3">
                  <c:v>997191</c:v>
                </c:pt>
                <c:pt idx="4">
                  <c:v>1056416</c:v>
                </c:pt>
              </c:numCache>
            </c:numRef>
          </c:val>
        </c:ser>
        <c:dLbls>
          <c:showLegendKey val="0"/>
          <c:showVal val="1"/>
          <c:showCatName val="0"/>
          <c:showSerName val="0"/>
          <c:showPercent val="0"/>
          <c:showBubbleSize val="0"/>
        </c:dLbls>
        <c:gapWidth val="150"/>
        <c:overlap val="0"/>
        <c:axId val="385969222"/>
        <c:axId val="926892854"/>
      </c:barChart>
      <c:lineChart>
        <c:grouping val="standard"/>
        <c:varyColors val="0"/>
        <c:ser>
          <c:idx val="1"/>
          <c:order val="1"/>
          <c:spPr>
            <a:ln w="53975" cap="rnd" cmpd="thickThin">
              <a:solidFill>
                <a:schemeClr val="accent2"/>
              </a:solidFill>
              <a:prstDash val="sysDash"/>
              <a:round/>
              <a:headEnd type="diamond"/>
              <a:tailEnd type="diamond"/>
            </a:ln>
            <a:effectLst>
              <a:outerShdw blurRad="40000" dist="23000" dir="5400000" rotWithShape="0">
                <a:srgbClr val="000000">
                  <a:alpha val="35000"/>
                </a:srgbClr>
              </a:outerShdw>
            </a:effectLst>
          </c:spPr>
          <c:marker>
            <c:symbol val="none"/>
          </c:marker>
          <c:dLbls>
            <c:dLbl>
              <c:idx val="2"/>
              <c:layout>
                <c:manualLayout>
                  <c:x val="0.0328407224958949"/>
                  <c:y val="-0.041675571703355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11986863711002"/>
                  <c:y val="-0.0064116264159008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29885057471264"/>
                  <c:y val="0.0064116264159008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[2018年统计公报用图.xlsx]Sheet1!$A$1:$A$5</c:f>
              <c:strCache>
                <c:ptCount val="5"/>
                <c:pt idx="0">
                  <c:v>2015年</c:v>
                </c:pt>
                <c:pt idx="1">
                  <c:v>2016年</c:v>
                </c:pt>
                <c:pt idx="2">
                  <c:v>2017年</c:v>
                </c:pt>
                <c:pt idx="3">
                  <c:v>2018年</c:v>
                </c:pt>
                <c:pt idx="4">
                  <c:v>2019年</c:v>
                </c:pt>
              </c:strCache>
            </c:strRef>
          </c:cat>
          <c:val>
            <c:numRef>
              <c:f>[2018年统计公报用图.xlsx]Sheet1!$C$1:$C$5</c:f>
              <c:numCache>
                <c:formatCode>General</c:formatCode>
                <c:ptCount val="5"/>
                <c:pt idx="0">
                  <c:v>15.5</c:v>
                </c:pt>
                <c:pt idx="1">
                  <c:v>12.4</c:v>
                </c:pt>
                <c:pt idx="2">
                  <c:v>9.9</c:v>
                </c:pt>
                <c:pt idx="3">
                  <c:v>10.1</c:v>
                </c:pt>
                <c:pt idx="4" c:formatCode="0.0_ ">
                  <c:v>8</c:v>
                </c:pt>
              </c:numCache>
            </c:numRef>
          </c:val>
          <c:smooth val="0"/>
        </c:ser>
        <c:dLbls>
          <c:showLegendKey val="0"/>
          <c:showVal val="1"/>
          <c:showCatName val="0"/>
          <c:showSerName val="0"/>
          <c:showPercent val="0"/>
          <c:showBubbleSize val="0"/>
        </c:dLbls>
        <c:marker val="0"/>
        <c:smooth val="0"/>
        <c:axId val="325706564"/>
        <c:axId val="143653367"/>
      </c:lineChart>
      <c:catAx>
        <c:axId val="385969222"/>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6892854"/>
        <c:crosses val="autoZero"/>
        <c:auto val="1"/>
        <c:lblAlgn val="ctr"/>
        <c:lblOffset val="100"/>
        <c:noMultiLvlLbl val="0"/>
      </c:catAx>
      <c:valAx>
        <c:axId val="9268928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28575" cmpd="sng">
            <a:solidFill>
              <a:schemeClr val="accent1"/>
            </a:solidFill>
            <a:prstDash val="soli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5969222"/>
        <c:crosses val="autoZero"/>
        <c:crossBetween val="between"/>
      </c:valAx>
      <c:catAx>
        <c:axId val="325706564"/>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653367"/>
        <c:crosses val="autoZero"/>
        <c:auto val="1"/>
        <c:lblAlgn val="ctr"/>
        <c:lblOffset val="100"/>
        <c:noMultiLvlLbl val="0"/>
      </c:catAx>
      <c:valAx>
        <c:axId val="143653367"/>
        <c:scaling>
          <c:orientation val="minMax"/>
        </c:scaling>
        <c:delete val="0"/>
        <c:axPos val="r"/>
        <c:numFmt formatCode="General" sourceLinked="1"/>
        <c:majorTickMark val="out"/>
        <c:minorTickMark val="none"/>
        <c:tickLblPos val="nextTo"/>
        <c:spPr>
          <a:noFill/>
          <a:ln w="28575" cmpd="sng">
            <a:solidFill>
              <a:schemeClr val="accent1"/>
            </a:solidFill>
            <a:prstDash val="soli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5706564"/>
        <c:crosses val="max"/>
        <c:crossBetween val="between"/>
      </c:valAx>
      <c:spPr>
        <a:noFill/>
        <a:ln>
          <a:noFill/>
        </a:ln>
        <a:effectLst/>
      </c:spPr>
    </c:plotArea>
    <c:plotVisOnly val="1"/>
    <c:dispBlanksAs val="gap"/>
    <c:showDLblsOverMax val="0"/>
  </c:chart>
  <c:spPr>
    <a:solidFill>
      <a:schemeClr val="bg1"/>
    </a:solidFill>
    <a:ln w="4127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2015-2019</a:t>
            </a:r>
            <a:r>
              <a:rPr altLang="en-US"/>
              <a:t>年地区生产总值构成图     单位：</a:t>
            </a:r>
            <a:r>
              <a:rPr lang="en-US" altLang="zh-CN"/>
              <a:t>%</a:t>
            </a:r>
            <a:endParaRPr lang="en-US" altLang="zh-CN"/>
          </a:p>
        </c:rich>
      </c:tx>
      <c:layout>
        <c:manualLayout>
          <c:xMode val="edge"/>
          <c:yMode val="edge"/>
          <c:x val="0.209131429948199"/>
          <c:y val="0.0320375907731739"/>
        </c:manualLayout>
      </c:layout>
      <c:overlay val="0"/>
      <c:spPr>
        <a:noFill/>
        <a:ln>
          <a:noFill/>
        </a:ln>
        <a:effectLst/>
      </c:spPr>
    </c:title>
    <c:autoTitleDeleted val="0"/>
    <c:plotArea>
      <c:layout/>
      <c:barChart>
        <c:barDir val="col"/>
        <c:grouping val="percentStacked"/>
        <c:varyColors val="0"/>
        <c:ser>
          <c:idx val="0"/>
          <c:order val="0"/>
          <c:tx>
            <c:strRef>
              <c:f>[2018年统计公报用图.xlsx]Sheet1!$B$19</c:f>
              <c:strCache>
                <c:ptCount val="1"/>
                <c:pt idx="0">
                  <c:v>一产 </c:v>
                </c:pt>
              </c:strCache>
            </c:strRef>
          </c:tx>
          <c:spPr>
            <a:gradFill>
              <a:gsLst>
                <a:gs pos="0">
                  <a:srgbClr val="FF0000"/>
                </a:gs>
                <a:gs pos="100000">
                  <a:srgbClr val="52762D"/>
                </a:gs>
              </a:gsLst>
              <a:lin ang="162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[2018年统计公报用图.xlsx]Sheet1!$A$20:$A$24</c:f>
              <c:strCache>
                <c:ptCount val="5"/>
                <c:pt idx="0">
                  <c:v>2015年</c:v>
                </c:pt>
                <c:pt idx="1">
                  <c:v>2016年</c:v>
                </c:pt>
                <c:pt idx="2">
                  <c:v>2017年</c:v>
                </c:pt>
                <c:pt idx="3">
                  <c:v>2018年</c:v>
                </c:pt>
                <c:pt idx="4">
                  <c:v>2019年</c:v>
                </c:pt>
              </c:strCache>
            </c:strRef>
          </c:cat>
          <c:val>
            <c:numRef>
              <c:f>[2018年统计公报用图.xlsx]Sheet1!$B$20:$B$24</c:f>
              <c:numCache>
                <c:formatCode>0.0_ </c:formatCode>
                <c:ptCount val="5"/>
                <c:pt idx="0">
                  <c:v>9.7</c:v>
                </c:pt>
                <c:pt idx="1">
                  <c:v>8.9</c:v>
                </c:pt>
                <c:pt idx="2">
                  <c:v>7.6</c:v>
                </c:pt>
                <c:pt idx="3">
                  <c:v>7.4</c:v>
                </c:pt>
                <c:pt idx="4">
                  <c:v>8.1</c:v>
                </c:pt>
              </c:numCache>
            </c:numRef>
          </c:val>
        </c:ser>
        <c:ser>
          <c:idx val="1"/>
          <c:order val="1"/>
          <c:tx>
            <c:strRef>
              <c:f>[2018年统计公报用图.xlsx]Sheet1!$C$19</c:f>
              <c:strCache>
                <c:ptCount val="1"/>
                <c:pt idx="0">
                  <c:v>二产</c:v>
                </c:pt>
              </c:strCache>
            </c:strRef>
          </c:tx>
          <c:spPr>
            <a:gradFill>
              <a:gsLst>
                <a:gs pos="0">
                  <a:schemeClr val="accent3"/>
                </a:gs>
                <a:gs pos="100000">
                  <a:srgbClr val="52762D"/>
                </a:gs>
              </a:gsLst>
              <a:lin ang="162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[2018年统计公报用图.xlsx]Sheet1!$A$20:$A$24</c:f>
              <c:strCache>
                <c:ptCount val="5"/>
                <c:pt idx="0">
                  <c:v>2015年</c:v>
                </c:pt>
                <c:pt idx="1">
                  <c:v>2016年</c:v>
                </c:pt>
                <c:pt idx="2">
                  <c:v>2017年</c:v>
                </c:pt>
                <c:pt idx="3">
                  <c:v>2018年</c:v>
                </c:pt>
                <c:pt idx="4">
                  <c:v>2019年</c:v>
                </c:pt>
              </c:strCache>
            </c:strRef>
          </c:cat>
          <c:val>
            <c:numRef>
              <c:f>[2018年统计公报用图.xlsx]Sheet1!$C$20:$C$24</c:f>
              <c:numCache>
                <c:formatCode>0.0_ </c:formatCode>
                <c:ptCount val="5"/>
                <c:pt idx="0">
                  <c:v>48.8</c:v>
                </c:pt>
                <c:pt idx="1">
                  <c:v>48.7</c:v>
                </c:pt>
                <c:pt idx="2">
                  <c:v>52.5</c:v>
                </c:pt>
                <c:pt idx="3">
                  <c:v>53.8</c:v>
                </c:pt>
                <c:pt idx="4">
                  <c:v>52.1</c:v>
                </c:pt>
              </c:numCache>
            </c:numRef>
          </c:val>
        </c:ser>
        <c:ser>
          <c:idx val="2"/>
          <c:order val="2"/>
          <c:tx>
            <c:strRef>
              <c:f>[2018年统计公报用图.xlsx]Sheet1!$D$19</c:f>
              <c:strCache>
                <c:ptCount val="1"/>
                <c:pt idx="0">
                  <c:v>三产</c:v>
                </c:pt>
              </c:strCache>
            </c:strRef>
          </c:tx>
          <c:spPr>
            <a:gradFill>
              <a:gsLst>
                <a:gs pos="0">
                  <a:schemeClr val="accent1"/>
                </a:gs>
                <a:gs pos="100000">
                  <a:srgbClr val="52762D"/>
                </a:gs>
              </a:gsLst>
              <a:lin ang="162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[2018年统计公报用图.xlsx]Sheet1!$A$20:$A$24</c:f>
              <c:strCache>
                <c:ptCount val="5"/>
                <c:pt idx="0">
                  <c:v>2015年</c:v>
                </c:pt>
                <c:pt idx="1">
                  <c:v>2016年</c:v>
                </c:pt>
                <c:pt idx="2">
                  <c:v>2017年</c:v>
                </c:pt>
                <c:pt idx="3">
                  <c:v>2018年</c:v>
                </c:pt>
                <c:pt idx="4">
                  <c:v>2019年</c:v>
                </c:pt>
              </c:strCache>
            </c:strRef>
          </c:cat>
          <c:val>
            <c:numRef>
              <c:f>[2018年统计公报用图.xlsx]Sheet1!$D$20:$D$24</c:f>
              <c:numCache>
                <c:formatCode>0.0_ </c:formatCode>
                <c:ptCount val="5"/>
                <c:pt idx="0">
                  <c:v>41.5</c:v>
                </c:pt>
                <c:pt idx="1">
                  <c:v>42.4</c:v>
                </c:pt>
                <c:pt idx="2">
                  <c:v>39.9</c:v>
                </c:pt>
                <c:pt idx="3">
                  <c:v>38.8</c:v>
                </c:pt>
                <c:pt idx="4">
                  <c:v>39.8</c:v>
                </c:pt>
              </c:numCache>
            </c:numRef>
          </c:val>
        </c:ser>
        <c:dLbls>
          <c:showLegendKey val="0"/>
          <c:showVal val="1"/>
          <c:showCatName val="0"/>
          <c:showSerName val="0"/>
          <c:showPercent val="0"/>
          <c:showBubbleSize val="0"/>
        </c:dLbls>
        <c:gapWidth val="150"/>
        <c:overlap val="100"/>
        <c:axId val="864047844"/>
        <c:axId val="216537121"/>
      </c:barChart>
      <c:catAx>
        <c:axId val="8640478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6537121"/>
        <c:crosses val="autoZero"/>
        <c:auto val="1"/>
        <c:lblAlgn val="ctr"/>
        <c:lblOffset val="100"/>
        <c:noMultiLvlLbl val="0"/>
      </c:catAx>
      <c:valAx>
        <c:axId val="21653712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4047844"/>
        <c:crosses val="autoZero"/>
        <c:crossBetween val="between"/>
      </c:valAx>
      <c:spPr>
        <a:noFill/>
        <a:ln>
          <a:noFill/>
        </a:ln>
        <a:effectLst/>
      </c:spPr>
    </c:plotArea>
    <c:legend>
      <c:legendPos val="b"/>
      <c:layout>
        <c:manualLayout>
          <c:xMode val="edge"/>
          <c:yMode val="edge"/>
          <c:x val="0.394985754985755"/>
          <c:y val="0.874924227116589"/>
          <c:w val="0.271225071225071"/>
          <c:h val="0.10082845019195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38100"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050"/>
              <a:t>2015-2019</a:t>
            </a:r>
            <a:r>
              <a:rPr altLang="en-US" sz="1050"/>
              <a:t>年工业增加值总量及增长图     单位：万元   </a:t>
            </a:r>
            <a:r>
              <a:rPr lang="en-US" altLang="zh-CN" sz="1050"/>
              <a:t>%  </a:t>
            </a:r>
            <a:endParaRPr lang="en-US" altLang="zh-CN" sz="1050"/>
          </a:p>
          <a:p>
            <a:pPr defTabSz="914400">
              <a:defRPr lang="zh-CN" sz="1400" b="0" i="0" u="none" strike="noStrike" kern="1200" spc="0" baseline="0">
                <a:solidFill>
                  <a:schemeClr val="tx1">
                    <a:lumMod val="65000"/>
                    <a:lumOff val="35000"/>
                  </a:schemeClr>
                </a:solidFill>
                <a:latin typeface="+mn-lt"/>
                <a:ea typeface="+mn-ea"/>
                <a:cs typeface="+mn-cs"/>
              </a:defRPr>
            </a:pPr>
            <a:r>
              <a:rPr altLang="en-US" sz="1050"/>
              <a:t>年均增长</a:t>
            </a:r>
            <a:r>
              <a:rPr lang="en-US" altLang="zh-CN" sz="1050"/>
              <a:t>15.7%</a:t>
            </a:r>
            <a:endParaRPr lang="en-US" altLang="zh-CN" sz="1050"/>
          </a:p>
        </c:rich>
      </c:tx>
      <c:layout>
        <c:manualLayout>
          <c:xMode val="edge"/>
          <c:yMode val="edge"/>
          <c:x val="0.169950396825397"/>
          <c:y val="0.0184027777777778"/>
        </c:manualLayout>
      </c:layout>
      <c:overlay val="0"/>
      <c:spPr>
        <a:noFill/>
        <a:ln>
          <a:noFill/>
        </a:ln>
        <a:effectLst/>
      </c:spPr>
    </c:title>
    <c:autoTitleDeleted val="0"/>
    <c:plotArea>
      <c:layout/>
      <c:barChart>
        <c:barDir val="col"/>
        <c:grouping val="clustered"/>
        <c:varyColors val="0"/>
        <c:ser>
          <c:idx val="0"/>
          <c:order val="0"/>
          <c:spPr>
            <a:gradFill>
              <a:gsLst>
                <a:gs pos="0">
                  <a:srgbClr val="007BD3"/>
                </a:gs>
                <a:gs pos="100000">
                  <a:srgbClr val="034373"/>
                </a:gs>
              </a:gsLst>
              <a:lin ang="162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[2018年统计公报用图.xlsx]Sheet1!$A$36:$A$40</c:f>
              <c:strCache>
                <c:ptCount val="5"/>
                <c:pt idx="0">
                  <c:v>2015年</c:v>
                </c:pt>
                <c:pt idx="1">
                  <c:v>2016年</c:v>
                </c:pt>
                <c:pt idx="2">
                  <c:v>2017年</c:v>
                </c:pt>
                <c:pt idx="3">
                  <c:v>2018年</c:v>
                </c:pt>
                <c:pt idx="4">
                  <c:v>2019年</c:v>
                </c:pt>
              </c:strCache>
            </c:strRef>
          </c:cat>
          <c:val>
            <c:numRef>
              <c:f>[2018年统计公报用图.xlsx]Sheet1!$B$36:$B$40</c:f>
              <c:numCache>
                <c:formatCode>General</c:formatCode>
                <c:ptCount val="5"/>
                <c:pt idx="0">
                  <c:v>219956</c:v>
                </c:pt>
                <c:pt idx="1">
                  <c:v>253321</c:v>
                </c:pt>
                <c:pt idx="2">
                  <c:v>343877</c:v>
                </c:pt>
                <c:pt idx="3">
                  <c:v>394677</c:v>
                </c:pt>
                <c:pt idx="4">
                  <c:v>440680</c:v>
                </c:pt>
              </c:numCache>
            </c:numRef>
          </c:val>
        </c:ser>
        <c:dLbls>
          <c:showLegendKey val="0"/>
          <c:showVal val="1"/>
          <c:showCatName val="0"/>
          <c:showSerName val="0"/>
          <c:showPercent val="0"/>
          <c:showBubbleSize val="0"/>
        </c:dLbls>
        <c:gapWidth val="150"/>
        <c:overlap val="0"/>
        <c:axId val="154759763"/>
        <c:axId val="285992419"/>
      </c:barChart>
      <c:lineChart>
        <c:grouping val="standard"/>
        <c:varyColors val="0"/>
        <c:ser>
          <c:idx val="1"/>
          <c:order val="1"/>
          <c:spPr>
            <a:ln w="41275" cap="rnd" cmpd="sng">
              <a:solidFill>
                <a:srgbClr val="00B050"/>
              </a:solidFill>
              <a:prstDash val="dashDot"/>
              <a:round/>
              <a:headEnd type="oval"/>
              <a:tailEnd type="oval"/>
            </a:ln>
            <a:effectLst/>
          </c:spPr>
          <c:marker>
            <c:symbol val="none"/>
          </c:marker>
          <c:dPt>
            <c:idx val="1"/>
            <c:marker>
              <c:symbol val="none"/>
            </c:marker>
            <c:bubble3D val="0"/>
            <c:spPr>
              <a:ln w="41275" cap="rnd" cmpd="sng">
                <a:solidFill>
                  <a:srgbClr val="00B050"/>
                </a:solidFill>
                <a:prstDash val="dashDot"/>
                <a:round/>
                <a:headEnd type="oval"/>
                <a:tailEnd type="oval"/>
              </a:ln>
              <a:effectLst/>
            </c:spPr>
          </c:dPt>
          <c:dLbls>
            <c:dLbl>
              <c:idx val="1"/>
              <c:layout>
                <c:manualLayout>
                  <c:x val="0"/>
                  <c:y val="-0.04062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85714285714286"/>
                  <c:y val="-0.03437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67857142857143"/>
                  <c:y val="-0.02187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60714285714286"/>
                  <c:y val="0.01562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[2018年统计公报用图.xlsx]Sheet1!$A$36:$A$40</c:f>
              <c:strCache>
                <c:ptCount val="5"/>
                <c:pt idx="0">
                  <c:v>2015年</c:v>
                </c:pt>
                <c:pt idx="1">
                  <c:v>2016年</c:v>
                </c:pt>
                <c:pt idx="2">
                  <c:v>2017年</c:v>
                </c:pt>
                <c:pt idx="3">
                  <c:v>2018年</c:v>
                </c:pt>
                <c:pt idx="4">
                  <c:v>2019年</c:v>
                </c:pt>
              </c:strCache>
            </c:strRef>
          </c:cat>
          <c:val>
            <c:numRef>
              <c:f>[2018年统计公报用图.xlsx]Sheet1!$C$36:$C$40</c:f>
              <c:numCache>
                <c:formatCode>0.0_ </c:formatCode>
                <c:ptCount val="5"/>
                <c:pt idx="0">
                  <c:v>20.9</c:v>
                </c:pt>
                <c:pt idx="1">
                  <c:v>16</c:v>
                </c:pt>
                <c:pt idx="2">
                  <c:v>16.2</c:v>
                </c:pt>
                <c:pt idx="3">
                  <c:v>14</c:v>
                </c:pt>
                <c:pt idx="4">
                  <c:v>12.5</c:v>
                </c:pt>
              </c:numCache>
            </c:numRef>
          </c:val>
          <c:smooth val="0"/>
        </c:ser>
        <c:dLbls>
          <c:showLegendKey val="0"/>
          <c:showVal val="1"/>
          <c:showCatName val="0"/>
          <c:showSerName val="0"/>
          <c:showPercent val="0"/>
          <c:showBubbleSize val="0"/>
        </c:dLbls>
        <c:marker val="0"/>
        <c:smooth val="0"/>
        <c:axId val="417397276"/>
        <c:axId val="373421122"/>
      </c:lineChart>
      <c:catAx>
        <c:axId val="1547597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5992419"/>
        <c:crosses val="autoZero"/>
        <c:auto val="1"/>
        <c:lblAlgn val="ctr"/>
        <c:lblOffset val="100"/>
        <c:noMultiLvlLbl val="0"/>
      </c:catAx>
      <c:valAx>
        <c:axId val="2859924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41275" cmpd="dbl">
            <a:solidFill>
              <a:schemeClr val="accent1"/>
            </a:solidFill>
            <a:prstDash val="soli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4759763"/>
        <c:crosses val="autoZero"/>
        <c:crossBetween val="between"/>
      </c:valAx>
      <c:catAx>
        <c:axId val="417397276"/>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3421122"/>
        <c:crosses val="autoZero"/>
        <c:auto val="1"/>
        <c:lblAlgn val="ctr"/>
        <c:lblOffset val="100"/>
        <c:noMultiLvlLbl val="0"/>
      </c:catAx>
      <c:valAx>
        <c:axId val="373421122"/>
        <c:scaling>
          <c:orientation val="minMax"/>
        </c:scaling>
        <c:delete val="0"/>
        <c:axPos val="r"/>
        <c:numFmt formatCode="0.0_ " sourceLinked="1"/>
        <c:majorTickMark val="out"/>
        <c:minorTickMark val="none"/>
        <c:tickLblPos val="nextTo"/>
        <c:spPr>
          <a:noFill/>
          <a:ln w="25400">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7397276"/>
        <c:crosses val="max"/>
        <c:crossBetween val="between"/>
      </c:valAx>
      <c:spPr>
        <a:noFill/>
        <a:ln>
          <a:noFill/>
        </a:ln>
        <a:effectLst/>
      </c:spPr>
    </c:plotArea>
    <c:plotVisOnly val="1"/>
    <c:dispBlanksAs val="gap"/>
    <c:showDLblsOverMax val="0"/>
  </c:chart>
  <c:spPr>
    <a:solidFill>
      <a:schemeClr val="bg1"/>
    </a:solidFill>
    <a:ln w="38100"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2015-2019</a:t>
            </a:r>
            <a:r>
              <a:rPr altLang="en-US"/>
              <a:t>年固定资产投资增长图      单位：</a:t>
            </a:r>
            <a:r>
              <a:rPr lang="en-US" altLang="zh-CN"/>
              <a:t>%</a:t>
            </a:r>
            <a:endParaRPr lang="en-US" altLang="zh-CN"/>
          </a:p>
        </c:rich>
      </c:tx>
      <c:layout/>
      <c:overlay val="0"/>
      <c:spPr>
        <a:noFill/>
        <a:ln>
          <a:noFill/>
        </a:ln>
        <a:effectLst/>
      </c:spPr>
    </c:title>
    <c:autoTitleDeleted val="0"/>
    <c:plotArea>
      <c:layout/>
      <c:lineChart>
        <c:grouping val="standard"/>
        <c:varyColors val="0"/>
        <c:ser>
          <c:idx val="0"/>
          <c:order val="0"/>
          <c:spPr>
            <a:ln w="34925" cap="rnd">
              <a:solidFill>
                <a:srgbClr val="FEBC28"/>
              </a:solidFill>
              <a:round/>
              <a:headEnd type="oval"/>
              <a:tailEnd type="oval"/>
            </a:ln>
            <a:effectLst/>
          </c:spPr>
          <c:marker>
            <c:symbol val="none"/>
          </c:marker>
          <c:dLbls>
            <c:dLbl>
              <c:idx val="3"/>
              <c:layout>
                <c:manualLayout>
                  <c:x val="0.0227297326550492"/>
                  <c:y val="-0.031354515050167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[2018年统计公报用图.xlsx]Sheet1!$A$58:$A$62</c:f>
              <c:strCache>
                <c:ptCount val="5"/>
                <c:pt idx="0">
                  <c:v>2015年</c:v>
                </c:pt>
                <c:pt idx="1">
                  <c:v>2016年</c:v>
                </c:pt>
                <c:pt idx="2">
                  <c:v>2017年</c:v>
                </c:pt>
                <c:pt idx="3">
                  <c:v>2018年</c:v>
                </c:pt>
                <c:pt idx="4">
                  <c:v>2019年</c:v>
                </c:pt>
              </c:strCache>
            </c:strRef>
          </c:cat>
          <c:val>
            <c:numRef>
              <c:f>[2018年统计公报用图.xlsx]Sheet1!$B$58:$B$62</c:f>
              <c:numCache>
                <c:formatCode>General</c:formatCode>
                <c:ptCount val="5"/>
                <c:pt idx="0">
                  <c:v>39.2</c:v>
                </c:pt>
                <c:pt idx="1">
                  <c:v>19.6</c:v>
                </c:pt>
                <c:pt idx="2">
                  <c:v>10.8</c:v>
                </c:pt>
                <c:pt idx="3">
                  <c:v>-6.8</c:v>
                </c:pt>
                <c:pt idx="4">
                  <c:v>-44.8</c:v>
                </c:pt>
              </c:numCache>
            </c:numRef>
          </c:val>
          <c:smooth val="0"/>
        </c:ser>
        <c:dLbls>
          <c:showLegendKey val="0"/>
          <c:showVal val="1"/>
          <c:showCatName val="0"/>
          <c:showSerName val="0"/>
          <c:showPercent val="0"/>
          <c:showBubbleSize val="0"/>
        </c:dLbls>
        <c:marker val="0"/>
        <c:smooth val="0"/>
        <c:axId val="403295933"/>
        <c:axId val="322760977"/>
      </c:lineChart>
      <c:catAx>
        <c:axId val="4032959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760977"/>
        <c:crosses val="autoZero"/>
        <c:auto val="1"/>
        <c:lblAlgn val="ctr"/>
        <c:lblOffset val="100"/>
        <c:noMultiLvlLbl val="0"/>
      </c:catAx>
      <c:valAx>
        <c:axId val="322760977"/>
        <c:scaling>
          <c:orientation val="minMax"/>
        </c:scaling>
        <c:delete val="0"/>
        <c:axPos val="l"/>
        <c:majorGridlines>
          <c:spPr>
            <a:ln w="9525" cap="flat" cmpd="sng" algn="ctr">
              <a:solidFill>
                <a:srgbClr val="3FD061"/>
              </a:solidFill>
              <a:round/>
            </a:ln>
            <a:effectLst>
              <a:glow rad="101600">
                <a:schemeClr val="accent2">
                  <a:satMod val="175000"/>
                  <a:alpha val="38000"/>
                </a:schemeClr>
              </a:glow>
              <a:outerShdw blurRad="50800" dist="38100" dir="16800000" rotWithShape="0">
                <a:prstClr val="black">
                  <a:alpha val="40000"/>
                </a:prstClr>
              </a:outerShdw>
            </a:effectLst>
          </c:spPr>
        </c:majorGridlines>
        <c:numFmt formatCode="General" sourceLinked="1"/>
        <c:majorTickMark val="out"/>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3295933"/>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300" b="0" i="0" u="none" strike="noStrike" kern="1200" spc="0" baseline="0">
                <a:solidFill>
                  <a:schemeClr val="tx1">
                    <a:lumMod val="65000"/>
                    <a:lumOff val="35000"/>
                  </a:schemeClr>
                </a:solidFill>
                <a:latin typeface="+mn-lt"/>
                <a:ea typeface="+mn-ea"/>
                <a:cs typeface="+mn-cs"/>
              </a:defRPr>
            </a:pPr>
            <a:r>
              <a:rPr lang="en-US" altLang="zh-CN" sz="1050"/>
              <a:t>2015-2019</a:t>
            </a:r>
            <a:r>
              <a:rPr altLang="en-US" sz="1050"/>
              <a:t>年社会消费品零售总额总量及增速图      单位：万元 </a:t>
            </a:r>
            <a:r>
              <a:rPr lang="en-US" altLang="zh-CN" sz="1050"/>
              <a:t>% </a:t>
            </a:r>
            <a:endParaRPr lang="en-US" altLang="zh-CN" sz="1050"/>
          </a:p>
          <a:p>
            <a:pPr defTabSz="914400">
              <a:defRPr lang="zh-CN" sz="1300" b="0" i="0" u="none" strike="noStrike" kern="1200" spc="0" baseline="0">
                <a:solidFill>
                  <a:schemeClr val="tx1">
                    <a:lumMod val="65000"/>
                    <a:lumOff val="35000"/>
                  </a:schemeClr>
                </a:solidFill>
                <a:latin typeface="+mn-lt"/>
                <a:ea typeface="+mn-ea"/>
                <a:cs typeface="+mn-cs"/>
              </a:defRPr>
            </a:pPr>
            <a:r>
              <a:rPr lang="en-US" altLang="zh-CN" sz="1050"/>
              <a:t> </a:t>
            </a:r>
            <a:r>
              <a:rPr altLang="en-US" sz="1050"/>
              <a:t>年均增长</a:t>
            </a:r>
            <a:r>
              <a:rPr lang="en-US" altLang="zh-CN" sz="1050"/>
              <a:t>7.2%</a:t>
            </a:r>
            <a:endParaRPr sz="1050"/>
          </a:p>
        </c:rich>
      </c:tx>
      <c:layout>
        <c:manualLayout>
          <c:xMode val="edge"/>
          <c:yMode val="edge"/>
          <c:x val="0.0948653730878522"/>
          <c:y val="0.0279776179056755"/>
        </c:manualLayout>
      </c:layout>
      <c:overlay val="0"/>
      <c:spPr>
        <a:noFill/>
        <a:ln>
          <a:noFill/>
        </a:ln>
        <a:effectLst/>
      </c:spPr>
    </c:title>
    <c:autoTitleDeleted val="0"/>
    <c:plotArea>
      <c:layout/>
      <c:barChart>
        <c:barDir val="col"/>
        <c:grouping val="clustered"/>
        <c:varyColors val="0"/>
        <c:ser>
          <c:idx val="0"/>
          <c:order val="0"/>
          <c:spPr>
            <a:gradFill flip="none" rotWithShape="1">
              <a:gsLst>
                <a:gs pos="0">
                  <a:schemeClr val="accent4">
                    <a:lumMod val="60000"/>
                    <a:lumOff val="40000"/>
                  </a:schemeClr>
                </a:gs>
                <a:gs pos="100000">
                  <a:srgbClr val="034373"/>
                </a:gs>
              </a:gsLst>
              <a:lin ang="162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[2018年统计公报用图.xlsx]Sheet1!$A$75:$A$79</c:f>
              <c:strCache>
                <c:ptCount val="5"/>
                <c:pt idx="0">
                  <c:v>2015年</c:v>
                </c:pt>
                <c:pt idx="1">
                  <c:v>2016年</c:v>
                </c:pt>
                <c:pt idx="2">
                  <c:v>2017年</c:v>
                </c:pt>
                <c:pt idx="3">
                  <c:v>2018年</c:v>
                </c:pt>
                <c:pt idx="4">
                  <c:v>2019年</c:v>
                </c:pt>
              </c:strCache>
            </c:strRef>
          </c:cat>
          <c:val>
            <c:numRef>
              <c:f>[2018年统计公报用图.xlsx]Sheet1!$B$75:$B$79</c:f>
              <c:numCache>
                <c:formatCode>General</c:formatCode>
                <c:ptCount val="5"/>
                <c:pt idx="0">
                  <c:v>115105</c:v>
                </c:pt>
                <c:pt idx="1">
                  <c:v>122955</c:v>
                </c:pt>
                <c:pt idx="2">
                  <c:v>135635</c:v>
                </c:pt>
                <c:pt idx="3">
                  <c:v>143860</c:v>
                </c:pt>
                <c:pt idx="4">
                  <c:v>152125</c:v>
                </c:pt>
              </c:numCache>
            </c:numRef>
          </c:val>
        </c:ser>
        <c:dLbls>
          <c:showLegendKey val="0"/>
          <c:showVal val="1"/>
          <c:showCatName val="0"/>
          <c:showSerName val="0"/>
          <c:showPercent val="0"/>
          <c:showBubbleSize val="0"/>
        </c:dLbls>
        <c:gapWidth val="150"/>
        <c:overlap val="0"/>
        <c:axId val="246349209"/>
        <c:axId val="399370433"/>
      </c:barChart>
      <c:lineChart>
        <c:grouping val="standard"/>
        <c:varyColors val="0"/>
        <c:ser>
          <c:idx val="1"/>
          <c:order val="1"/>
          <c:spPr>
            <a:ln w="38100" cap="rnd">
              <a:solidFill>
                <a:srgbClr val="9AB01F"/>
              </a:solidFill>
              <a:round/>
              <a:headEnd type="diamond"/>
              <a:tailEnd type="diamond"/>
            </a:ln>
            <a:effectLst/>
          </c:spPr>
          <c:marker>
            <c:symbol val="none"/>
          </c:marker>
          <c:dLbls>
            <c:dLbl>
              <c:idx val="0"/>
              <c:layout>
                <c:manualLayout>
                  <c:x val="0.0218113834648941"/>
                  <c:y val="-0.0031512605042016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42750311591192"/>
                  <c:y val="-0.015756302521008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86954715413378"/>
                  <c:y val="0.018907563025210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49272953884504"/>
                  <c:y val="-0.037815126050420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27170751973411"/>
                  <c:y val="0"/>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[2018年统计公报用图.xlsx]Sheet1!$A$75:$A$79</c:f>
              <c:strCache>
                <c:ptCount val="5"/>
                <c:pt idx="0">
                  <c:v>2015年</c:v>
                </c:pt>
                <c:pt idx="1">
                  <c:v>2016年</c:v>
                </c:pt>
                <c:pt idx="2">
                  <c:v>2017年</c:v>
                </c:pt>
                <c:pt idx="3">
                  <c:v>2018年</c:v>
                </c:pt>
                <c:pt idx="4">
                  <c:v>2019年</c:v>
                </c:pt>
              </c:strCache>
            </c:strRef>
          </c:cat>
          <c:val>
            <c:numRef>
              <c:f>[2018年统计公报用图.xlsx]Sheet1!$C$75:$C$79</c:f>
              <c:numCache>
                <c:formatCode>General</c:formatCode>
                <c:ptCount val="5"/>
                <c:pt idx="0">
                  <c:v>7.7</c:v>
                </c:pt>
                <c:pt idx="1">
                  <c:v>6.8</c:v>
                </c:pt>
                <c:pt idx="2">
                  <c:v>10.3</c:v>
                </c:pt>
                <c:pt idx="3">
                  <c:v>6.1</c:v>
                </c:pt>
                <c:pt idx="4">
                  <c:v>5.7</c:v>
                </c:pt>
              </c:numCache>
            </c:numRef>
          </c:val>
          <c:smooth val="0"/>
        </c:ser>
        <c:dLbls>
          <c:showLegendKey val="0"/>
          <c:showVal val="1"/>
          <c:showCatName val="0"/>
          <c:showSerName val="0"/>
          <c:showPercent val="0"/>
          <c:showBubbleSize val="0"/>
        </c:dLbls>
        <c:marker val="0"/>
        <c:smooth val="0"/>
        <c:axId val="862297859"/>
        <c:axId val="97720312"/>
      </c:lineChart>
      <c:catAx>
        <c:axId val="2463492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9370433"/>
        <c:crosses val="autoZero"/>
        <c:auto val="1"/>
        <c:lblAlgn val="ctr"/>
        <c:lblOffset val="100"/>
        <c:noMultiLvlLbl val="0"/>
      </c:catAx>
      <c:valAx>
        <c:axId val="39937043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349209"/>
        <c:crosses val="autoZero"/>
        <c:crossBetween val="between"/>
      </c:valAx>
      <c:catAx>
        <c:axId val="862297859"/>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720312"/>
        <c:crosses val="autoZero"/>
        <c:auto val="1"/>
        <c:lblAlgn val="ctr"/>
        <c:lblOffset val="100"/>
        <c:noMultiLvlLbl val="0"/>
      </c:catAx>
      <c:valAx>
        <c:axId val="97720312"/>
        <c:scaling>
          <c:orientation val="minMax"/>
        </c:scaling>
        <c:delete val="0"/>
        <c:axPos val="r"/>
        <c:numFmt formatCode="General" sourceLinked="1"/>
        <c:majorTickMark val="out"/>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2297859"/>
        <c:crosses val="max"/>
        <c:crossBetween val="between"/>
      </c:valAx>
      <c:spPr>
        <a:noFill/>
        <a:ln>
          <a:noFill/>
        </a:ln>
        <a:effectLst/>
      </c:spPr>
    </c:plotArea>
    <c:plotVisOnly val="1"/>
    <c:dispBlanksAs val="gap"/>
    <c:showDLblsOverMax val="0"/>
  </c:chart>
  <c:spPr>
    <a:solidFill>
      <a:schemeClr val="bg1"/>
    </a:solidFill>
    <a:ln w="222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lang="en-US" altLang="zh-CN" sz="1200"/>
              <a:t>2015-2019</a:t>
            </a:r>
            <a:r>
              <a:rPr altLang="en-US" sz="1200"/>
              <a:t>年财政收入总量及增速    单位：万元  </a:t>
            </a:r>
            <a:r>
              <a:rPr lang="en-US" altLang="zh-CN" sz="1200"/>
              <a:t>%</a:t>
            </a:r>
            <a:endParaRPr lang="en-US" altLang="zh-CN" sz="1200"/>
          </a:p>
          <a:p>
            <a:pPr defTabSz="914400">
              <a:defRPr lang="zh-CN" sz="1200" b="0" i="0" u="none" strike="noStrike" kern="1200" spc="0" baseline="0">
                <a:solidFill>
                  <a:schemeClr val="tx1">
                    <a:lumMod val="65000"/>
                    <a:lumOff val="35000"/>
                  </a:schemeClr>
                </a:solidFill>
                <a:latin typeface="+mn-lt"/>
                <a:ea typeface="+mn-ea"/>
                <a:cs typeface="+mn-cs"/>
              </a:defRPr>
            </a:pPr>
            <a:r>
              <a:rPr sz="1200"/>
              <a:t>年均增长</a:t>
            </a:r>
            <a:r>
              <a:rPr lang="en-US" altLang="zh-CN" sz="1200"/>
              <a:t>4.1%</a:t>
            </a:r>
            <a:endParaRPr lang="en-US" altLang="zh-CN" sz="1200"/>
          </a:p>
        </c:rich>
      </c:tx>
      <c:layout/>
      <c:overlay val="0"/>
      <c:spPr>
        <a:noFill/>
        <a:ln>
          <a:noFill/>
        </a:ln>
        <a:effectLst/>
      </c:spPr>
    </c:title>
    <c:autoTitleDeleted val="0"/>
    <c:plotArea>
      <c:layout/>
      <c:barChart>
        <c:barDir val="col"/>
        <c:grouping val="clustered"/>
        <c:varyColors val="0"/>
        <c:ser>
          <c:idx val="0"/>
          <c:order val="0"/>
          <c:spPr>
            <a:gradFill>
              <a:gsLst>
                <a:gs pos="0">
                  <a:srgbClr val="77F2EA"/>
                </a:gs>
                <a:gs pos="100000">
                  <a:srgbClr val="034373"/>
                </a:gs>
              </a:gsLst>
              <a:lin ang="16200000" scaled="0"/>
            </a:gradFill>
            <a:ln>
              <a:noFill/>
            </a:ln>
            <a:effectLst/>
          </c:spPr>
          <c:invertIfNegative val="0"/>
          <c:dPt>
            <c:idx val="4"/>
            <c:invertIfNegative val="0"/>
            <c:bubble3D val="0"/>
          </c:dPt>
          <c:dLbls>
            <c:dLbl>
              <c:idx val="0"/>
              <c:layout>
                <c:manualLayout>
                  <c:x val="-0.0186440677966102"/>
                  <c:y val="0.023396373562097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[2018年统计公报用图.xlsx]Sheet1!$A$91:$A$95</c:f>
              <c:strCache>
                <c:ptCount val="5"/>
                <c:pt idx="0">
                  <c:v>2015年</c:v>
                </c:pt>
                <c:pt idx="1">
                  <c:v>2016年</c:v>
                </c:pt>
                <c:pt idx="2">
                  <c:v>2017年</c:v>
                </c:pt>
                <c:pt idx="3">
                  <c:v>2018年</c:v>
                </c:pt>
                <c:pt idx="4">
                  <c:v>2019年</c:v>
                </c:pt>
              </c:strCache>
            </c:strRef>
          </c:cat>
          <c:val>
            <c:numRef>
              <c:f>[2018年统计公报用图.xlsx]Sheet1!$B$91:$B$95</c:f>
              <c:numCache>
                <c:formatCode>General</c:formatCode>
                <c:ptCount val="5"/>
                <c:pt idx="0">
                  <c:v>75713</c:v>
                </c:pt>
                <c:pt idx="1">
                  <c:v>77184</c:v>
                </c:pt>
                <c:pt idx="2">
                  <c:v>71860</c:v>
                </c:pt>
                <c:pt idx="3">
                  <c:v>82815</c:v>
                </c:pt>
                <c:pt idx="4">
                  <c:v>87638</c:v>
                </c:pt>
              </c:numCache>
            </c:numRef>
          </c:val>
        </c:ser>
        <c:dLbls>
          <c:showLegendKey val="0"/>
          <c:showVal val="1"/>
          <c:showCatName val="0"/>
          <c:showSerName val="0"/>
          <c:showPercent val="0"/>
          <c:showBubbleSize val="0"/>
        </c:dLbls>
        <c:gapWidth val="150"/>
        <c:overlap val="0"/>
        <c:axId val="597085854"/>
        <c:axId val="740467111"/>
      </c:barChart>
      <c:lineChart>
        <c:grouping val="standard"/>
        <c:varyColors val="0"/>
        <c:ser>
          <c:idx val="1"/>
          <c:order val="1"/>
          <c:spPr>
            <a:ln w="38100" cap="rnd">
              <a:solidFill>
                <a:srgbClr val="B80DE3"/>
              </a:solidFill>
              <a:round/>
              <a:headEnd type="oval"/>
              <a:tailEnd type="oval"/>
            </a:ln>
            <a:effectLst/>
          </c:spPr>
          <c:marker>
            <c:symbol val="none"/>
          </c:marker>
          <c:dLbls>
            <c:dLbl>
              <c:idx val="0"/>
              <c:layout>
                <c:manualLayout>
                  <c:x val="0.0254237288135593"/>
                  <c:y val="-0.017547280171573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20338983050847"/>
                  <c:y val="0.026320920257360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20338983050847"/>
                  <c:y val="0.029245466952622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54237288135593"/>
                  <c:y val="0.023396373562097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54237288135593"/>
                  <c:y val="-0.017547280171573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[2018年统计公报用图.xlsx]Sheet1!$A$91:$A$95</c:f>
              <c:strCache>
                <c:ptCount val="5"/>
                <c:pt idx="0">
                  <c:v>2015年</c:v>
                </c:pt>
                <c:pt idx="1">
                  <c:v>2016年</c:v>
                </c:pt>
                <c:pt idx="2">
                  <c:v>2017年</c:v>
                </c:pt>
                <c:pt idx="3">
                  <c:v>2018年</c:v>
                </c:pt>
                <c:pt idx="4">
                  <c:v>2019年</c:v>
                </c:pt>
              </c:strCache>
            </c:strRef>
          </c:cat>
          <c:val>
            <c:numRef>
              <c:f>[2018年统计公报用图.xlsx]Sheet1!$C$91:$C$95</c:f>
              <c:numCache>
                <c:formatCode>General</c:formatCode>
                <c:ptCount val="5"/>
                <c:pt idx="0">
                  <c:v>2.2</c:v>
                </c:pt>
                <c:pt idx="1">
                  <c:v>1.9</c:v>
                </c:pt>
                <c:pt idx="2">
                  <c:v>3.2</c:v>
                </c:pt>
                <c:pt idx="3">
                  <c:v>15.2</c:v>
                </c:pt>
                <c:pt idx="4">
                  <c:v>5.8</c:v>
                </c:pt>
              </c:numCache>
            </c:numRef>
          </c:val>
          <c:smooth val="0"/>
        </c:ser>
        <c:dLbls>
          <c:showLegendKey val="0"/>
          <c:showVal val="1"/>
          <c:showCatName val="0"/>
          <c:showSerName val="0"/>
          <c:showPercent val="0"/>
          <c:showBubbleSize val="0"/>
        </c:dLbls>
        <c:marker val="0"/>
        <c:smooth val="0"/>
        <c:axId val="463190109"/>
        <c:axId val="226421753"/>
      </c:lineChart>
      <c:catAx>
        <c:axId val="5970858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0467111"/>
        <c:crosses val="autoZero"/>
        <c:auto val="1"/>
        <c:lblAlgn val="ctr"/>
        <c:lblOffset val="100"/>
        <c:noMultiLvlLbl val="0"/>
      </c:catAx>
      <c:valAx>
        <c:axId val="7404671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7085854"/>
        <c:crosses val="autoZero"/>
        <c:crossBetween val="between"/>
      </c:valAx>
      <c:catAx>
        <c:axId val="463190109"/>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6421753"/>
        <c:crosses val="autoZero"/>
        <c:auto val="1"/>
        <c:lblAlgn val="ctr"/>
        <c:lblOffset val="100"/>
        <c:noMultiLvlLbl val="0"/>
      </c:catAx>
      <c:valAx>
        <c:axId val="226421753"/>
        <c:scaling>
          <c:orientation val="minMax"/>
        </c:scaling>
        <c:delete val="0"/>
        <c:axPos val="r"/>
        <c:numFmt formatCode="General" sourceLinked="1"/>
        <c:majorTickMark val="out"/>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3190109"/>
        <c:crosses val="max"/>
        <c:crossBetween val="between"/>
      </c:valAx>
      <c:spPr>
        <a:noFill/>
        <a:ln>
          <a:noFill/>
        </a:ln>
        <a:effectLst/>
      </c:spPr>
    </c:plotArea>
    <c:plotVisOnly val="1"/>
    <c:dispBlanksAs val="gap"/>
    <c:showDLblsOverMax val="0"/>
  </c:chart>
  <c:spPr>
    <a:solidFill>
      <a:schemeClr val="bg1"/>
    </a:solidFill>
    <a:ln w="2857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lang="en-US" altLang="zh-CN" sz="1200"/>
              <a:t>2015-2019</a:t>
            </a:r>
            <a:r>
              <a:rPr altLang="en-US" sz="1200"/>
              <a:t>年金融存款余额总量及增速    单位 ：亿元  </a:t>
            </a:r>
            <a:r>
              <a:rPr lang="en-US" altLang="zh-CN" sz="1200"/>
              <a:t>%   </a:t>
            </a:r>
            <a:endParaRPr lang="en-US" altLang="zh-CN" sz="1200"/>
          </a:p>
        </c:rich>
      </c:tx>
      <c:layout>
        <c:manualLayout>
          <c:xMode val="edge"/>
          <c:yMode val="edge"/>
          <c:x val="0.107744796554128"/>
          <c:y val="0.00650618087182824"/>
        </c:manualLayout>
      </c:layout>
      <c:overlay val="0"/>
      <c:spPr>
        <a:noFill/>
        <a:ln>
          <a:noFill/>
        </a:ln>
        <a:effectLst/>
      </c:spPr>
    </c:title>
    <c:autoTitleDeleted val="0"/>
    <c:plotArea>
      <c:layout>
        <c:manualLayout>
          <c:layoutTarget val="inner"/>
          <c:xMode val="edge"/>
          <c:yMode val="edge"/>
          <c:x val="0.0871238538034354"/>
          <c:y val="0.202125352418131"/>
          <c:w val="0.837504843084076"/>
          <c:h val="0.692995011927998"/>
        </c:manualLayout>
      </c:layout>
      <c:barChart>
        <c:barDir val="col"/>
        <c:grouping val="clustered"/>
        <c:varyColors val="0"/>
        <c:ser>
          <c:idx val="0"/>
          <c:order val="0"/>
          <c:spPr>
            <a:gradFill>
              <a:gsLst>
                <a:gs pos="0">
                  <a:srgbClr val="8B9D45"/>
                </a:gs>
                <a:gs pos="100000">
                  <a:srgbClr val="760303"/>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[2018年统计公报用图.xlsx]Sheet1!$A$109:$A$113</c:f>
              <c:strCache>
                <c:ptCount val="5"/>
                <c:pt idx="0">
                  <c:v>2015年</c:v>
                </c:pt>
                <c:pt idx="1">
                  <c:v>2016年</c:v>
                </c:pt>
                <c:pt idx="2">
                  <c:v>2017年</c:v>
                </c:pt>
                <c:pt idx="3">
                  <c:v>2018年</c:v>
                </c:pt>
                <c:pt idx="4">
                  <c:v>2019年</c:v>
                </c:pt>
              </c:strCache>
            </c:strRef>
          </c:cat>
          <c:val>
            <c:numRef>
              <c:f>[2018年统计公报用图.xlsx]Sheet1!$B$109:$B$113</c:f>
              <c:numCache>
                <c:formatCode>0.0_ </c:formatCode>
                <c:ptCount val="5"/>
                <c:pt idx="0">
                  <c:v>73.9</c:v>
                </c:pt>
                <c:pt idx="1">
                  <c:v>90.9</c:v>
                </c:pt>
                <c:pt idx="2">
                  <c:v>97.1</c:v>
                </c:pt>
                <c:pt idx="3">
                  <c:v>106.9</c:v>
                </c:pt>
                <c:pt idx="4">
                  <c:v>109.1</c:v>
                </c:pt>
              </c:numCache>
            </c:numRef>
          </c:val>
        </c:ser>
        <c:dLbls>
          <c:showLegendKey val="0"/>
          <c:showVal val="1"/>
          <c:showCatName val="0"/>
          <c:showSerName val="0"/>
          <c:showPercent val="0"/>
          <c:showBubbleSize val="0"/>
        </c:dLbls>
        <c:gapWidth val="219"/>
        <c:overlap val="-27"/>
        <c:axId val="842523108"/>
        <c:axId val="402585405"/>
      </c:barChart>
      <c:lineChart>
        <c:grouping val="standard"/>
        <c:varyColors val="0"/>
        <c:ser>
          <c:idx val="1"/>
          <c:order val="1"/>
          <c:spPr>
            <a:ln w="38100" cap="rnd" cmpd="sng">
              <a:solidFill>
                <a:srgbClr val="7276CA"/>
              </a:solidFill>
              <a:prstDash val="sysDash"/>
              <a:round/>
              <a:headEnd type="diamond"/>
              <a:tailEnd type="diamond"/>
            </a:ln>
            <a:effectLst/>
          </c:spPr>
          <c:marker>
            <c:symbol val="none"/>
          </c:marker>
          <c:dLbls>
            <c:dLbl>
              <c:idx val="0"/>
              <c:layout>
                <c:manualLayout>
                  <c:x val="0.032932971716389"/>
                  <c:y val="0"/>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23010064043916"/>
                  <c:y val="0.0092611648487343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40164684354986"/>
                  <c:y val="0.003087054949578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88700823421775"/>
                  <c:y val="0.018522329697468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05855443732845"/>
                  <c:y val="-0.003087054949578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[2018年统计公报用图.xlsx]Sheet1!$A$109:$A$113</c:f>
              <c:strCache>
                <c:ptCount val="5"/>
                <c:pt idx="0">
                  <c:v>2015年</c:v>
                </c:pt>
                <c:pt idx="1">
                  <c:v>2016年</c:v>
                </c:pt>
                <c:pt idx="2">
                  <c:v>2017年</c:v>
                </c:pt>
                <c:pt idx="3">
                  <c:v>2018年</c:v>
                </c:pt>
                <c:pt idx="4">
                  <c:v>2019年</c:v>
                </c:pt>
              </c:strCache>
            </c:strRef>
          </c:cat>
          <c:val>
            <c:numRef>
              <c:f>[2018年统计公报用图.xlsx]Sheet1!$C$109:$C$113</c:f>
              <c:numCache>
                <c:formatCode>0.0_ </c:formatCode>
                <c:ptCount val="5"/>
                <c:pt idx="0">
                  <c:v>11.2</c:v>
                </c:pt>
                <c:pt idx="1">
                  <c:v>23</c:v>
                </c:pt>
                <c:pt idx="2">
                  <c:v>6.8</c:v>
                </c:pt>
                <c:pt idx="3">
                  <c:v>10.1</c:v>
                </c:pt>
                <c:pt idx="4">
                  <c:v>2.04</c:v>
                </c:pt>
              </c:numCache>
            </c:numRef>
          </c:val>
          <c:smooth val="0"/>
        </c:ser>
        <c:dLbls>
          <c:showLegendKey val="0"/>
          <c:showVal val="1"/>
          <c:showCatName val="0"/>
          <c:showSerName val="0"/>
          <c:showPercent val="0"/>
          <c:showBubbleSize val="0"/>
        </c:dLbls>
        <c:marker val="0"/>
        <c:smooth val="0"/>
        <c:axId val="726198064"/>
        <c:axId val="588737128"/>
      </c:lineChart>
      <c:catAx>
        <c:axId val="8425231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585405"/>
        <c:crosses val="autoZero"/>
        <c:auto val="1"/>
        <c:lblAlgn val="ctr"/>
        <c:lblOffset val="100"/>
        <c:noMultiLvlLbl val="0"/>
      </c:catAx>
      <c:valAx>
        <c:axId val="402585405"/>
        <c:scaling>
          <c:orientation val="minMax"/>
        </c:scaling>
        <c:delete val="0"/>
        <c:axPos val="l"/>
        <c:majorGridlines>
          <c:spPr>
            <a:ln w="9525" cap="flat" cmpd="sng" algn="ctr">
              <a:solidFill>
                <a:schemeClr val="tx1">
                  <a:lumMod val="15000"/>
                  <a:lumOff val="85000"/>
                </a:schemeClr>
              </a:solidFill>
              <a:round/>
            </a:ln>
            <a:effectLst/>
          </c:spPr>
        </c:majorGridlines>
        <c:numFmt formatCode="0.0_ " sourceLinked="1"/>
        <c:majorTickMark val="out"/>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2523108"/>
        <c:crosses val="autoZero"/>
        <c:crossBetween val="between"/>
      </c:valAx>
      <c:catAx>
        <c:axId val="726198064"/>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8737128"/>
        <c:crosses val="autoZero"/>
        <c:auto val="1"/>
        <c:lblAlgn val="ctr"/>
        <c:lblOffset val="100"/>
        <c:noMultiLvlLbl val="0"/>
      </c:catAx>
      <c:valAx>
        <c:axId val="588737128"/>
        <c:scaling>
          <c:orientation val="minMax"/>
        </c:scaling>
        <c:delete val="0"/>
        <c:axPos val="r"/>
        <c:numFmt formatCode="0.0_ " sourceLinked="1"/>
        <c:majorTickMark val="out"/>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6198064"/>
        <c:crosses val="max"/>
        <c:crossBetween val="between"/>
      </c:valAx>
      <c:spPr>
        <a:noFill/>
        <a:ln>
          <a:noFill/>
        </a:ln>
        <a:effectLst/>
      </c:spPr>
    </c:plotArea>
    <c:plotVisOnly val="1"/>
    <c:dispBlanksAs val="gap"/>
    <c:showDLblsOverMax val="0"/>
  </c:chart>
  <c:spPr>
    <a:solidFill>
      <a:schemeClr val="bg1"/>
    </a:solidFill>
    <a:ln w="2857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solidFill>
                <a:latin typeface="+mn-lt"/>
                <a:ea typeface="+mn-ea"/>
                <a:cs typeface="+mn-cs"/>
              </a:defRPr>
            </a:pPr>
            <a:r>
              <a:rPr lang="en-US" altLang="zh-CN" sz="1200">
                <a:solidFill>
                  <a:schemeClr val="tx1"/>
                </a:solidFill>
              </a:rPr>
              <a:t>2015-2019</a:t>
            </a:r>
            <a:r>
              <a:rPr altLang="en-US" sz="1200">
                <a:solidFill>
                  <a:schemeClr val="tx1"/>
                </a:solidFill>
              </a:rPr>
              <a:t>年城镇居民可支配收入总量及增速   单位：元  </a:t>
            </a:r>
            <a:r>
              <a:rPr lang="en-US" altLang="zh-CN" sz="1200">
                <a:solidFill>
                  <a:schemeClr val="tx1"/>
                </a:solidFill>
              </a:rPr>
              <a:t>%</a:t>
            </a:r>
            <a:endParaRPr lang="en-US" altLang="zh-CN" sz="1200">
              <a:solidFill>
                <a:schemeClr val="tx1"/>
              </a:solidFill>
            </a:endParaRPr>
          </a:p>
          <a:p>
            <a:pPr defTabSz="914400">
              <a:defRPr lang="zh-CN" sz="1200" b="0" i="0" u="none" strike="noStrike" kern="1200" spc="0" baseline="0">
                <a:solidFill>
                  <a:schemeClr val="tx1"/>
                </a:solidFill>
                <a:latin typeface="+mn-lt"/>
                <a:ea typeface="+mn-ea"/>
                <a:cs typeface="+mn-cs"/>
              </a:defRPr>
            </a:pPr>
            <a:r>
              <a:rPr sz="1200">
                <a:solidFill>
                  <a:schemeClr val="tx1"/>
                </a:solidFill>
              </a:rPr>
              <a:t>年均增长</a:t>
            </a:r>
            <a:r>
              <a:rPr lang="en-US" altLang="zh-CN" sz="1200">
                <a:solidFill>
                  <a:schemeClr val="tx1"/>
                </a:solidFill>
              </a:rPr>
              <a:t>8.2%</a:t>
            </a:r>
            <a:endParaRPr sz="1200">
              <a:solidFill>
                <a:schemeClr val="tx1"/>
              </a:solidFill>
            </a:endParaRPr>
          </a:p>
        </c:rich>
      </c:tx>
      <c:layout>
        <c:manualLayout>
          <c:xMode val="edge"/>
          <c:yMode val="edge"/>
          <c:x val="0.11789146255583"/>
          <c:y val="0.00522921387484748"/>
        </c:manualLayout>
      </c:layout>
      <c:overlay val="0"/>
      <c:spPr>
        <a:noFill/>
        <a:ln>
          <a:noFill/>
        </a:ln>
        <a:effectLst/>
      </c:spPr>
    </c:title>
    <c:autoTitleDeleted val="0"/>
    <c:plotArea>
      <c:layout/>
      <c:barChart>
        <c:barDir val="col"/>
        <c:grouping val="clustered"/>
        <c:varyColors val="0"/>
        <c:ser>
          <c:idx val="0"/>
          <c:order val="0"/>
          <c:spPr>
            <a:gradFill>
              <a:gsLst>
                <a:gs pos="0">
                  <a:srgbClr val="FFC000"/>
                </a:gs>
                <a:gs pos="100000">
                  <a:srgbClr val="760303"/>
                </a:gs>
              </a:gsLst>
              <a:lin ang="5400000" scaled="0"/>
            </a:gradFill>
            <a:ln>
              <a:noFill/>
            </a:ln>
            <a:effectLst/>
          </c:spPr>
          <c:invertIfNegative val="0"/>
          <c:dPt>
            <c:idx val="3"/>
            <c:invertIfNegative val="0"/>
            <c:bubble3D val="0"/>
          </c:dPt>
          <c:dLbls>
            <c:dLbl>
              <c:idx val="1"/>
              <c:layout>
                <c:manualLayout>
                  <c:x val="0.003125"/>
                  <c:y val="0.014274838218500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25694708793300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22839741149600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[2018年统计公报用图.xlsx]Sheet1!$A$129:$A$133</c:f>
              <c:strCache>
                <c:ptCount val="5"/>
                <c:pt idx="0">
                  <c:v>2015年</c:v>
                </c:pt>
                <c:pt idx="1">
                  <c:v>2016年</c:v>
                </c:pt>
                <c:pt idx="2">
                  <c:v>2017年</c:v>
                </c:pt>
                <c:pt idx="3">
                  <c:v>2018年</c:v>
                </c:pt>
                <c:pt idx="4">
                  <c:v>2019年</c:v>
                </c:pt>
              </c:strCache>
            </c:strRef>
          </c:cat>
          <c:val>
            <c:numRef>
              <c:f>[2018年统计公报用图.xlsx]Sheet1!$B$129:$B$133</c:f>
              <c:numCache>
                <c:formatCode>General</c:formatCode>
                <c:ptCount val="5"/>
                <c:pt idx="0">
                  <c:v>20920</c:v>
                </c:pt>
                <c:pt idx="1">
                  <c:v>22673</c:v>
                </c:pt>
                <c:pt idx="2">
                  <c:v>24677</c:v>
                </c:pt>
                <c:pt idx="3">
                  <c:v>26601</c:v>
                </c:pt>
                <c:pt idx="4">
                  <c:v>28464</c:v>
                </c:pt>
              </c:numCache>
            </c:numRef>
          </c:val>
        </c:ser>
        <c:dLbls>
          <c:showLegendKey val="0"/>
          <c:showVal val="1"/>
          <c:showCatName val="0"/>
          <c:showSerName val="0"/>
          <c:showPercent val="0"/>
          <c:showBubbleSize val="0"/>
        </c:dLbls>
        <c:gapWidth val="150"/>
        <c:overlap val="0"/>
        <c:axId val="984115910"/>
        <c:axId val="86139225"/>
      </c:barChart>
      <c:lineChart>
        <c:grouping val="standard"/>
        <c:varyColors val="0"/>
        <c:ser>
          <c:idx val="1"/>
          <c:order val="1"/>
          <c:spPr>
            <a:ln w="28575" cap="sq" cmpd="sng">
              <a:solidFill>
                <a:schemeClr val="accent2"/>
              </a:solidFill>
              <a:prstDash val="lgDash"/>
              <a:bevel/>
              <a:headEnd type="none"/>
              <a:tailEnd type="triangle"/>
            </a:ln>
            <a:effectLst/>
          </c:spPr>
          <c:marker>
            <c:symbol val="none"/>
          </c:marker>
          <c:dLbls>
            <c:dLbl>
              <c:idx val="0"/>
              <c:layout>
                <c:manualLayout>
                  <c:x val="0.01875"/>
                  <c:y val="-0.017129805862200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31404644080700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1875"/>
                  <c:y val="-0.0057099352874000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8125"/>
                  <c:y val="-0.0057099352874000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5"/>
                  <c:y val="0.0057099352874000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[2018年统计公报用图.xlsx]Sheet1!$A$129:$A$133</c:f>
              <c:strCache>
                <c:ptCount val="5"/>
                <c:pt idx="0">
                  <c:v>2015年</c:v>
                </c:pt>
                <c:pt idx="1">
                  <c:v>2016年</c:v>
                </c:pt>
                <c:pt idx="2">
                  <c:v>2017年</c:v>
                </c:pt>
                <c:pt idx="3">
                  <c:v>2018年</c:v>
                </c:pt>
                <c:pt idx="4">
                  <c:v>2019年</c:v>
                </c:pt>
              </c:strCache>
            </c:strRef>
          </c:cat>
          <c:val>
            <c:numRef>
              <c:f>[2018年统计公报用图.xlsx]Sheet1!$C$129:$C$133</c:f>
              <c:numCache>
                <c:formatCode>General</c:formatCode>
                <c:ptCount val="5"/>
                <c:pt idx="0">
                  <c:v>9.2</c:v>
                </c:pt>
                <c:pt idx="1">
                  <c:v>8.4</c:v>
                </c:pt>
                <c:pt idx="2">
                  <c:v>8.8</c:v>
                </c:pt>
                <c:pt idx="3">
                  <c:v>7.8</c:v>
                </c:pt>
                <c:pt idx="4" c:formatCode="0.0_ ">
                  <c:v>7</c:v>
                </c:pt>
              </c:numCache>
            </c:numRef>
          </c:val>
          <c:smooth val="0"/>
        </c:ser>
        <c:dLbls>
          <c:showLegendKey val="0"/>
          <c:showVal val="1"/>
          <c:showCatName val="0"/>
          <c:showSerName val="0"/>
          <c:showPercent val="0"/>
          <c:showBubbleSize val="0"/>
        </c:dLbls>
        <c:marker val="0"/>
        <c:smooth val="0"/>
        <c:axId val="646103556"/>
        <c:axId val="12022276"/>
      </c:lineChart>
      <c:catAx>
        <c:axId val="9841159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86139225"/>
        <c:crosses val="autoZero"/>
        <c:auto val="1"/>
        <c:lblAlgn val="ctr"/>
        <c:lblOffset val="100"/>
        <c:noMultiLvlLbl val="0"/>
      </c:catAx>
      <c:valAx>
        <c:axId val="8613922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28575" cmpd="thickThin">
            <a:solidFill>
              <a:schemeClr val="accent1"/>
            </a:solidFill>
            <a:prstDash val="soli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984115910"/>
        <c:crosses val="autoZero"/>
        <c:crossBetween val="between"/>
      </c:valAx>
      <c:catAx>
        <c:axId val="646103556"/>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12022276"/>
        <c:crosses val="autoZero"/>
        <c:auto val="1"/>
        <c:lblAlgn val="ctr"/>
        <c:lblOffset val="100"/>
        <c:noMultiLvlLbl val="0"/>
      </c:catAx>
      <c:valAx>
        <c:axId val="12022276"/>
        <c:scaling>
          <c:orientation val="minMax"/>
        </c:scaling>
        <c:delete val="0"/>
        <c:axPos val="r"/>
        <c:numFmt formatCode="General" sourceLinked="1"/>
        <c:majorTickMark val="out"/>
        <c:minorTickMark val="none"/>
        <c:tickLblPos val="nextTo"/>
        <c:spPr>
          <a:noFill/>
          <a:ln w="28575" cmpd="thickThin">
            <a:solidFill>
              <a:schemeClr val="accent1"/>
            </a:solidFill>
            <a:prstDash val="soli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646103556"/>
        <c:crosses val="max"/>
        <c:crossBetween val="between"/>
      </c:valAx>
      <c:spPr>
        <a:noFill/>
        <a:ln>
          <a:noFill/>
        </a:ln>
        <a:effectLst/>
      </c:spPr>
    </c:plotArea>
    <c:plotVisOnly val="1"/>
    <c:dispBlanksAs val="gap"/>
    <c:showDLblsOverMax val="0"/>
  </c:chart>
  <c:spPr>
    <a:solidFill>
      <a:schemeClr val="bg1"/>
    </a:solidFill>
    <a:ln w="2857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lang="en-US" altLang="zh-CN" sz="1200"/>
              <a:t>2015-2019</a:t>
            </a:r>
            <a:r>
              <a:rPr altLang="en-US" sz="1200"/>
              <a:t>年农村居民可支配收入总量及增速    单位：元  </a:t>
            </a:r>
            <a:r>
              <a:rPr lang="en-US" altLang="zh-CN" sz="1200"/>
              <a:t>%</a:t>
            </a:r>
            <a:endParaRPr lang="en-US" altLang="zh-CN" sz="1200"/>
          </a:p>
          <a:p>
            <a:pPr defTabSz="914400">
              <a:defRPr lang="zh-CN" sz="1200" b="0" i="0" u="none" strike="noStrike" kern="1200" spc="0" baseline="0">
                <a:solidFill>
                  <a:schemeClr val="tx1">
                    <a:lumMod val="65000"/>
                    <a:lumOff val="35000"/>
                  </a:schemeClr>
                </a:solidFill>
                <a:latin typeface="+mn-lt"/>
                <a:ea typeface="+mn-ea"/>
                <a:cs typeface="+mn-cs"/>
              </a:defRPr>
            </a:pPr>
            <a:r>
              <a:rPr sz="1200"/>
              <a:t>年均增长</a:t>
            </a:r>
            <a:r>
              <a:rPr lang="en-US" altLang="zh-CN" sz="1200"/>
              <a:t>11.6%</a:t>
            </a:r>
            <a:endParaRPr lang="en-US" altLang="zh-CN" sz="1200"/>
          </a:p>
        </c:rich>
      </c:tx>
      <c:layout>
        <c:manualLayout>
          <c:xMode val="edge"/>
          <c:yMode val="edge"/>
          <c:x val="0.104648389843836"/>
          <c:y val="0.00570667681186989"/>
        </c:manualLayout>
      </c:layout>
      <c:overlay val="0"/>
      <c:spPr>
        <a:noFill/>
        <a:ln>
          <a:noFill/>
        </a:ln>
        <a:effectLst/>
      </c:spPr>
    </c:title>
    <c:autoTitleDeleted val="0"/>
    <c:plotArea>
      <c:layout/>
      <c:barChart>
        <c:barDir val="col"/>
        <c:grouping val="clustered"/>
        <c:varyColors val="0"/>
        <c:ser>
          <c:idx val="0"/>
          <c:order val="0"/>
          <c:spPr>
            <a:solidFill>
              <a:srgbClr val="DF5DD7"/>
            </a:solidFill>
            <a:ln>
              <a:noFill/>
            </a:ln>
            <a:effectLst/>
          </c:spPr>
          <c:invertIfNegative val="0"/>
          <c:dLbls>
            <c:dLbl>
              <c:idx val="1"/>
              <c:layout>
                <c:manualLayout>
                  <c:x val="-0.00654735923177652"/>
                  <c:y val="0.007755946225439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28438469493278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327367961588826"/>
                  <c:y val="0.01551189245087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[2018年统计公报用图.xlsx]Sheet1!$A$148:$A$152</c:f>
              <c:strCache>
                <c:ptCount val="5"/>
                <c:pt idx="0">
                  <c:v>2015年</c:v>
                </c:pt>
                <c:pt idx="1">
                  <c:v>2016年</c:v>
                </c:pt>
                <c:pt idx="2">
                  <c:v>2017年</c:v>
                </c:pt>
                <c:pt idx="3">
                  <c:v>2018年</c:v>
                </c:pt>
                <c:pt idx="4">
                  <c:v>2019年</c:v>
                </c:pt>
              </c:strCache>
            </c:strRef>
          </c:cat>
          <c:val>
            <c:numRef>
              <c:f>[2018年统计公报用图.xlsx]Sheet1!$B$148:$B$152</c:f>
              <c:numCache>
                <c:formatCode>0_ </c:formatCode>
                <c:ptCount val="5"/>
                <c:pt idx="0">
                  <c:v>7674</c:v>
                </c:pt>
                <c:pt idx="1">
                  <c:v>8532</c:v>
                </c:pt>
                <c:pt idx="2">
                  <c:v>9549</c:v>
                </c:pt>
                <c:pt idx="3">
                  <c:v>10685</c:v>
                </c:pt>
                <c:pt idx="4">
                  <c:v>12127</c:v>
                </c:pt>
              </c:numCache>
            </c:numRef>
          </c:val>
        </c:ser>
        <c:dLbls>
          <c:showLegendKey val="0"/>
          <c:showVal val="1"/>
          <c:showCatName val="0"/>
          <c:showSerName val="0"/>
          <c:showPercent val="0"/>
          <c:showBubbleSize val="0"/>
        </c:dLbls>
        <c:gapWidth val="219"/>
        <c:overlap val="-27"/>
        <c:axId val="34665916"/>
        <c:axId val="41063350"/>
      </c:barChart>
      <c:lineChart>
        <c:grouping val="standard"/>
        <c:varyColors val="0"/>
        <c:ser>
          <c:idx val="1"/>
          <c:order val="1"/>
          <c:spPr>
            <a:ln w="38100" cap="rnd">
              <a:solidFill>
                <a:srgbClr val="589553"/>
              </a:solidFill>
              <a:prstDash val="lgDashDot"/>
              <a:round/>
              <a:headEnd type="none"/>
              <a:tailEnd type="triangle" w="med" len="lg"/>
            </a:ln>
            <a:effectLst/>
          </c:spPr>
          <c:marker>
            <c:symbol val="none"/>
          </c:marker>
          <c:dLbls>
            <c:dLbl>
              <c:idx val="0"/>
              <c:layout>
                <c:manualLayout>
                  <c:x val="0.00654735923177652"/>
                  <c:y val="0.028438469493278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91051942383239"/>
                  <c:y val="0.04136504653567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47315582714972"/>
                  <c:y val="0.03102378490175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96420776953296"/>
                  <c:y val="0.020682523267838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47315582714972"/>
                  <c:y val="-0.005170630816959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[2018年统计公报用图.xlsx]Sheet1!$A$148:$A$152</c:f>
              <c:strCache>
                <c:ptCount val="5"/>
                <c:pt idx="0">
                  <c:v>2015年</c:v>
                </c:pt>
                <c:pt idx="1">
                  <c:v>2016年</c:v>
                </c:pt>
                <c:pt idx="2">
                  <c:v>2017年</c:v>
                </c:pt>
                <c:pt idx="3">
                  <c:v>2018年</c:v>
                </c:pt>
                <c:pt idx="4">
                  <c:v>2019年</c:v>
                </c:pt>
              </c:strCache>
            </c:strRef>
          </c:cat>
          <c:val>
            <c:numRef>
              <c:f>[2018年统计公报用图.xlsx]Sheet1!$C$148:$C$152</c:f>
              <c:numCache>
                <c:formatCode>0.0_ </c:formatCode>
                <c:ptCount val="5"/>
                <c:pt idx="0">
                  <c:v>10</c:v>
                </c:pt>
                <c:pt idx="1">
                  <c:v>11.2</c:v>
                </c:pt>
                <c:pt idx="2">
                  <c:v>11.9</c:v>
                </c:pt>
                <c:pt idx="3">
                  <c:v>11.9</c:v>
                </c:pt>
                <c:pt idx="4">
                  <c:v>13.5</c:v>
                </c:pt>
              </c:numCache>
            </c:numRef>
          </c:val>
          <c:smooth val="0"/>
        </c:ser>
        <c:dLbls>
          <c:showLegendKey val="0"/>
          <c:showVal val="1"/>
          <c:showCatName val="0"/>
          <c:showSerName val="0"/>
          <c:showPercent val="0"/>
          <c:showBubbleSize val="0"/>
        </c:dLbls>
        <c:marker val="0"/>
        <c:smooth val="0"/>
        <c:axId val="88431858"/>
        <c:axId val="902327452"/>
      </c:lineChart>
      <c:catAx>
        <c:axId val="346659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063350"/>
        <c:crosses val="autoZero"/>
        <c:auto val="1"/>
        <c:lblAlgn val="ctr"/>
        <c:lblOffset val="100"/>
        <c:noMultiLvlLbl val="0"/>
      </c:catAx>
      <c:valAx>
        <c:axId val="41063350"/>
        <c:scaling>
          <c:orientation val="minMax"/>
        </c:scaling>
        <c:delete val="0"/>
        <c:axPos val="l"/>
        <c:majorGridlines>
          <c:spPr>
            <a:ln w="9525" cap="flat" cmpd="sng" algn="ctr">
              <a:solidFill>
                <a:schemeClr val="tx1">
                  <a:lumMod val="15000"/>
                  <a:lumOff val="85000"/>
                </a:schemeClr>
              </a:solidFill>
              <a:round/>
            </a:ln>
            <a:effectLst/>
          </c:spPr>
        </c:majorGridlines>
        <c:numFmt formatCode="0_ " sourceLinked="1"/>
        <c:majorTickMark val="out"/>
        <c:minorTickMark val="none"/>
        <c:tickLblPos val="nextTo"/>
        <c:spPr>
          <a:noFill/>
          <a:ln w="28575" cmpd="thickThin">
            <a:solidFill>
              <a:schemeClr val="accent1"/>
            </a:solidFill>
            <a:prstDash val="soli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665916"/>
        <c:crosses val="autoZero"/>
        <c:crossBetween val="between"/>
      </c:valAx>
      <c:catAx>
        <c:axId val="88431858"/>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2327452"/>
        <c:crosses val="autoZero"/>
        <c:auto val="1"/>
        <c:lblAlgn val="ctr"/>
        <c:lblOffset val="100"/>
        <c:noMultiLvlLbl val="0"/>
      </c:catAx>
      <c:valAx>
        <c:axId val="902327452"/>
        <c:scaling>
          <c:orientation val="minMax"/>
        </c:scaling>
        <c:delete val="0"/>
        <c:axPos val="r"/>
        <c:numFmt formatCode="0.0_ " sourceLinked="1"/>
        <c:majorTickMark val="out"/>
        <c:minorTickMark val="none"/>
        <c:tickLblPos val="nextTo"/>
        <c:spPr>
          <a:noFill/>
          <a:ln w="28575" cmpd="thickThin">
            <a:solidFill>
              <a:schemeClr val="accent1"/>
            </a:solidFill>
            <a:prstDash val="soli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431858"/>
        <c:crosses val="max"/>
        <c:crossBetween val="between"/>
      </c:valAx>
      <c:spPr>
        <a:noFill/>
        <a:ln>
          <a:noFill/>
        </a:ln>
        <a:effectLst/>
      </c:spPr>
    </c:plotArea>
    <c:plotVisOnly val="1"/>
    <c:dispBlanksAs val="gap"/>
    <c:showDLblsOverMax val="0"/>
  </c:chart>
  <c:spPr>
    <a:solidFill>
      <a:schemeClr val="bg1"/>
    </a:solidFill>
    <a:ln w="2857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31DEA-917E-4C5C-AE4C-DB2375B89EB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1206</Words>
  <Characters>6879</Characters>
  <Lines>57</Lines>
  <Paragraphs>16</Paragraphs>
  <TotalTime>87</TotalTime>
  <ScaleCrop>false</ScaleCrop>
  <LinksUpToDate>false</LinksUpToDate>
  <CharactersWithSpaces>8069</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2015-02-10T06:51:00Z</dcterms:created>
  <dc:creator>dreamsummit</dc:creator>
  <cp:lastModifiedBy>；lou</cp:lastModifiedBy>
  <cp:lastPrinted>2017-03-20T01:22:00Z</cp:lastPrinted>
  <dcterms:modified xsi:type="dcterms:W3CDTF">2020-10-27T02:05:31Z</dcterms:modified>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