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wordWrap/>
        <w:overflowPunct/>
        <w:topLinePunct w:val="0"/>
        <w:autoSpaceDE/>
        <w:autoSpaceDN w:val="0"/>
        <w:spacing w:line="600" w:lineRule="exact"/>
        <w:ind w:firstLine="640"/>
        <w:rPr>
          <w:rFonts w:hint="default" w:ascii="Times New Roman" w:hAnsi="Times New Roman" w:eastAsia="仿宋_GB2312" w:cs="Times New Roman"/>
          <w:color w:val="FF0000"/>
          <w:sz w:val="32"/>
          <w:szCs w:val="32"/>
          <w:lang w:bidi="ar-SA"/>
        </w:rPr>
      </w:pPr>
    </w:p>
    <w:p>
      <w:pPr>
        <w:kinsoku/>
        <w:wordWrap/>
        <w:overflowPunct/>
        <w:topLinePunct w:val="0"/>
        <w:autoSpaceDE/>
        <w:autoSpaceDN w:val="0"/>
        <w:spacing w:line="600" w:lineRule="exact"/>
        <w:ind w:firstLine="640"/>
        <w:rPr>
          <w:rFonts w:hint="default" w:ascii="Times New Roman" w:hAnsi="Times New Roman" w:eastAsia="仿宋_GB2312" w:cs="Times New Roman"/>
          <w:color w:val="FF0000"/>
          <w:sz w:val="32"/>
          <w:szCs w:val="32"/>
          <w:lang w:bidi="ar-SA"/>
        </w:rPr>
      </w:pPr>
    </w:p>
    <w:p>
      <w:pPr>
        <w:kinsoku/>
        <w:wordWrap/>
        <w:overflowPunct/>
        <w:topLinePunct w:val="0"/>
        <w:autoSpaceDE/>
        <w:autoSpaceDN w:val="0"/>
        <w:spacing w:line="600" w:lineRule="exact"/>
        <w:ind w:firstLine="640"/>
        <w:rPr>
          <w:rFonts w:hint="default" w:ascii="Times New Roman" w:hAnsi="Times New Roman" w:eastAsia="仿宋_GB2312" w:cs="Times New Roman"/>
          <w:color w:val="FF0000"/>
          <w:sz w:val="32"/>
          <w:szCs w:val="32"/>
          <w:lang w:bidi="ar-SA"/>
        </w:rPr>
      </w:pPr>
    </w:p>
    <w:p>
      <w:pPr>
        <w:kinsoku/>
        <w:wordWrap/>
        <w:overflowPunct/>
        <w:topLinePunct w:val="0"/>
        <w:autoSpaceDE/>
        <w:autoSpaceDN w:val="0"/>
        <w:spacing w:line="400" w:lineRule="exact"/>
        <w:ind w:firstLine="641"/>
        <w:rPr>
          <w:rFonts w:hint="default" w:ascii="Times New Roman" w:hAnsi="Times New Roman" w:eastAsia="仿宋_GB2312" w:cs="Times New Roman"/>
          <w:color w:val="FF0000"/>
          <w:sz w:val="32"/>
          <w:szCs w:val="32"/>
          <w:lang w:bidi="ar-SA"/>
        </w:rPr>
      </w:pPr>
    </w:p>
    <w:p>
      <w:pPr>
        <w:kinsoku/>
        <w:wordWrap/>
        <w:overflowPunct/>
        <w:topLinePunct w:val="0"/>
        <w:autoSpaceDE/>
        <w:autoSpaceDN w:val="0"/>
        <w:spacing w:line="600" w:lineRule="exact"/>
        <w:ind w:firstLine="640"/>
        <w:rPr>
          <w:rFonts w:hint="default" w:ascii="Times New Roman" w:hAnsi="Times New Roman" w:eastAsia="仿宋_GB2312" w:cs="Times New Roman"/>
          <w:color w:val="FF0000"/>
          <w:sz w:val="32"/>
          <w:szCs w:val="32"/>
          <w:lang w:bidi="ar-SA"/>
        </w:rPr>
      </w:pPr>
    </w:p>
    <w:p>
      <w:pPr>
        <w:kinsoku/>
        <w:wordWrap/>
        <w:overflowPunct/>
        <w:topLinePunct w:val="0"/>
        <w:autoSpaceDE/>
        <w:autoSpaceDN w:val="0"/>
        <w:ind w:left="0" w:firstLine="0"/>
        <w:jc w:val="center"/>
        <w:rPr>
          <w:rFonts w:hint="default" w:ascii="Times New Roman" w:hAnsi="Times New Roman" w:eastAsia="方正小标宋简体" w:cs="Times New Roman"/>
          <w:b/>
          <w:bCs/>
          <w:color w:val="FFFFFF"/>
          <w:spacing w:val="-8"/>
          <w:w w:val="92"/>
          <w:sz w:val="96"/>
          <w:szCs w:val="110"/>
          <w:shd w:val="solid" w:color="FFFFFF" w:fill="FFFFFF"/>
          <w:lang w:bidi="ar-SA"/>
        </w:rPr>
      </w:pPr>
      <w:r>
        <w:rPr>
          <w:rFonts w:hint="default" w:ascii="Times New Roman" w:hAnsi="Times New Roman" w:eastAsia="方正小标宋简体" w:cs="Times New Roman"/>
          <w:b/>
          <w:bCs/>
          <w:color w:val="FFFFFF"/>
          <w:spacing w:val="-8"/>
          <w:w w:val="92"/>
          <w:sz w:val="96"/>
          <w:szCs w:val="110"/>
          <w:shd w:val="solid" w:color="FFFFFF" w:fill="FFFFFF"/>
          <w:lang w:bidi="ar-SA"/>
        </w:rPr>
        <w:t>盐池县卫生健康局文件</w:t>
      </w:r>
    </w:p>
    <w:p>
      <w:pPr>
        <w:kinsoku/>
        <w:wordWrap/>
        <w:overflowPunct/>
        <w:topLinePunct w:val="0"/>
        <w:autoSpaceDE/>
        <w:autoSpaceDN w:val="0"/>
        <w:spacing w:line="600" w:lineRule="exact"/>
        <w:ind w:firstLine="480" w:firstLineChars="150"/>
        <w:rPr>
          <w:rFonts w:hint="default" w:ascii="Times New Roman" w:hAnsi="Times New Roman" w:eastAsia="仿宋_GB2312" w:cs="Times New Roman"/>
          <w:color w:val="FF0000"/>
          <w:sz w:val="32"/>
          <w:szCs w:val="32"/>
          <w:lang w:bidi="ar-SA"/>
        </w:rPr>
      </w:pPr>
    </w:p>
    <w:p>
      <w:pPr>
        <w:kinsoku/>
        <w:wordWrap/>
        <w:overflowPunct/>
        <w:topLinePunct w:val="0"/>
        <w:autoSpaceDE/>
        <w:autoSpaceDN w:val="0"/>
        <w:spacing w:line="600" w:lineRule="exact"/>
        <w:ind w:firstLine="320" w:firstLineChars="100"/>
        <w:rPr>
          <w:rFonts w:hint="default" w:ascii="Times New Roman" w:hAnsi="Times New Roman" w:eastAsia="仿宋_GB2312" w:cs="Times New Roman"/>
          <w:color w:val="FF0000"/>
          <w:sz w:val="32"/>
          <w:szCs w:val="32"/>
          <w:lang w:eastAsia="zh-CN" w:bidi="ar-SA"/>
        </w:rPr>
      </w:pPr>
      <w:bookmarkStart w:id="0" w:name="_GoBack"/>
      <w:r>
        <w:rPr>
          <w:rFonts w:hint="default" w:ascii="Times New Roman" w:hAnsi="Times New Roman" w:eastAsia="仿宋_GB2312" w:cs="Times New Roman"/>
          <w:color w:val="000000"/>
          <w:sz w:val="32"/>
          <w:szCs w:val="32"/>
          <w:lang w:bidi="ar-SA"/>
        </w:rPr>
        <w:t>盐卫健发〔20</w:t>
      </w:r>
      <w:r>
        <w:rPr>
          <w:rFonts w:hint="default" w:ascii="Times New Roman" w:hAnsi="Times New Roman" w:eastAsia="仿宋_GB2312" w:cs="Times New Roman"/>
          <w:color w:val="000000"/>
          <w:sz w:val="32"/>
          <w:szCs w:val="32"/>
          <w:lang w:val="en-US" w:eastAsia="zh-CN" w:bidi="ar-SA"/>
        </w:rPr>
        <w:t>23</w:t>
      </w:r>
      <w:r>
        <w:rPr>
          <w:rFonts w:hint="default" w:ascii="Times New Roman" w:hAnsi="Times New Roman" w:eastAsia="仿宋_GB2312" w:cs="Times New Roman"/>
          <w:color w:val="000000"/>
          <w:sz w:val="32"/>
          <w:szCs w:val="32"/>
          <w:lang w:bidi="ar-SA"/>
        </w:rPr>
        <w:t>〕</w:t>
      </w:r>
      <w:r>
        <w:rPr>
          <w:rFonts w:hint="eastAsia" w:ascii="Times New Roman" w:hAnsi="Times New Roman" w:cs="Times New Roman"/>
          <w:color w:val="000000"/>
          <w:sz w:val="32"/>
          <w:szCs w:val="32"/>
          <w:lang w:val="en-US" w:eastAsia="zh-CN" w:bidi="ar-SA"/>
        </w:rPr>
        <w:t>50</w:t>
      </w:r>
      <w:r>
        <w:rPr>
          <w:rFonts w:hint="default" w:ascii="Times New Roman" w:hAnsi="Times New Roman" w:eastAsia="仿宋_GB2312" w:cs="Times New Roman"/>
          <w:color w:val="000000"/>
          <w:sz w:val="32"/>
          <w:szCs w:val="32"/>
          <w:lang w:bidi="ar-SA"/>
        </w:rPr>
        <w:t>号</w:t>
      </w:r>
      <w:bookmarkEnd w:id="0"/>
      <w:r>
        <w:rPr>
          <w:rFonts w:hint="default" w:ascii="Times New Roman" w:hAnsi="Times New Roman" w:eastAsia="仿宋_GB2312" w:cs="Times New Roman"/>
          <w:color w:val="000000"/>
          <w:sz w:val="32"/>
          <w:szCs w:val="32"/>
          <w:lang w:bidi="ar-SA"/>
        </w:rPr>
        <w:t xml:space="preserve">      </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 xml:space="preserve">    </w:t>
      </w:r>
      <w:r>
        <w:rPr>
          <w:rFonts w:hint="default" w:ascii="Times New Roman" w:hAnsi="Times New Roman" w:eastAsia="仿宋_GB2312" w:cs="Times New Roman"/>
          <w:color w:val="000000"/>
          <w:sz w:val="32"/>
          <w:szCs w:val="32"/>
          <w:lang w:val="en-US" w:eastAsia="zh-CN" w:bidi="ar-SA"/>
        </w:rPr>
        <w:t xml:space="preserve"> </w:t>
      </w:r>
      <w:r>
        <w:rPr>
          <w:rFonts w:hint="default" w:ascii="Times New Roman" w:hAnsi="Times New Roman" w:eastAsia="仿宋_GB2312" w:cs="Times New Roman"/>
          <w:color w:val="000000"/>
          <w:sz w:val="32"/>
          <w:szCs w:val="32"/>
          <w:lang w:bidi="ar-SA"/>
        </w:rPr>
        <w:t xml:space="preserve">     签发人：</w:t>
      </w:r>
      <w:r>
        <w:rPr>
          <w:rFonts w:hint="default" w:ascii="Times New Roman" w:hAnsi="Times New Roman" w:eastAsia="楷体_GB2312" w:cs="Times New Roman"/>
          <w:color w:val="000000"/>
          <w:sz w:val="32"/>
          <w:szCs w:val="32"/>
          <w:lang w:eastAsia="zh-CN" w:bidi="ar-SA"/>
        </w:rPr>
        <w:t>郭文科</w:t>
      </w:r>
    </w:p>
    <w:p>
      <w:pPr>
        <w:keepNext w:val="0"/>
        <w:keepLines w:val="0"/>
        <w:pageBreakBefore w:val="0"/>
        <w:widowControl w:val="0"/>
        <w:kinsoku/>
        <w:wordWrap/>
        <w:overflowPunct/>
        <w:topLinePunct w:val="0"/>
        <w:autoSpaceDE/>
        <w:autoSpaceDN w:val="0"/>
        <w:bidi w:val="0"/>
        <w:adjustRightInd/>
        <w:snapToGrid/>
        <w:spacing w:line="600" w:lineRule="exact"/>
        <w:textAlignment w:val="auto"/>
        <w:rPr>
          <w:rFonts w:hint="default" w:ascii="Times New Roman" w:hAnsi="Times New Roman" w:eastAsia="仿宋_GB2312" w:cs="Times New Roman"/>
          <w:color w:val="FF0000"/>
          <w:sz w:val="32"/>
          <w:szCs w:val="32"/>
          <w:lang w:bidi="ar-SA"/>
        </w:rPr>
      </w:pPr>
      <w:r>
        <w:rPr>
          <w:rFonts w:hint="default" w:ascii="Times New Roman" w:hAnsi="Times New Roman" w:cs="Times New Roman"/>
          <w:color w:val="FF0000"/>
          <w:lang w:bidi="ar-SA"/>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37465</wp:posOffset>
                </wp:positionV>
                <wp:extent cx="5567045" cy="0"/>
                <wp:effectExtent l="0" t="13970" r="14605" b="24130"/>
                <wp:wrapNone/>
                <wp:docPr id="5" name="直接连接符 5"/>
                <wp:cNvGraphicFramePr/>
                <a:graphic xmlns:a="http://schemas.openxmlformats.org/drawingml/2006/main">
                  <a:graphicData uri="http://schemas.microsoft.com/office/word/2010/wordprocessingShape">
                    <wps:wsp>
                      <wps:cNvCnPr/>
                      <wps:spPr>
                        <a:xfrm>
                          <a:off x="0" y="0"/>
                          <a:ext cx="5567045" cy="0"/>
                        </a:xfrm>
                        <a:prstGeom prst="line">
                          <a:avLst/>
                        </a:prstGeom>
                        <a:ln w="28575" cap="flat" cmpd="sng">
                          <a:solidFill>
                            <a:srgbClr val="FFFFFF"/>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10.8pt;margin-top:2.95pt;height:0pt;width:438.35pt;z-index:251659264;mso-width-relative:page;mso-height-relative:page;" filled="f" stroked="t" coordsize="21600,21600" o:gfxdata="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yZOg9EAAAAGAQAADwAAAAAAAAABACAAAAAiAAAAZHJzL2Rvd25yZXYueG1s&#10;UEsBAhQAFAAAAAgAh07iQHEiMEr/AQAA/QMAAA4AAAAAAAAAAQAgAAAAIAEAAGRycy9lMm9Eb2Mu&#10;eG1sUEsFBgAAAAAGAAYAWQEAAJEFAAAAAA==&#10;">
                <v:path arrowok="t"/>
                <v:fill on="f" focussize="0,0"/>
                <v:stroke weight="2.25pt" color="#FFFFFF" joinstyle="round"/>
                <v:imagedata o:title=""/>
                <o:lock v:ext="edit" aspectratio="f"/>
              </v:line>
            </w:pict>
          </mc:Fallback>
        </mc:AlternateContent>
      </w:r>
    </w:p>
    <w:p>
      <w:pPr>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小标宋简体" w:cs="Times New Roman"/>
          <w:bCs/>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关于呈报盐池县</w:t>
      </w:r>
      <w:r>
        <w:rPr>
          <w:rFonts w:hint="default" w:ascii="Times New Roman" w:hAnsi="Times New Roman" w:eastAsia="方正小标宋_GBK" w:cs="Times New Roman"/>
          <w:color w:val="auto"/>
          <w:sz w:val="44"/>
          <w:szCs w:val="44"/>
          <w:lang w:val="en-US" w:eastAsia="zh-CN"/>
        </w:rPr>
        <w:t>2023</w:t>
      </w:r>
      <w:r>
        <w:rPr>
          <w:rFonts w:hint="default" w:ascii="Times New Roman" w:hAnsi="Times New Roman" w:eastAsia="方正小标宋_GBK" w:cs="Times New Roman"/>
          <w:color w:val="auto"/>
          <w:sz w:val="44"/>
          <w:szCs w:val="44"/>
        </w:rPr>
        <w:t>年上半年卫生健康</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工作总结暨下一步工作打算的报告</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outlineLvl w:val="9"/>
        <w:rPr>
          <w:rFonts w:hint="eastAsia" w:ascii="Times New Roman" w:hAnsi="Times New Roman" w:eastAsia="仿宋_GB2312" w:cs="Times New Roman"/>
          <w:bCs/>
          <w:color w:val="auto"/>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auto"/>
        <w:outlineLvl w:val="9"/>
        <w:rPr>
          <w:rFonts w:hint="default" w:ascii="Times New Roman" w:hAnsi="Times New Roman" w:eastAsia="仿宋_GB2312" w:cs="Times New Roman"/>
          <w:bCs/>
          <w:color w:val="auto"/>
          <w:sz w:val="32"/>
          <w:szCs w:val="32"/>
          <w:lang w:eastAsia="zh-CN"/>
        </w:rPr>
      </w:pPr>
      <w:r>
        <w:rPr>
          <w:rFonts w:hint="eastAsia" w:ascii="Times New Roman" w:hAnsi="Times New Roman" w:eastAsia="仿宋_GB2312" w:cs="Times New Roman"/>
          <w:bCs/>
          <w:color w:val="auto"/>
          <w:sz w:val="32"/>
          <w:szCs w:val="32"/>
          <w:lang w:eastAsia="zh-CN"/>
        </w:rPr>
        <w:t>县委办：</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Cs/>
          <w:color w:val="auto"/>
          <w:sz w:val="32"/>
          <w:szCs w:val="32"/>
          <w:lang w:eastAsia="zh-CN"/>
        </w:rPr>
        <w:t>今年以来，</w:t>
      </w:r>
      <w:r>
        <w:rPr>
          <w:rFonts w:hint="default" w:ascii="Times New Roman" w:hAnsi="Times New Roman" w:eastAsia="仿宋_GB2312" w:cs="Times New Roman"/>
          <w:color w:val="auto"/>
          <w:sz w:val="32"/>
          <w:szCs w:val="32"/>
          <w:lang w:eastAsia="zh-CN"/>
        </w:rPr>
        <w:t>我局</w:t>
      </w:r>
      <w:r>
        <w:rPr>
          <w:rFonts w:hint="default" w:ascii="Times New Roman" w:hAnsi="Times New Roman" w:eastAsia="仿宋_GB2312" w:cs="Times New Roman"/>
          <w:color w:val="auto"/>
          <w:sz w:val="32"/>
          <w:szCs w:val="32"/>
        </w:rPr>
        <w:t>在县委</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政府的坚强领导下，在上级业务部门的大力支持下，</w:t>
      </w:r>
      <w:r>
        <w:rPr>
          <w:rFonts w:hint="default" w:ascii="Times New Roman" w:hAnsi="Times New Roman" w:eastAsia="仿宋_GB2312" w:cs="Times New Roman"/>
          <w:color w:val="auto"/>
          <w:sz w:val="32"/>
          <w:szCs w:val="32"/>
          <w:lang w:eastAsia="zh-CN"/>
        </w:rPr>
        <w:t>坚持</w:t>
      </w:r>
      <w:r>
        <w:rPr>
          <w:rFonts w:hint="default" w:ascii="Times New Roman" w:hAnsi="Times New Roman" w:eastAsia="仿宋_GB2312" w:cs="Times New Roman"/>
          <w:b w:val="0"/>
          <w:bCs/>
          <w:color w:val="auto"/>
          <w:sz w:val="32"/>
          <w:szCs w:val="32"/>
        </w:rPr>
        <w:t>以习近平新时代中国特色社会主义思想为指导，</w:t>
      </w:r>
      <w:r>
        <w:rPr>
          <w:rFonts w:hint="default" w:ascii="Times New Roman" w:hAnsi="Times New Roman" w:eastAsia="仿宋_GB2312" w:cs="Times New Roman"/>
          <w:b w:val="0"/>
          <w:bCs/>
          <w:color w:val="auto"/>
          <w:sz w:val="32"/>
          <w:szCs w:val="32"/>
          <w:lang w:eastAsia="zh-CN"/>
        </w:rPr>
        <w:t>全面贯彻落实党的二十大精神，</w:t>
      </w:r>
      <w:r>
        <w:rPr>
          <w:rFonts w:hint="default" w:ascii="Times New Roman" w:hAnsi="Times New Roman" w:eastAsia="仿宋_GB2312" w:cs="Times New Roman"/>
          <w:b w:val="0"/>
          <w:bCs/>
          <w:color w:val="auto"/>
          <w:sz w:val="32"/>
          <w:szCs w:val="32"/>
        </w:rPr>
        <w:t>以人民健康为中心，持续深化医疗、医保、医药“三医”联动改革，扎实推进</w:t>
      </w:r>
      <w:r>
        <w:rPr>
          <w:rFonts w:hint="default" w:ascii="Times New Roman" w:hAnsi="Times New Roman" w:eastAsia="仿宋_GB2312" w:cs="Times New Roman"/>
          <w:b w:val="0"/>
          <w:bCs/>
          <w:color w:val="auto"/>
          <w:sz w:val="32"/>
          <w:szCs w:val="32"/>
          <w:lang w:eastAsia="zh-CN"/>
        </w:rPr>
        <w:t>健康盐池建设</w:t>
      </w:r>
      <w:r>
        <w:rPr>
          <w:rFonts w:hint="default" w:ascii="Times New Roman" w:hAnsi="Times New Roman" w:eastAsia="仿宋_GB2312" w:cs="Times New Roman"/>
          <w:b w:val="0"/>
          <w:bCs/>
          <w:color w:val="auto"/>
          <w:sz w:val="32"/>
          <w:szCs w:val="32"/>
        </w:rPr>
        <w:t>，医疗卫生服务能力全面提升，</w:t>
      </w:r>
      <w:r>
        <w:rPr>
          <w:rFonts w:hint="default" w:ascii="Times New Roman" w:hAnsi="Times New Roman" w:eastAsia="仿宋_GB2312" w:cs="Times New Roman"/>
          <w:color w:val="auto"/>
          <w:sz w:val="32"/>
          <w:szCs w:val="32"/>
          <w:highlight w:val="none"/>
        </w:rPr>
        <w:t>截至</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月底，严重精神障碍患者报告患病率</w:t>
      </w:r>
      <w:r>
        <w:rPr>
          <w:rFonts w:hint="default" w:ascii="Times New Roman" w:hAnsi="Times New Roman" w:eastAsia="仿宋_GB2312" w:cs="Times New Roman"/>
          <w:color w:val="auto"/>
          <w:sz w:val="32"/>
          <w:szCs w:val="32"/>
          <w:highlight w:val="none"/>
          <w:lang w:val="en-US" w:eastAsia="zh-CN"/>
        </w:rPr>
        <w:t>4.3</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无孕产妇死亡，</w:t>
      </w:r>
      <w:r>
        <w:rPr>
          <w:rFonts w:hint="default" w:ascii="Times New Roman" w:hAnsi="Times New Roman" w:eastAsia="仿宋_GB2312" w:cs="Times New Roman"/>
          <w:color w:val="auto"/>
          <w:sz w:val="32"/>
          <w:szCs w:val="32"/>
          <w:highlight w:val="none"/>
        </w:rPr>
        <w:t>人口出生率</w:t>
      </w:r>
      <w:r>
        <w:rPr>
          <w:rFonts w:hint="eastAsia" w:ascii="Times New Roman" w:hAnsi="Times New Roman" w:eastAsia="仿宋_GB2312" w:cs="Times New Roman"/>
          <w:color w:val="auto"/>
          <w:sz w:val="32"/>
          <w:szCs w:val="32"/>
          <w:highlight w:val="none"/>
          <w:lang w:val="en-US" w:eastAsia="zh-CN"/>
        </w:rPr>
        <w:t>3.7</w:t>
      </w:r>
      <w:r>
        <w:rPr>
          <w:rFonts w:hint="default" w:ascii="Times New Roman" w:hAnsi="Times New Roman" w:eastAsia="仿宋_GB2312" w:cs="Times New Roman"/>
          <w:color w:val="auto"/>
          <w:sz w:val="32"/>
          <w:szCs w:val="32"/>
          <w:highlight w:val="none"/>
        </w:rPr>
        <w:t>‰，全员人口信息统计准确率均达到9</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%以上，预计能够全面完成区市下达的各项指标任务。</w:t>
      </w:r>
    </w:p>
    <w:p>
      <w:pPr>
        <w:pStyle w:val="2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2"/>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主要做法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（一）</w:t>
      </w:r>
      <w:r>
        <w:rPr>
          <w:rFonts w:hint="default" w:ascii="Times New Roman" w:hAnsi="Times New Roman" w:eastAsia="楷体_GB2312" w:cs="Times New Roman"/>
          <w:b/>
          <w:bCs/>
          <w:color w:val="auto"/>
          <w:sz w:val="32"/>
          <w:szCs w:val="32"/>
          <w:lang w:val="en-US" w:bidi="ar-SA"/>
        </w:rPr>
        <w:t>深化综合医改，</w:t>
      </w:r>
      <w:r>
        <w:rPr>
          <w:rFonts w:hint="default" w:ascii="Times New Roman" w:hAnsi="Times New Roman" w:eastAsia="楷体_GB2312" w:cs="Times New Roman"/>
          <w:b/>
          <w:bCs/>
          <w:color w:val="auto"/>
          <w:sz w:val="32"/>
          <w:szCs w:val="32"/>
          <w:lang w:val="en-US" w:eastAsia="zh-CN" w:bidi="ar-SA"/>
        </w:rPr>
        <w:t>推动卫生健康工作提质增效。</w:t>
      </w:r>
      <w:r>
        <w:rPr>
          <w:rFonts w:hint="default" w:ascii="Times New Roman" w:hAnsi="Times New Roman" w:eastAsia="仿宋_GB2312" w:cs="Times New Roman"/>
          <w:b/>
          <w:bCs w:val="0"/>
          <w:color w:val="auto"/>
          <w:sz w:val="32"/>
          <w:szCs w:val="32"/>
          <w:lang w:val="en-US" w:eastAsia="zh-CN"/>
        </w:rPr>
        <w:t>一是全面深化县域医改工作。</w:t>
      </w:r>
      <w:r>
        <w:rPr>
          <w:rFonts w:hint="default" w:ascii="Times New Roman" w:hAnsi="Times New Roman" w:eastAsia="仿宋_GB2312" w:cs="Times New Roman"/>
          <w:color w:val="auto"/>
          <w:kern w:val="2"/>
          <w:sz w:val="32"/>
          <w:szCs w:val="32"/>
          <w:lang w:val="en-US" w:eastAsia="zh-CN" w:bidi="ar-SA"/>
        </w:rPr>
        <w:t>制定下发《盐池县推动公立医院高质量发展的实施方案》</w:t>
      </w:r>
      <w:r>
        <w:rPr>
          <w:rFonts w:hint="default" w:ascii="Times New Roman" w:hAnsi="Times New Roman" w:eastAsia="仿宋_GB2312" w:cs="Times New Roman"/>
          <w:bCs/>
          <w:color w:val="auto"/>
          <w:sz w:val="32"/>
          <w:szCs w:val="32"/>
          <w:lang w:val="en-US" w:eastAsia="zh-CN"/>
        </w:rPr>
        <w:t>，为全县符合条件的100名村医缴纳养老保险，稳定优化村医队伍，筑牢基层医疗卫生服务网底。5月11日，自治区卫健委基层处对2022年县域医共体建设自评工作进行复审，专家组对我县县域医共体建设工作给予了充分肯定。“一二三五九”盐池医改模式在</w:t>
      </w:r>
      <w:r>
        <w:rPr>
          <w:rFonts w:hint="default" w:ascii="Times New Roman" w:hAnsi="Times New Roman" w:eastAsia="仿宋_GB2312" w:cs="Times New Roman"/>
          <w:bCs/>
          <w:color w:val="auto"/>
          <w:kern w:val="2"/>
          <w:sz w:val="32"/>
          <w:szCs w:val="32"/>
          <w:lang w:val="en-US" w:eastAsia="zh-CN" w:bidi="ar-SA"/>
        </w:rPr>
        <w:t>国家卫健委紧密型县域医共体工作专刊上刊登交流。</w:t>
      </w:r>
      <w:r>
        <w:rPr>
          <w:rFonts w:hint="default" w:ascii="Times New Roman" w:hAnsi="Times New Roman" w:eastAsia="仿宋_GB2312" w:cs="Times New Roman"/>
          <w:b/>
          <w:bCs/>
          <w:color w:val="auto"/>
          <w:sz w:val="32"/>
          <w:szCs w:val="32"/>
          <w:lang w:val="en-US" w:eastAsia="zh-CN"/>
        </w:rPr>
        <w:t>二是纵深推进互联网+“医疗健康”建设。</w:t>
      </w:r>
      <w:r>
        <w:rPr>
          <w:rFonts w:hint="default" w:ascii="Times New Roman" w:hAnsi="Times New Roman" w:eastAsia="仿宋_GB2312" w:cs="Times New Roman"/>
          <w:b w:val="0"/>
          <w:bCs w:val="0"/>
          <w:color w:val="auto"/>
          <w:sz w:val="32"/>
          <w:szCs w:val="32"/>
          <w:lang w:val="en-US" w:eastAsia="zh-CN"/>
        </w:rPr>
        <w:t>以抓重点、促应用、提质量为目标，</w:t>
      </w:r>
      <w:r>
        <w:rPr>
          <w:rFonts w:hint="eastAsia" w:ascii="Times New Roman" w:hAnsi="Times New Roman" w:eastAsia="仿宋_GB2312" w:cs="Times New Roman"/>
          <w:b w:val="0"/>
          <w:bCs w:val="0"/>
          <w:color w:val="auto"/>
          <w:sz w:val="32"/>
          <w:szCs w:val="32"/>
          <w:lang w:val="en-US" w:eastAsia="zh-CN"/>
        </w:rPr>
        <w:t>大力</w:t>
      </w:r>
      <w:r>
        <w:rPr>
          <w:rFonts w:hint="default" w:ascii="Times New Roman" w:hAnsi="Times New Roman" w:eastAsia="仿宋_GB2312" w:cs="Times New Roman"/>
          <w:b w:val="0"/>
          <w:bCs w:val="0"/>
          <w:color w:val="auto"/>
          <w:sz w:val="32"/>
          <w:szCs w:val="32"/>
          <w:lang w:val="en-US" w:eastAsia="zh-CN"/>
        </w:rPr>
        <w:t>推动县域医共体信息化平台建设，</w:t>
      </w:r>
      <w:r>
        <w:rPr>
          <w:rFonts w:hint="default" w:ascii="Times New Roman" w:hAnsi="Times New Roman" w:eastAsia="仿宋_GB2312" w:cs="Times New Roman"/>
          <w:color w:val="auto"/>
          <w:sz w:val="32"/>
          <w:szCs w:val="32"/>
          <w:lang w:val="en-US"/>
        </w:rPr>
        <w:t>高沙窝镇卫生院等四家乡镇卫生院远程超声系统投入运行</w:t>
      </w:r>
      <w:r>
        <w:rPr>
          <w:rFonts w:hint="default" w:ascii="Times New Roman" w:hAnsi="Times New Roman" w:eastAsia="仿宋_GB2312" w:cs="Times New Roman"/>
          <w:b w:val="0"/>
          <w:bCs w:val="0"/>
          <w:color w:val="auto"/>
          <w:sz w:val="32"/>
          <w:szCs w:val="32"/>
          <w:lang w:val="en-US" w:eastAsia="zh-CN"/>
        </w:rPr>
        <w:t>。目前，远程心电中心诊断服务14261人次，影像中心诊断服务15908人次，远程视频门诊服务312例。基层人工智能诊疗系统全面推广应用，累计利用人工智能诊断平台产生患者病历54.79万份，AI辅诊279.94万人次，病历规范率由辅诊上线初期的80%上升至99%，基本实现基层检查，上级诊断的新型诊疗服务模式，解决了基层卫生辅助检查技术人才匮乏的问题，提升了乡、村两级医疗服务水平。</w:t>
      </w:r>
      <w:r>
        <w:rPr>
          <w:rFonts w:hint="default" w:ascii="Times New Roman" w:hAnsi="Times New Roman" w:eastAsia="仿宋_GB2312" w:cs="Times New Roman"/>
          <w:b/>
          <w:bCs/>
          <w:color w:val="auto"/>
          <w:sz w:val="32"/>
          <w:szCs w:val="32"/>
          <w:lang w:val="en-US" w:eastAsia="zh-CN"/>
        </w:rPr>
        <w:t>三是深入推进医防融合服务。</w:t>
      </w:r>
      <w:r>
        <w:rPr>
          <w:rFonts w:hint="default" w:ascii="Times New Roman" w:hAnsi="Times New Roman" w:eastAsia="仿宋_GB2312" w:cs="Times New Roman"/>
          <w:b w:val="0"/>
          <w:bCs w:val="0"/>
          <w:color w:val="auto"/>
          <w:kern w:val="2"/>
          <w:sz w:val="32"/>
          <w:szCs w:val="32"/>
          <w:lang w:val="en-US" w:eastAsia="zh-CN" w:bidi="ar-SA"/>
        </w:rPr>
        <w:t>以高血压、糖尿病等慢性病及癌症早期筛查干预为切入点，制定下发《盐池县2023年早期肺癌免费筛查项目实施方案》《盐池县2023年早期上消化道癌筛查实施方案》，</w:t>
      </w:r>
      <w:r>
        <w:rPr>
          <w:rFonts w:hint="default" w:ascii="Times New Roman" w:hAnsi="Times New Roman" w:eastAsia="仿宋_GB2312" w:cs="Times New Roman"/>
          <w:color w:val="000000"/>
          <w:kern w:val="2"/>
          <w:sz w:val="32"/>
          <w:szCs w:val="32"/>
          <w:u w:val="none"/>
          <w:shd w:val="clear" w:color="auto" w:fill="auto"/>
          <w:lang w:val="en-US" w:eastAsia="zh-CN" w:bidi="ar-SA"/>
        </w:rPr>
        <w:t>积极拓展实施心血管病、脑卒中、慢阻肺、消化道癌等重大慢性病筛查和早诊早治工作，</w:t>
      </w:r>
      <w:r>
        <w:rPr>
          <w:rFonts w:hint="default" w:ascii="Times New Roman" w:hAnsi="Times New Roman" w:eastAsia="仿宋_GB2312" w:cs="Times New Roman"/>
          <w:b w:val="0"/>
          <w:bCs w:val="0"/>
          <w:color w:val="auto"/>
          <w:kern w:val="2"/>
          <w:sz w:val="32"/>
          <w:szCs w:val="32"/>
          <w:lang w:val="en-US" w:eastAsia="zh-CN" w:bidi="ar-SA"/>
        </w:rPr>
        <w:t>有效干预高危人群发病风险，降低居民癌症死亡率。截至目前，早期肺癌筛查980人、筛查出中高危人群95例；早期上消化道癌筛查311人、筛查出中高危人群170例；宫颈癌、乳腺癌各筛查5034例。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lang w:val="en-US" w:eastAsia="zh-CN" w:bidi="ar-SA"/>
        </w:rPr>
      </w:pPr>
      <w:r>
        <w:rPr>
          <w:rFonts w:hint="default" w:ascii="Times New Roman" w:hAnsi="Times New Roman" w:eastAsia="楷体_GB2312" w:cs="Times New Roman"/>
          <w:b/>
          <w:bCs/>
          <w:color w:val="auto"/>
          <w:sz w:val="32"/>
          <w:szCs w:val="32"/>
          <w:lang w:val="en-US" w:eastAsia="zh-CN" w:bidi="ar-SA"/>
        </w:rPr>
        <w:t>（二）强化体系建设，</w:t>
      </w:r>
      <w:r>
        <w:rPr>
          <w:rFonts w:hint="default" w:ascii="Times New Roman" w:hAnsi="Times New Roman" w:eastAsia="楷体_GB2312" w:cs="Times New Roman"/>
          <w:b/>
          <w:bCs/>
          <w:color w:val="auto"/>
          <w:sz w:val="32"/>
          <w:szCs w:val="32"/>
          <w:lang w:val="en-US" w:bidi="ar-SA"/>
        </w:rPr>
        <w:t>医疗服务水平</w:t>
      </w:r>
      <w:r>
        <w:rPr>
          <w:rFonts w:hint="default" w:ascii="Times New Roman" w:hAnsi="Times New Roman" w:eastAsia="楷体_GB2312" w:cs="Times New Roman"/>
          <w:b/>
          <w:bCs/>
          <w:color w:val="auto"/>
          <w:sz w:val="32"/>
          <w:szCs w:val="32"/>
          <w:lang w:val="en-US" w:eastAsia="zh-CN" w:bidi="ar-SA"/>
        </w:rPr>
        <w:t>持续提升</w:t>
      </w:r>
      <w:r>
        <w:rPr>
          <w:rFonts w:hint="default" w:ascii="Times New Roman" w:hAnsi="Times New Roman" w:eastAsia="楷体_GB2312" w:cs="Times New Roman"/>
          <w:b/>
          <w:bCs/>
          <w:color w:val="auto"/>
          <w:sz w:val="32"/>
          <w:szCs w:val="32"/>
          <w:lang w:val="en-US" w:bidi="ar-SA"/>
        </w:rPr>
        <w:t>。</w:t>
      </w:r>
      <w:r>
        <w:rPr>
          <w:rFonts w:hint="default" w:ascii="Times New Roman" w:hAnsi="Times New Roman" w:eastAsia="仿宋_GB2312" w:cs="Times New Roman"/>
          <w:b/>
          <w:bCs/>
          <w:color w:val="auto"/>
          <w:kern w:val="2"/>
          <w:sz w:val="32"/>
          <w:szCs w:val="32"/>
          <w:lang w:val="en-US" w:eastAsia="zh-CN" w:bidi="ar-SA"/>
        </w:rPr>
        <w:t>一是持续</w:t>
      </w:r>
      <w:r>
        <w:rPr>
          <w:rFonts w:hint="default" w:ascii="Times New Roman" w:hAnsi="Times New Roman" w:eastAsia="仿宋" w:cs="Times New Roman"/>
          <w:b/>
          <w:bCs/>
          <w:color w:val="auto"/>
          <w:sz w:val="32"/>
          <w:szCs w:val="32"/>
          <w:highlight w:val="none"/>
          <w:lang w:val="en-US" w:eastAsia="zh-CN"/>
        </w:rPr>
        <w:t>加强人才培养。</w:t>
      </w:r>
      <w:r>
        <w:rPr>
          <w:rFonts w:hint="default" w:ascii="Times New Roman" w:hAnsi="Times New Roman" w:eastAsia="仿宋_GB2312" w:cs="Times New Roman"/>
          <w:b w:val="0"/>
          <w:bCs w:val="0"/>
          <w:color w:val="auto"/>
          <w:kern w:val="2"/>
          <w:sz w:val="32"/>
          <w:szCs w:val="32"/>
          <w:lang w:val="en-US" w:eastAsia="zh-CN" w:bidi="ar-SA"/>
        </w:rPr>
        <w:t>结合“千名医生下基层”和“对口帮扶”机制，与区内外多家医疗机构建立人才联合培养机制，</w:t>
      </w:r>
      <w:r>
        <w:rPr>
          <w:rFonts w:hint="default" w:ascii="Times New Roman" w:hAnsi="Times New Roman" w:eastAsia="仿宋_GB2312" w:cs="Times New Roman"/>
          <w:color w:val="auto"/>
          <w:kern w:val="2"/>
          <w:sz w:val="32"/>
          <w:szCs w:val="32"/>
          <w:highlight w:val="none"/>
          <w:lang w:eastAsia="zh-CN"/>
        </w:rPr>
        <w:t>选派</w:t>
      </w:r>
      <w:r>
        <w:rPr>
          <w:rFonts w:hint="default" w:ascii="Times New Roman" w:hAnsi="Times New Roman" w:eastAsia="仿宋_GB2312" w:cs="Times New Roman"/>
          <w:color w:val="auto"/>
          <w:kern w:val="2"/>
          <w:sz w:val="32"/>
          <w:szCs w:val="32"/>
          <w:highlight w:val="none"/>
          <w:lang w:val="en" w:eastAsia="zh-CN"/>
        </w:rPr>
        <w:t>22</w:t>
      </w:r>
      <w:r>
        <w:rPr>
          <w:rFonts w:hint="default" w:ascii="Times New Roman" w:hAnsi="Times New Roman" w:eastAsia="仿宋_GB2312" w:cs="Times New Roman"/>
          <w:color w:val="auto"/>
          <w:kern w:val="2"/>
          <w:sz w:val="32"/>
          <w:szCs w:val="32"/>
          <w:highlight w:val="none"/>
          <w:lang w:eastAsia="zh-CN"/>
        </w:rPr>
        <w:t>名</w:t>
      </w:r>
      <w:r>
        <w:rPr>
          <w:rFonts w:hint="default" w:ascii="Times New Roman" w:hAnsi="Times New Roman" w:eastAsia="仿宋_GB2312" w:cs="Times New Roman"/>
          <w:color w:val="auto"/>
          <w:kern w:val="2"/>
          <w:sz w:val="32"/>
          <w:szCs w:val="32"/>
          <w:highlight w:val="none"/>
          <w:lang w:val="en-US" w:eastAsia="zh-CN"/>
        </w:rPr>
        <w:t>县级医疗机构业务</w:t>
      </w:r>
      <w:r>
        <w:rPr>
          <w:rFonts w:hint="default" w:ascii="Times New Roman" w:hAnsi="Times New Roman" w:eastAsia="仿宋_GB2312" w:cs="Times New Roman"/>
          <w:color w:val="auto"/>
          <w:kern w:val="2"/>
          <w:sz w:val="32"/>
          <w:szCs w:val="32"/>
          <w:highlight w:val="none"/>
          <w:lang w:eastAsia="zh-CN"/>
        </w:rPr>
        <w:t>骨干到</w:t>
      </w:r>
      <w:r>
        <w:rPr>
          <w:rFonts w:hint="default" w:ascii="Times New Roman" w:hAnsi="Times New Roman" w:eastAsia="仿宋_GB2312" w:cs="Times New Roman"/>
          <w:color w:val="auto"/>
          <w:kern w:val="2"/>
          <w:sz w:val="32"/>
          <w:szCs w:val="32"/>
          <w:highlight w:val="none"/>
          <w:lang w:val="en-US" w:eastAsia="zh-CN"/>
        </w:rPr>
        <w:t>区内外三甲医院</w:t>
      </w:r>
      <w:r>
        <w:rPr>
          <w:rFonts w:hint="default" w:ascii="Times New Roman" w:hAnsi="Times New Roman" w:eastAsia="仿宋_GB2312" w:cs="Times New Roman"/>
          <w:color w:val="auto"/>
          <w:kern w:val="2"/>
          <w:sz w:val="32"/>
          <w:szCs w:val="32"/>
          <w:highlight w:val="none"/>
          <w:lang w:eastAsia="zh-CN"/>
        </w:rPr>
        <w:t>进修学习，</w:t>
      </w:r>
      <w:r>
        <w:rPr>
          <w:rFonts w:hint="default" w:ascii="Times New Roman" w:hAnsi="Times New Roman" w:eastAsia="仿宋_GB2312" w:cs="Times New Roman"/>
          <w:b w:val="0"/>
          <w:bCs w:val="0"/>
          <w:color w:val="auto"/>
          <w:kern w:val="2"/>
          <w:sz w:val="32"/>
          <w:szCs w:val="32"/>
          <w:lang w:val="en-US" w:eastAsia="zh-CN" w:bidi="ar-SA"/>
        </w:rPr>
        <w:t>聘请福州市二院、石狮市总院、自治区人民医院</w:t>
      </w:r>
      <w:r>
        <w:rPr>
          <w:rFonts w:hint="eastAsia" w:ascii="Times New Roman" w:hAnsi="Times New Roman" w:eastAsia="仿宋_GB2312" w:cs="Times New Roman"/>
          <w:b w:val="0"/>
          <w:bCs w:val="0"/>
          <w:color w:val="auto"/>
          <w:kern w:val="2"/>
          <w:sz w:val="32"/>
          <w:szCs w:val="32"/>
          <w:lang w:val="en-US" w:eastAsia="zh-CN" w:bidi="ar-SA"/>
        </w:rPr>
        <w:t>等2</w:t>
      </w:r>
      <w:r>
        <w:rPr>
          <w:rFonts w:hint="default" w:ascii="Times New Roman" w:hAnsi="Times New Roman" w:eastAsia="仿宋_GB2312" w:cs="Times New Roman"/>
          <w:b w:val="0"/>
          <w:bCs w:val="0"/>
          <w:color w:val="auto"/>
          <w:kern w:val="2"/>
          <w:sz w:val="32"/>
          <w:szCs w:val="32"/>
          <w:lang w:val="en-US" w:eastAsia="zh-CN" w:bidi="ar-SA"/>
        </w:rPr>
        <w:t>0余名专家到我县开展坐诊、带教、业务指导等工作，不断提高全县医疗服务水平。</w:t>
      </w:r>
      <w:r>
        <w:rPr>
          <w:rFonts w:hint="default" w:ascii="Times New Roman" w:hAnsi="Times New Roman" w:eastAsia="仿宋_GB2312" w:cs="Times New Roman"/>
          <w:b/>
          <w:bCs/>
          <w:color w:val="auto"/>
          <w:kern w:val="2"/>
          <w:sz w:val="32"/>
          <w:szCs w:val="32"/>
          <w:lang w:val="en-US" w:eastAsia="zh-CN" w:bidi="ar-SA"/>
        </w:rPr>
        <w:t>二是着力推进专科建设。</w:t>
      </w:r>
      <w:r>
        <w:rPr>
          <w:rFonts w:hint="default" w:ascii="Times New Roman" w:hAnsi="Times New Roman" w:eastAsia="仿宋_GB2312" w:cs="Times New Roman"/>
          <w:b w:val="0"/>
          <w:bCs w:val="0"/>
          <w:color w:val="auto"/>
          <w:kern w:val="2"/>
          <w:sz w:val="32"/>
          <w:szCs w:val="32"/>
          <w:lang w:val="en-US" w:eastAsia="zh-CN" w:bidi="ar-SA"/>
        </w:rPr>
        <w:t>根据“重在临床、强化预防、突出特色”原则，积极参与市级临床重点专科建设申报工作，已建成麻醉科、肝胆外科、妇产科3个市级临床重点专科。6月，顺利迎接市卫健委对我县申报的康复医学科、肺病科、儿科和内分泌科等4个第三批市级临床重点专科现场评估。</w:t>
      </w:r>
      <w:r>
        <w:rPr>
          <w:rFonts w:hint="default" w:ascii="Times New Roman" w:hAnsi="Times New Roman" w:eastAsia="仿宋_GB2312" w:cs="Times New Roman"/>
          <w:b/>
          <w:bCs/>
          <w:sz w:val="32"/>
          <w:szCs w:val="32"/>
          <w:lang w:val="en-US" w:eastAsia="zh-CN"/>
        </w:rPr>
        <w:t>三是强化行风建设。</w:t>
      </w:r>
      <w:r>
        <w:rPr>
          <w:rFonts w:hint="default" w:ascii="Times New Roman" w:hAnsi="Times New Roman" w:eastAsia="仿宋_GB2312" w:cs="Times New Roman"/>
          <w:color w:val="auto"/>
          <w:sz w:val="32"/>
          <w:szCs w:val="32"/>
          <w:highlight w:val="none"/>
        </w:rPr>
        <w:t>规范卫生监督执法行为，加大执法力度，从打击非法行医、医疗美容整治、职业病</w:t>
      </w:r>
      <w:r>
        <w:rPr>
          <w:rFonts w:hint="default" w:ascii="Times New Roman" w:hAnsi="Times New Roman" w:eastAsia="仿宋_GB2312" w:cs="Times New Roman"/>
          <w:color w:val="auto"/>
          <w:sz w:val="32"/>
          <w:szCs w:val="32"/>
          <w:highlight w:val="none"/>
          <w:lang w:eastAsia="zh-CN"/>
        </w:rPr>
        <w:t>危害治理</w:t>
      </w:r>
      <w:r>
        <w:rPr>
          <w:rFonts w:hint="default" w:ascii="Times New Roman" w:hAnsi="Times New Roman" w:eastAsia="仿宋_GB2312" w:cs="Times New Roman"/>
          <w:color w:val="auto"/>
          <w:sz w:val="32"/>
          <w:szCs w:val="32"/>
          <w:highlight w:val="none"/>
        </w:rPr>
        <w:t>等方面，认真开展综合监督工作，有效地维护全县人民群众身体健康和生命安全。</w:t>
      </w:r>
      <w:r>
        <w:rPr>
          <w:rFonts w:hint="default" w:ascii="Times New Roman" w:hAnsi="Times New Roman" w:eastAsia="仿宋_GB2312" w:cs="Times New Roman"/>
          <w:sz w:val="32"/>
          <w:szCs w:val="32"/>
          <w:lang w:val="en-US" w:eastAsia="zh-CN"/>
        </w:rPr>
        <w:t>累计监督检查医疗机构40户次、公共场所（宾馆、理发商超）191户次、中小学及托幼机构36户次，企业31户次，职业健康体检机构2家，下达卫生监督意见书306份，监督车辆40车次，监督人次124人次，查处非法行医1起、企业违反职业病防治法1起，共罚款38000元。</w:t>
      </w:r>
      <w:r>
        <w:rPr>
          <w:rFonts w:hint="default" w:ascii="Times New Roman" w:hAnsi="Times New Roman" w:eastAsia="仿宋_GB2312" w:cs="Times New Roman"/>
          <w:b/>
          <w:bCs/>
          <w:color w:val="auto"/>
          <w:sz w:val="32"/>
          <w:szCs w:val="32"/>
          <w:lang w:eastAsia="zh-CN"/>
        </w:rPr>
        <w:t>四是</w:t>
      </w:r>
      <w:r>
        <w:rPr>
          <w:rFonts w:hint="default" w:ascii="Times New Roman" w:hAnsi="Times New Roman" w:eastAsia="仿宋_GB2312" w:cs="Times New Roman"/>
          <w:b/>
          <w:bCs/>
          <w:sz w:val="32"/>
          <w:szCs w:val="32"/>
          <w:lang w:val="en-US" w:eastAsia="zh-CN"/>
        </w:rPr>
        <w:t>强化生物安全意识。</w:t>
      </w:r>
      <w:r>
        <w:rPr>
          <w:rFonts w:hint="default" w:ascii="Times New Roman" w:hAnsi="Times New Roman" w:eastAsia="仿宋_GB2312" w:cs="Times New Roman"/>
          <w:color w:val="000000"/>
          <w:sz w:val="32"/>
          <w:szCs w:val="32"/>
          <w:lang w:val="en-US" w:eastAsia="zh-CN"/>
        </w:rPr>
        <w:t>抽调县级临床检验质量控制中心有关专家组成检查组，先后2次对全县</w:t>
      </w:r>
      <w:r>
        <w:rPr>
          <w:rFonts w:hint="default" w:ascii="Times New Roman" w:hAnsi="Times New Roman" w:eastAsia="仿宋_GB2312" w:cs="Times New Roman"/>
          <w:sz w:val="32"/>
          <w:szCs w:val="32"/>
          <w:lang w:val="en-US" w:eastAsia="zh-CN"/>
        </w:rPr>
        <w:t>16家医疗卫生机构32个实验室进行实验室</w:t>
      </w:r>
      <w:r>
        <w:rPr>
          <w:rFonts w:hint="default" w:ascii="Times New Roman" w:hAnsi="Times New Roman" w:eastAsia="仿宋_GB2312" w:cs="Times New Roman"/>
          <w:sz w:val="32"/>
          <w:szCs w:val="32"/>
          <w:lang w:eastAsia="zh-CN"/>
        </w:rPr>
        <w:t>备案现场评估</w:t>
      </w:r>
      <w:r>
        <w:rPr>
          <w:rFonts w:hint="default" w:ascii="Times New Roman" w:hAnsi="Times New Roman" w:eastAsia="仿宋_GB2312" w:cs="Times New Roman"/>
          <w:sz w:val="32"/>
          <w:szCs w:val="32"/>
          <w:lang w:val="en-US" w:eastAsia="zh-CN"/>
        </w:rPr>
        <w:t>、实验室生物安全检查</w:t>
      </w:r>
      <w:r>
        <w:rPr>
          <w:rFonts w:hint="default" w:ascii="Times New Roman" w:hAnsi="Times New Roman" w:eastAsia="仿宋_GB2312" w:cs="Times New Roman"/>
          <w:color w:val="000000"/>
          <w:sz w:val="32"/>
          <w:szCs w:val="32"/>
          <w:lang w:val="en-US" w:eastAsia="zh-CN"/>
        </w:rPr>
        <w:t>，切实强化属地监管责任。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z w:val="32"/>
          <w:szCs w:val="32"/>
          <w:lang w:val="en-US" w:eastAsia="zh-CN" w:bidi="ar-SA"/>
        </w:rPr>
      </w:pPr>
      <w:r>
        <w:rPr>
          <w:rFonts w:hint="default" w:ascii="Times New Roman" w:hAnsi="Times New Roman" w:eastAsia="楷体_GB2312" w:cs="Times New Roman"/>
          <w:b/>
          <w:bCs/>
          <w:color w:val="auto"/>
          <w:sz w:val="32"/>
          <w:szCs w:val="32"/>
          <w:lang w:val="en-US" w:eastAsia="zh-CN" w:bidi="ar-SA"/>
        </w:rPr>
        <w:t>（三）全面落实民生项目，基本公共卫生均等化水平显著提升。</w:t>
      </w:r>
      <w:r>
        <w:rPr>
          <w:rFonts w:hint="default" w:ascii="Times New Roman" w:hAnsi="Times New Roman" w:eastAsia="仿宋_GB2312" w:cs="Times New Roman"/>
          <w:b/>
          <w:bCs/>
          <w:color w:val="auto"/>
          <w:sz w:val="32"/>
          <w:szCs w:val="32"/>
          <w:lang w:val="en-US" w:eastAsia="zh-CN"/>
        </w:rPr>
        <w:t>一是加快推进项目建设。</w:t>
      </w:r>
      <w:r>
        <w:rPr>
          <w:rFonts w:hint="default" w:ascii="Times New Roman" w:hAnsi="Times New Roman" w:eastAsia="仿宋_GB2312" w:cs="Times New Roman"/>
          <w:b w:val="0"/>
          <w:bCs w:val="0"/>
          <w:color w:val="auto"/>
          <w:sz w:val="32"/>
          <w:szCs w:val="32"/>
          <w:lang w:val="en-US" w:eastAsia="zh-CN"/>
        </w:rPr>
        <w:t>积极</w:t>
      </w:r>
      <w:r>
        <w:rPr>
          <w:rFonts w:hint="default" w:ascii="Times New Roman" w:hAnsi="Times New Roman" w:eastAsia="仿宋_GB2312" w:cs="Times New Roman"/>
          <w:color w:val="auto"/>
          <w:sz w:val="32"/>
          <w:szCs w:val="32"/>
          <w:lang w:val="en-US" w:eastAsia="zh-CN"/>
        </w:rPr>
        <w:t>开展“优质服务基层行”活动，争取项目资金200万元，支持高沙窝镇中心卫生院巩固拓展特色科室建设、提档升级医疗设施设备、多措并举强化人才培养。争取124万元组织实施县中医医院中医药康复服务能力提升和社区卫生服务站村卫生室2家中医阁项目建设，持续提升基层中医药服务能力。</w:t>
      </w:r>
      <w:r>
        <w:rPr>
          <w:rFonts w:hint="default" w:ascii="Times New Roman" w:hAnsi="Times New Roman" w:eastAsia="仿宋_GB2312" w:cs="Times New Roman"/>
          <w:b/>
          <w:bCs/>
          <w:sz w:val="32"/>
          <w:szCs w:val="32"/>
          <w:lang w:eastAsia="zh-CN" w:bidi="ar-SA"/>
        </w:rPr>
        <w:t>二是</w:t>
      </w:r>
      <w:r>
        <w:rPr>
          <w:rFonts w:hint="eastAsia" w:ascii="Times New Roman" w:hAnsi="Times New Roman" w:eastAsia="仿宋_GB2312" w:cs="Times New Roman"/>
          <w:b/>
          <w:bCs/>
          <w:sz w:val="32"/>
          <w:szCs w:val="32"/>
          <w:lang w:eastAsia="zh-CN" w:bidi="ar-SA"/>
        </w:rPr>
        <w:t>全面提升</w:t>
      </w:r>
      <w:r>
        <w:rPr>
          <w:rFonts w:hint="default" w:ascii="Times New Roman" w:hAnsi="Times New Roman" w:eastAsia="仿宋_GB2312" w:cs="Times New Roman"/>
          <w:b/>
          <w:bCs/>
          <w:sz w:val="32"/>
          <w:szCs w:val="32"/>
          <w:lang w:bidi="ar-SA"/>
        </w:rPr>
        <w:t>公共卫生服务能力。</w:t>
      </w:r>
      <w:r>
        <w:rPr>
          <w:rFonts w:hint="default" w:ascii="Times New Roman" w:hAnsi="Times New Roman" w:eastAsia="仿宋_GB2312" w:cs="Times New Roman"/>
          <w:color w:val="auto"/>
          <w:sz w:val="32"/>
          <w:szCs w:val="32"/>
          <w:highlight w:val="none"/>
        </w:rPr>
        <w:t>规范建立城乡居民电子健康档案14</w:t>
      </w:r>
      <w:r>
        <w:rPr>
          <w:rFonts w:hint="default" w:ascii="Times New Roman" w:hAnsi="Times New Roman" w:eastAsia="仿宋_GB2312" w:cs="Times New Roman"/>
          <w:color w:val="auto"/>
          <w:sz w:val="32"/>
          <w:szCs w:val="32"/>
          <w:highlight w:val="none"/>
          <w:lang w:val="en-US" w:eastAsia="zh-CN"/>
        </w:rPr>
        <w:t>.97</w:t>
      </w:r>
      <w:r>
        <w:rPr>
          <w:rFonts w:hint="default" w:ascii="Times New Roman" w:hAnsi="Times New Roman" w:eastAsia="仿宋_GB2312" w:cs="Times New Roman"/>
          <w:color w:val="auto"/>
          <w:sz w:val="32"/>
          <w:szCs w:val="32"/>
          <w:highlight w:val="none"/>
        </w:rPr>
        <w:t>万份，建档率为94.57%，严格落实妇幼保健、三项监测和管理工作，截至6月底，全县产妇住院分娩率100%；高危孕产妇住院分娩率100%。新生儿疾病筛查率99.33%；深入开展儿童营养包免费发放惠民政策，营养包发放率为98.35%以上。</w:t>
      </w:r>
      <w:r>
        <w:rPr>
          <w:rFonts w:hint="default" w:ascii="Times New Roman" w:hAnsi="Times New Roman" w:eastAsia="仿宋_GB2312" w:cs="Times New Roman"/>
          <w:b/>
          <w:bCs/>
          <w:sz w:val="32"/>
          <w:szCs w:val="32"/>
          <w:lang w:eastAsia="zh-CN" w:bidi="ar-SA"/>
        </w:rPr>
        <w:t>三</w:t>
      </w:r>
      <w:r>
        <w:rPr>
          <w:rFonts w:hint="default" w:ascii="Times New Roman" w:hAnsi="Times New Roman" w:eastAsia="仿宋_GB2312" w:cs="Times New Roman"/>
          <w:b/>
          <w:color w:val="auto"/>
          <w:sz w:val="32"/>
          <w:szCs w:val="32"/>
          <w:highlight w:val="none"/>
        </w:rPr>
        <w:t>是推进家庭医生签约服务</w:t>
      </w:r>
      <w:r>
        <w:rPr>
          <w:rFonts w:hint="default" w:ascii="Times New Roman" w:hAnsi="Times New Roman" w:eastAsia="仿宋_GB2312" w:cs="Times New Roman"/>
          <w:b/>
          <w:color w:val="auto"/>
          <w:sz w:val="32"/>
          <w:szCs w:val="32"/>
          <w:highlight w:val="none"/>
          <w:lang w:eastAsia="zh-CN"/>
        </w:rPr>
        <w:t>落实落细</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组建家庭医生团队48个，签约15</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万余人，重点人群签约率34.38%；签约孕妇免费唐氏筛查和胎儿四维彩超检查438余人，群众获得感不断增强，家庭医生签约服务群众满意度达到 90%以上。</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bCs/>
          <w:color w:val="auto"/>
          <w:sz w:val="32"/>
          <w:szCs w:val="32"/>
          <w:lang w:val="en-US" w:eastAsia="zh-CN" w:bidi="ar-SA"/>
        </w:rPr>
        <w:t>（四）推进健康盐池建设，居民健康水平不断提高。</w:t>
      </w:r>
      <w:r>
        <w:rPr>
          <w:rFonts w:hint="default" w:ascii="Times New Roman" w:hAnsi="Times New Roman" w:eastAsia="仿宋_GB2312" w:cs="Times New Roman"/>
          <w:b/>
          <w:bCs/>
          <w:color w:val="auto"/>
          <w:sz w:val="32"/>
          <w:szCs w:val="32"/>
        </w:rPr>
        <w:t>一是广泛宣传健康知识</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lang w:eastAsia="zh-CN"/>
        </w:rPr>
        <w:t>制定印发《盐池县健康讲习实施方案》，采取线上、线下，通过领导干部带头讲、医务人员广泛讲、专业人员点单讲、健康达人示范讲等形式，不断扩大宣传教育覆盖面。结合家庭医生签约服务，广泛传播疫情防控、健康生活习惯等健康知识，共开展知识讲座16场次、义诊6场次，受益2.5万余人</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二是深化爱国卫生运动。</w:t>
      </w:r>
      <w:r>
        <w:rPr>
          <w:rFonts w:hint="default" w:ascii="Times New Roman" w:hAnsi="Times New Roman" w:eastAsia="仿宋_GB2312" w:cs="Times New Roman"/>
          <w:color w:val="auto"/>
          <w:sz w:val="32"/>
          <w:szCs w:val="32"/>
        </w:rPr>
        <w:t>以“ 爱国卫生日”活动为抓手，组织各单位开展形式多样的宣传活动，发放各类宣传品、宣传册8千余份。集中整治城乡环境卫生，清理卫生死角1200余处，清理垃圾800余吨。科学开展病媒生物防制，完成县城内公园广场、垃圾中转站、集贸市场等区域的消杀，降低了媒介生物性传播疾病的风险。按照区、市爱卫办的工作要求及健康细胞建设考评细则内容，有计划、有步骤开展健康“细胞”创建，目前已经上报健康细胞26个。</w:t>
      </w:r>
      <w:r>
        <w:rPr>
          <w:rFonts w:hint="default" w:ascii="Times New Roman" w:hAnsi="Times New Roman" w:eastAsia="仿宋_GB2312" w:cs="Times New Roman"/>
          <w:b w:val="0"/>
          <w:bCs w:val="0"/>
          <w:color w:val="auto"/>
          <w:sz w:val="32"/>
          <w:szCs w:val="32"/>
          <w:lang w:val="en-US" w:eastAsia="zh-CN"/>
        </w:rPr>
        <w:t>按照《国家卫生县城复审标准》要求，细化工作任务，严格落实责任，确保顺利通过第四轮国家卫生县城复审。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bCs/>
          <w:color w:val="auto"/>
          <w:sz w:val="32"/>
          <w:szCs w:val="32"/>
          <w:lang w:val="en-US" w:eastAsia="zh-CN" w:bidi="ar-SA"/>
        </w:rPr>
        <w:t>（五）聚焦“一老一小”，养老育幼服务水平逐步提升。</w:t>
      </w:r>
      <w:r>
        <w:rPr>
          <w:rFonts w:hint="default" w:ascii="Times New Roman" w:hAnsi="Times New Roman" w:eastAsia="仿宋_GB2312" w:cs="Times New Roman"/>
          <w:b/>
          <w:bCs/>
          <w:color w:val="auto"/>
          <w:kern w:val="2"/>
          <w:sz w:val="32"/>
          <w:szCs w:val="32"/>
          <w:lang w:val="en-US" w:eastAsia="zh-CN" w:bidi="ar-SA"/>
        </w:rPr>
        <w:t>一是</w:t>
      </w:r>
      <w:r>
        <w:rPr>
          <w:rFonts w:hint="default" w:ascii="Times New Roman" w:hAnsi="Times New Roman" w:eastAsia="仿宋_GB2312" w:cs="Times New Roman"/>
          <w:b/>
          <w:bCs/>
          <w:color w:val="auto"/>
          <w:sz w:val="32"/>
          <w:szCs w:val="32"/>
          <w:lang w:val="en-US" w:eastAsia="zh-CN"/>
        </w:rPr>
        <w:t>促进人口</w:t>
      </w:r>
      <w:r>
        <w:rPr>
          <w:rFonts w:hint="default" w:ascii="Times New Roman" w:hAnsi="Times New Roman" w:eastAsia="仿宋_GB2312" w:cs="Times New Roman"/>
          <w:b/>
          <w:bCs/>
          <w:color w:val="auto"/>
          <w:sz w:val="32"/>
          <w:szCs w:val="32"/>
          <w:lang w:eastAsia="zh-CN"/>
        </w:rPr>
        <w:t>家庭健康发展。</w:t>
      </w:r>
      <w:r>
        <w:rPr>
          <w:rFonts w:hint="default" w:ascii="Times New Roman" w:hAnsi="Times New Roman" w:eastAsia="仿宋_GB2312" w:cs="Times New Roman"/>
          <w:b w:val="0"/>
          <w:bCs w:val="0"/>
          <w:color w:val="auto"/>
          <w:kern w:val="2"/>
          <w:sz w:val="32"/>
          <w:szCs w:val="32"/>
          <w:lang w:val="en-US" w:eastAsia="zh-CN" w:bidi="ar-SA"/>
        </w:rPr>
        <w:t>严格出生人口报告制度，强化出生人口数据监测。积极争取中央预算内资金120万元，</w:t>
      </w:r>
      <w:r>
        <w:rPr>
          <w:rFonts w:hint="default" w:ascii="Times New Roman" w:hAnsi="Times New Roman" w:eastAsia="仿宋_GB2312" w:cs="Times New Roman"/>
          <w:color w:val="000000" w:themeColor="text1"/>
          <w:sz w:val="32"/>
          <w:szCs w:val="32"/>
          <w14:textFill>
            <w14:solidFill>
              <w14:schemeClr w14:val="tx1"/>
            </w14:solidFill>
          </w14:textFill>
        </w:rPr>
        <w:t>县财政配套160万元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auto"/>
          <w:kern w:val="2"/>
          <w:sz w:val="32"/>
          <w:szCs w:val="32"/>
          <w:lang w:val="en-US" w:eastAsia="zh-CN" w:bidi="ar-SA"/>
        </w:rPr>
        <w:t>对县第一幼儿园、第三幼儿园进行托育改造，增加托位120个</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通过改造闲置幼儿园，采用公建民营的方式，建设托位60个。目前，我县已审批备案5家托育机构，其中自治区级托育服务示范机构1家，每千人口托位数达到1.69个。严格落实计划生育家庭奖励扶助政策，年内申报计划生育各类家庭奖励扶助对象2290人，已发放扶助资金160.5万元。开展计划生育“暖心行动”，慰问计划生育失独伤残家庭等38户，发放慰问金1.9万元。</w:t>
      </w:r>
      <w:r>
        <w:rPr>
          <w:rFonts w:hint="default" w:ascii="Times New Roman" w:hAnsi="Times New Roman" w:eastAsia="仿宋_GB2312" w:cs="Times New Roman"/>
          <w:b/>
          <w:bCs/>
          <w:color w:val="auto"/>
          <w:kern w:val="2"/>
          <w:sz w:val="32"/>
          <w:szCs w:val="32"/>
          <w:lang w:val="en-US" w:eastAsia="zh-CN" w:bidi="ar-SA"/>
        </w:rPr>
        <w:t>二是推进老龄健康工作。</w:t>
      </w:r>
      <w:r>
        <w:rPr>
          <w:rFonts w:hint="default" w:ascii="Times New Roman" w:hAnsi="Times New Roman" w:eastAsia="仿宋_GB2312" w:cs="Times New Roman"/>
          <w:b w:val="0"/>
          <w:bCs w:val="0"/>
          <w:color w:val="auto"/>
          <w:kern w:val="2"/>
          <w:sz w:val="32"/>
          <w:szCs w:val="32"/>
          <w:lang w:val="en-US" w:eastAsia="zh-CN" w:bidi="ar-SA"/>
        </w:rPr>
        <w:t>全面落实老年医疗服务优待政策，为老年人开通预约挂号、转诊等绿色通道。</w:t>
      </w:r>
      <w:r>
        <w:rPr>
          <w:rFonts w:hint="default" w:ascii="Times New Roman" w:hAnsi="Times New Roman" w:eastAsia="仿宋_GB2312" w:cs="Times New Roman"/>
          <w:b w:val="0"/>
          <w:bCs w:val="0"/>
          <w:color w:val="auto"/>
          <w:sz w:val="32"/>
          <w:szCs w:val="32"/>
          <w:lang w:val="en-US" w:eastAsia="zh-CN"/>
        </w:rPr>
        <w:t>积极开展老年友好型社区创建工作，高沙窝镇安康社区已通过自治区初筛。</w:t>
      </w:r>
      <w:r>
        <w:rPr>
          <w:rFonts w:hint="default" w:ascii="Times New Roman" w:hAnsi="Times New Roman" w:eastAsia="仿宋_GB2312" w:cs="Times New Roman"/>
          <w:b w:val="0"/>
          <w:bCs w:val="0"/>
          <w:color w:val="auto"/>
          <w:kern w:val="0"/>
          <w:sz w:val="32"/>
          <w:szCs w:val="32"/>
          <w:lang w:val="en-US" w:eastAsia="zh-CN"/>
        </w:rPr>
        <w:t>为全县65岁以上老年人开展免费健康体检，建立健康档案并实行动态管理，老年人的生活习惯与身体指标均有明显好转。上半年，共完成15865名65岁以上老年人健康体检。</w:t>
      </w:r>
      <w:r>
        <w:rPr>
          <w:rFonts w:hint="default" w:ascii="Times New Roman" w:hAnsi="Times New Roman" w:eastAsia="仿宋_GB2312" w:cs="Times New Roman"/>
          <w:b w:val="0"/>
          <w:bCs w:val="0"/>
          <w:color w:val="auto"/>
          <w:sz w:val="32"/>
          <w:szCs w:val="32"/>
          <w:lang w:val="en-US" w:eastAsia="zh-CN"/>
        </w:rPr>
        <w:t>以</w:t>
      </w:r>
      <w:r>
        <w:rPr>
          <w:rFonts w:hint="default" w:ascii="Times New Roman" w:hAnsi="Times New Roman" w:eastAsia="仿宋_GB2312" w:cs="Times New Roman"/>
          <w:snapToGrid/>
          <w:color w:val="auto"/>
          <w:kern w:val="2"/>
          <w:sz w:val="32"/>
          <w:szCs w:val="32"/>
          <w:lang w:val="en-US" w:eastAsia="zh-CN" w:bidi="ar-SA"/>
        </w:rPr>
        <w:t>王乐井乡鸦儿沟村为试点，</w:t>
      </w:r>
      <w:r>
        <w:rPr>
          <w:rFonts w:hint="default" w:ascii="Times New Roman" w:hAnsi="Times New Roman" w:eastAsia="仿宋_GB2312" w:cs="Times New Roman"/>
          <w:b w:val="0"/>
          <w:bCs w:val="0"/>
          <w:color w:val="auto"/>
          <w:sz w:val="32"/>
          <w:szCs w:val="32"/>
          <w:lang w:val="en-US" w:eastAsia="zh-CN"/>
        </w:rPr>
        <w:t>对</w:t>
      </w:r>
      <w:r>
        <w:rPr>
          <w:rFonts w:hint="default" w:ascii="Times New Roman" w:hAnsi="Times New Roman" w:eastAsia="仿宋_GB2312" w:cs="Times New Roman"/>
          <w:snapToGrid/>
          <w:color w:val="auto"/>
          <w:kern w:val="2"/>
          <w:sz w:val="32"/>
          <w:szCs w:val="32"/>
          <w:lang w:val="en-US" w:eastAsia="zh-CN" w:bidi="ar-SA"/>
        </w:rPr>
        <w:t>具有宁夏本地户籍或居住6个月以上65岁及以上老年人进行两病筛查，做到早发现、早干预、早就诊。</w:t>
      </w:r>
      <w:r>
        <w:rPr>
          <w:rFonts w:hint="default" w:ascii="Times New Roman" w:hAnsi="Times New Roman" w:eastAsia="仿宋_GB2312" w:cs="Times New Roman"/>
          <w:b w:val="0"/>
          <w:bCs w:val="0"/>
          <w:color w:val="auto"/>
          <w:sz w:val="32"/>
          <w:szCs w:val="32"/>
          <w:lang w:val="en-US" w:eastAsia="zh-CN"/>
        </w:rPr>
        <w:t>目前，已筛查80人，其中患认知障碍3人、帕金森1人。</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outlineLvl w:val="9"/>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楷体_GB2312" w:cs="Times New Roman"/>
          <w:b/>
          <w:bCs/>
          <w:color w:val="auto"/>
          <w:sz w:val="32"/>
          <w:szCs w:val="32"/>
          <w:lang w:val="en-US" w:eastAsia="zh-CN" w:bidi="ar-SA"/>
        </w:rPr>
        <w:t>（六）强化党建引领作用，筑牢坚强战斗堡垒。</w:t>
      </w:r>
      <w:r>
        <w:rPr>
          <w:rFonts w:hint="default" w:ascii="Times New Roman" w:hAnsi="Times New Roman" w:eastAsia="仿宋_GB2312" w:cs="Times New Roman"/>
          <w:b/>
          <w:bCs w:val="0"/>
          <w:sz w:val="32"/>
          <w:szCs w:val="32"/>
          <w:lang w:eastAsia="zh-CN"/>
        </w:rPr>
        <w:t>一是强化理论武装。</w:t>
      </w:r>
      <w:r>
        <w:rPr>
          <w:rFonts w:hint="default" w:ascii="Times New Roman" w:hAnsi="Times New Roman" w:eastAsia="仿宋_GB2312" w:cs="Times New Roman"/>
          <w:bCs/>
          <w:sz w:val="32"/>
          <w:szCs w:val="32"/>
        </w:rPr>
        <w:t>深入学习</w:t>
      </w:r>
      <w:r>
        <w:rPr>
          <w:rFonts w:hint="default" w:ascii="Times New Roman" w:hAnsi="Times New Roman" w:eastAsia="仿宋_GB2312" w:cs="Times New Roman"/>
          <w:bCs/>
          <w:sz w:val="32"/>
          <w:szCs w:val="32"/>
          <w:lang w:eastAsia="zh-CN"/>
        </w:rPr>
        <w:t>贯彻</w:t>
      </w:r>
      <w:r>
        <w:rPr>
          <w:rFonts w:hint="default" w:ascii="Times New Roman" w:hAnsi="Times New Roman" w:eastAsia="仿宋_GB2312" w:cs="Times New Roman"/>
          <w:bCs/>
          <w:sz w:val="32"/>
          <w:szCs w:val="32"/>
        </w:rPr>
        <w:t>习近平新时代中国特色社会主义思想</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党的二十大</w:t>
      </w:r>
      <w:r>
        <w:rPr>
          <w:rFonts w:hint="eastAsia" w:ascii="Times New Roman" w:hAnsi="Times New Roman" w:eastAsia="仿宋_GB2312" w:cs="Times New Roman"/>
          <w:bCs/>
          <w:sz w:val="32"/>
          <w:szCs w:val="32"/>
          <w:lang w:eastAsia="zh-CN"/>
        </w:rPr>
        <w:t>精神</w:t>
      </w:r>
      <w:r>
        <w:rPr>
          <w:rFonts w:hint="default" w:ascii="Times New Roman" w:hAnsi="Times New Roman" w:eastAsia="仿宋_GB2312" w:cs="Times New Roman"/>
          <w:bCs/>
          <w:sz w:val="32"/>
          <w:szCs w:val="32"/>
        </w:rPr>
        <w:t>、自治</w:t>
      </w:r>
      <w:r>
        <w:rPr>
          <w:rStyle w:val="35"/>
          <w:rFonts w:hint="default" w:ascii="Times New Roman" w:hAnsi="Times New Roman" w:eastAsia="仿宋_GB2312" w:cs="Times New Roman"/>
          <w:bCs/>
          <w:color w:val="000000"/>
          <w:sz w:val="32"/>
          <w:szCs w:val="32"/>
        </w:rPr>
        <w:t>区第十三次党代会精神，</w:t>
      </w:r>
      <w:r>
        <w:rPr>
          <w:rFonts w:hint="default" w:ascii="Times New Roman" w:hAnsi="Times New Roman" w:eastAsia="仿宋_GB2312" w:cs="Times New Roman"/>
          <w:bCs/>
          <w:sz w:val="32"/>
          <w:szCs w:val="32"/>
        </w:rPr>
        <w:t>扎实开展习近平总书记视察宁夏重要讲话和重要指示批示精神“大学习、大讨论、大宣传、大实践”活动，召开理论中心组学习</w:t>
      </w:r>
      <w:r>
        <w:rPr>
          <w:rFonts w:hint="default" w:ascii="Times New Roman" w:hAnsi="Times New Roman" w:eastAsia="仿宋_GB2312" w:cs="Times New Roman"/>
          <w:bCs/>
          <w:sz w:val="32"/>
          <w:szCs w:val="32"/>
          <w:lang w:eastAsia="zh-CN"/>
        </w:rPr>
        <w:t>会</w:t>
      </w:r>
      <w:r>
        <w:rPr>
          <w:rFonts w:hint="eastAsia"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rPr>
        <w:t>次</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rPr>
        <w:t>全面梳理卫健系统基层党建任务，制定《2023年卫健系统党建工作重点任务清单》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召开2023年度党建工作</w:t>
      </w:r>
      <w:r>
        <w:rPr>
          <w:rFonts w:hint="default" w:ascii="Times New Roman" w:hAnsi="Times New Roman" w:eastAsia="仿宋_GB2312" w:cs="Times New Roman"/>
          <w:sz w:val="32"/>
          <w:szCs w:val="32"/>
          <w:lang w:eastAsia="zh-CN"/>
        </w:rPr>
        <w:t>安排部署</w:t>
      </w:r>
      <w:r>
        <w:rPr>
          <w:rFonts w:hint="default" w:ascii="Times New Roman" w:hAnsi="Times New Roman" w:eastAsia="仿宋_GB2312" w:cs="Times New Roman"/>
          <w:sz w:val="32"/>
          <w:szCs w:val="32"/>
        </w:rPr>
        <w:t>会议，印发</w:t>
      </w:r>
      <w:r>
        <w:rPr>
          <w:rFonts w:hint="default" w:ascii="Times New Roman" w:hAnsi="Times New Roman" w:cs="Times New Roman"/>
          <w:color w:val="000000"/>
          <w:sz w:val="32"/>
          <w:szCs w:val="32"/>
          <w:shd w:val="clear" w:color="auto" w:fill="FFFFFF"/>
        </w:rPr>
        <w:t>《</w:t>
      </w:r>
      <w:r>
        <w:rPr>
          <w:rFonts w:hint="default" w:ascii="Times New Roman" w:hAnsi="Times New Roman" w:eastAsia="仿宋_GB2312" w:cs="Times New Roman"/>
          <w:sz w:val="32"/>
          <w:szCs w:val="32"/>
        </w:rPr>
        <w:t>2023年卫生健康系统党建工作要点》，安排部署重点工作任务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二是强化党性教育。</w:t>
      </w:r>
      <w:r>
        <w:rPr>
          <w:rFonts w:hint="default" w:ascii="Times New Roman" w:hAnsi="Times New Roman" w:eastAsia="仿宋_GB2312" w:cs="Times New Roman"/>
          <w:b w:val="0"/>
          <w:bCs w:val="0"/>
          <w:sz w:val="32"/>
          <w:szCs w:val="32"/>
          <w:lang w:val="en-US" w:eastAsia="zh-CN"/>
        </w:rPr>
        <w:t>结合“廉政警示教育周”活动，组织所辖各党支部书记以及局机关全体党员认真学习了《习近平</w:t>
      </w:r>
      <w:r>
        <w:rPr>
          <w:rFonts w:hint="default" w:ascii="Times New Roman" w:hAnsi="Times New Roman" w:eastAsia="仿宋_GB2312" w:cs="Times New Roman"/>
          <w:b w:val="0"/>
          <w:bCs w:val="0"/>
          <w:kern w:val="2"/>
          <w:sz w:val="32"/>
          <w:szCs w:val="32"/>
          <w:lang w:val="en-US" w:eastAsia="zh-CN" w:bidi="ar-SA"/>
        </w:rPr>
        <w:t>关于严明党的纪律和规矩论述摘编》节选、《忏悔警示录》，观看廉政警示教育片《交易之警》、参观警示教育基地，</w:t>
      </w:r>
      <w:r>
        <w:rPr>
          <w:rFonts w:hint="default" w:ascii="Times New Roman" w:hAnsi="Times New Roman" w:eastAsia="仿宋_GB2312" w:cs="Times New Roman"/>
          <w:b w:val="0"/>
          <w:bCs w:val="0"/>
          <w:i w:val="0"/>
          <w:iCs w:val="0"/>
          <w:caps w:val="0"/>
          <w:smallCaps w:val="0"/>
          <w:vanish w:val="0"/>
          <w:color w:val="auto"/>
          <w:spacing w:val="0"/>
          <w:sz w:val="32"/>
          <w:szCs w:val="32"/>
          <w:lang w:eastAsia="zh-CN"/>
        </w:rPr>
        <w:t>教育</w:t>
      </w:r>
      <w:r>
        <w:rPr>
          <w:rFonts w:hint="default" w:ascii="Times New Roman" w:hAnsi="Times New Roman" w:eastAsia="仿宋_GB2312" w:cs="Times New Roman"/>
          <w:b w:val="0"/>
          <w:bCs w:val="0"/>
          <w:sz w:val="32"/>
          <w:szCs w:val="32"/>
          <w:lang w:val="en-US" w:eastAsia="zh-CN"/>
        </w:rPr>
        <w:t>全体党员干部要常思贪欲之害，常怀律己之心，当好“明白人、干净人、带头人”，坚定理想信念，增强廉洁奉公、服务群众的宗旨意识。</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bCs/>
          <w:sz w:val="32"/>
          <w:szCs w:val="32"/>
          <w:lang w:eastAsia="zh-CN"/>
        </w:rPr>
        <w:t>强化意识形态工作。</w:t>
      </w:r>
      <w:r>
        <w:rPr>
          <w:rFonts w:hint="default" w:ascii="Times New Roman" w:hAnsi="Times New Roman" w:eastAsia="仿宋_GB2312" w:cs="Times New Roman"/>
          <w:bCs/>
          <w:color w:val="auto"/>
          <w:sz w:val="32"/>
          <w:szCs w:val="32"/>
        </w:rPr>
        <w:t>坚持党管意识形态工作原则，始终把意识形态工作作为重大政治任务，</w:t>
      </w:r>
      <w:r>
        <w:rPr>
          <w:rFonts w:hint="default" w:ascii="Times New Roman" w:hAnsi="Times New Roman" w:eastAsia="仿宋_GB2312" w:cs="Times New Roman"/>
          <w:bCs/>
          <w:color w:val="auto"/>
          <w:sz w:val="32"/>
          <w:szCs w:val="32"/>
          <w:lang w:eastAsia="zh-CN"/>
        </w:rPr>
        <w:t>制定</w:t>
      </w:r>
      <w:r>
        <w:rPr>
          <w:rFonts w:hint="default" w:ascii="Times New Roman" w:hAnsi="Times New Roman" w:eastAsia="仿宋_GB2312" w:cs="Times New Roman"/>
          <w:bCs/>
          <w:color w:val="auto"/>
          <w:sz w:val="32"/>
          <w:szCs w:val="32"/>
          <w:lang w:val="en-US" w:eastAsia="zh-CN"/>
        </w:rPr>
        <w:t>卫健系统宣传思想文化工作要点</w:t>
      </w:r>
      <w:r>
        <w:rPr>
          <w:rFonts w:hint="default" w:ascii="Times New Roman" w:hAnsi="Times New Roman" w:eastAsia="仿宋_GB2312" w:cs="Times New Roman"/>
          <w:bCs/>
          <w:color w:val="auto"/>
          <w:sz w:val="32"/>
          <w:szCs w:val="32"/>
          <w:lang w:eastAsia="zh-CN"/>
        </w:rPr>
        <w:t>、精神文明工作要点、互联网风险防范研判方案等，</w:t>
      </w:r>
      <w:r>
        <w:rPr>
          <w:rFonts w:hint="default" w:ascii="Times New Roman" w:hAnsi="Times New Roman" w:eastAsia="仿宋_GB2312" w:cs="Times New Roman"/>
          <w:bCs/>
          <w:color w:val="auto"/>
          <w:sz w:val="32"/>
          <w:szCs w:val="32"/>
        </w:rPr>
        <w:t>严格落实定期研判制度，坚持每季度分析研判、每半年安排部署，</w:t>
      </w:r>
      <w:r>
        <w:rPr>
          <w:rFonts w:hint="default" w:ascii="Times New Roman" w:hAnsi="Times New Roman" w:eastAsia="仿宋_GB2312" w:cs="Times New Roman"/>
          <w:bCs/>
          <w:color w:val="auto"/>
          <w:sz w:val="32"/>
          <w:szCs w:val="32"/>
          <w:lang w:val="en-US" w:eastAsia="zh-CN"/>
        </w:rPr>
        <w:t>健全意识形态工作考核评价、督查问责机制，及时防范化解意识形态领域矛盾风险，</w:t>
      </w:r>
      <w:r>
        <w:rPr>
          <w:rFonts w:hint="default" w:ascii="Times New Roman" w:hAnsi="Times New Roman" w:eastAsia="仿宋_GB2312" w:cs="Times New Roman"/>
          <w:color w:val="auto"/>
          <w:sz w:val="32"/>
          <w:szCs w:val="32"/>
          <w:lang w:val="en-US" w:eastAsia="zh-CN" w:bidi="ar-SA"/>
        </w:rPr>
        <w:t>牢牢掌握了意识形态领域的主动权和话语权。</w:t>
      </w:r>
    </w:p>
    <w:p>
      <w:pPr>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二、存在的问题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baseline"/>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医共体内成员单位之间、医共体与卫生健康部门之间的管理体制需进一步</w:t>
      </w:r>
      <w:r>
        <w:rPr>
          <w:rFonts w:hint="default" w:ascii="Times New Roman" w:hAnsi="Times New Roman" w:eastAsia="仿宋_GB2312" w:cs="Times New Roman"/>
          <w:color w:val="auto"/>
          <w:sz w:val="32"/>
          <w:szCs w:val="32"/>
          <w:lang w:eastAsia="zh-CN"/>
        </w:rPr>
        <w:t>健全和优化；</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b w:val="0"/>
          <w:bCs w:val="0"/>
          <w:color w:val="auto"/>
          <w:sz w:val="32"/>
          <w:szCs w:val="32"/>
          <w:lang w:val="en-US" w:eastAsia="zh-CN"/>
        </w:rPr>
        <w:t>医疗健康总院成立后，仅在牵头医院加挂了医疗健康总院牌子，</w:t>
      </w:r>
      <w:r>
        <w:rPr>
          <w:rFonts w:hint="default" w:ascii="Times New Roman" w:hAnsi="Times New Roman" w:eastAsia="仿宋_GB2312" w:cs="Times New Roman"/>
          <w:color w:val="auto"/>
          <w:sz w:val="32"/>
          <w:szCs w:val="32"/>
          <w:highlight w:val="none"/>
          <w:lang w:eastAsia="zh-CN"/>
        </w:rPr>
        <w:t>未设置单独的机构，</w:t>
      </w:r>
      <w:r>
        <w:rPr>
          <w:rFonts w:hint="default" w:ascii="Times New Roman" w:hAnsi="Times New Roman" w:eastAsia="仿宋_GB2312" w:cs="Times New Roman"/>
          <w:b w:val="0"/>
          <w:bCs w:val="0"/>
          <w:color w:val="auto"/>
          <w:sz w:val="32"/>
          <w:szCs w:val="32"/>
          <w:lang w:val="en-US" w:eastAsia="zh-CN"/>
        </w:rPr>
        <w:t>没有编制，工作人员均为各医疗机构抽调人员，特别是从乡镇卫生院抽调人员，无法享受乡镇补贴、绩效等待遇，造成总院队伍不稳定。</w:t>
      </w:r>
      <w:r>
        <w:rPr>
          <w:rFonts w:hint="default" w:ascii="Times New Roman" w:hAnsi="Times New Roman" w:eastAsia="仿宋_GB2312" w:cs="Times New Roman"/>
          <w:b/>
          <w:bCs/>
          <w:color w:val="auto"/>
          <w:sz w:val="32"/>
          <w:szCs w:val="32"/>
          <w:lang w:val="en-US" w:eastAsia="zh-CN"/>
        </w:rPr>
        <w:t>三是</w:t>
      </w:r>
      <w:r>
        <w:rPr>
          <w:rStyle w:val="35"/>
          <w:rFonts w:hint="default" w:ascii="Times New Roman" w:hAnsi="Times New Roman" w:cs="Times New Roman"/>
          <w:b w:val="0"/>
          <w:bCs w:val="0"/>
          <w:color w:val="auto"/>
          <w:sz w:val="32"/>
          <w:szCs w:val="32"/>
        </w:rPr>
        <w:t>信息化建设应用及与区、市信息对接工作还需进一步加强。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val="en-US" w:eastAsia="zh-CN"/>
        </w:rPr>
        <w:t>三、下半年工作计划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bCs/>
          <w:color w:val="auto"/>
          <w:sz w:val="32"/>
          <w:szCs w:val="32"/>
          <w:lang w:val="en-US" w:eastAsia="zh-CN" w:bidi="ar-SA"/>
        </w:rPr>
        <w:t>（一）持续深化医药卫生体制改革。</w:t>
      </w:r>
      <w:r>
        <w:rPr>
          <w:rFonts w:hint="default" w:ascii="Times New Roman" w:hAnsi="Times New Roman" w:eastAsia="仿宋_GB2312" w:cs="Times New Roman"/>
          <w:b/>
          <w:bCs w:val="0"/>
          <w:color w:val="auto"/>
          <w:sz w:val="32"/>
          <w:szCs w:val="32"/>
        </w:rPr>
        <w:t>一是扎实推进医疗健康总院实体化运行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进一步</w:t>
      </w:r>
      <w:r>
        <w:rPr>
          <w:rFonts w:hint="default" w:ascii="Times New Roman" w:hAnsi="Times New Roman" w:eastAsia="仿宋_GB2312" w:cs="Times New Roman"/>
          <w:color w:val="auto"/>
          <w:sz w:val="32"/>
          <w:szCs w:val="32"/>
          <w:lang w:eastAsia="zh-CN"/>
        </w:rPr>
        <w:t>强化</w:t>
      </w:r>
      <w:r>
        <w:rPr>
          <w:rFonts w:hint="default" w:ascii="Times New Roman" w:hAnsi="Times New Roman" w:eastAsia="仿宋_GB2312" w:cs="Times New Roman"/>
          <w:color w:val="auto"/>
          <w:sz w:val="32"/>
          <w:szCs w:val="32"/>
        </w:rPr>
        <w:t>健康总院管理职能，</w:t>
      </w:r>
      <w:r>
        <w:rPr>
          <w:rFonts w:hint="default" w:ascii="Times New Roman" w:hAnsi="Times New Roman" w:eastAsia="仿宋_GB2312" w:cs="Times New Roman"/>
          <w:color w:val="auto"/>
          <w:sz w:val="32"/>
          <w:szCs w:val="32"/>
          <w:lang w:eastAsia="zh-CN"/>
        </w:rPr>
        <w:t>不断</w:t>
      </w:r>
      <w:r>
        <w:rPr>
          <w:rFonts w:hint="default" w:ascii="Times New Roman" w:hAnsi="Times New Roman" w:eastAsia="仿宋_GB2312" w:cs="Times New Roman"/>
          <w:color w:val="auto"/>
          <w:sz w:val="32"/>
          <w:szCs w:val="32"/>
        </w:rPr>
        <w:t>优化整合业务职能科室，促进县乡村</w:t>
      </w:r>
      <w:r>
        <w:rPr>
          <w:rFonts w:hint="default" w:ascii="Times New Roman" w:hAnsi="Times New Roman" w:eastAsia="仿宋_GB2312" w:cs="Times New Roman"/>
          <w:color w:val="auto"/>
          <w:sz w:val="32"/>
          <w:szCs w:val="32"/>
          <w:lang w:eastAsia="zh-CN"/>
        </w:rPr>
        <w:t>一体化</w:t>
      </w:r>
      <w:r>
        <w:rPr>
          <w:rFonts w:hint="default" w:ascii="Times New Roman" w:hAnsi="Times New Roman" w:eastAsia="仿宋_GB2312" w:cs="Times New Roman"/>
          <w:color w:val="auto"/>
          <w:sz w:val="32"/>
          <w:szCs w:val="32"/>
        </w:rPr>
        <w:t>管理更</w:t>
      </w:r>
      <w:r>
        <w:rPr>
          <w:rFonts w:hint="default" w:ascii="Times New Roman" w:hAnsi="Times New Roman" w:eastAsia="仿宋_GB2312" w:cs="Times New Roman"/>
          <w:color w:val="auto"/>
          <w:sz w:val="32"/>
          <w:szCs w:val="32"/>
          <w:lang w:eastAsia="zh-CN"/>
        </w:rPr>
        <w:t>加</w:t>
      </w:r>
      <w:r>
        <w:rPr>
          <w:rFonts w:hint="default" w:ascii="Times New Roman" w:hAnsi="Times New Roman" w:eastAsia="仿宋_GB2312" w:cs="Times New Roman"/>
          <w:color w:val="auto"/>
          <w:sz w:val="32"/>
          <w:szCs w:val="32"/>
        </w:rPr>
        <w:t>高效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继续优化</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调整医疗服务价格，健全考核评价机制，落实医保按病种付费</w:t>
      </w:r>
      <w:r>
        <w:rPr>
          <w:rFonts w:hint="default" w:ascii="Times New Roman" w:hAnsi="Times New Roman" w:eastAsia="仿宋_GB2312" w:cs="Times New Roman"/>
          <w:color w:val="auto"/>
          <w:sz w:val="32"/>
          <w:szCs w:val="32"/>
          <w:lang w:eastAsia="zh-CN"/>
        </w:rPr>
        <w:t>制度</w:t>
      </w:r>
      <w:r>
        <w:rPr>
          <w:rFonts w:hint="default" w:ascii="Times New Roman" w:hAnsi="Times New Roman" w:eastAsia="仿宋_GB2312" w:cs="Times New Roman"/>
          <w:color w:val="auto"/>
          <w:sz w:val="32"/>
          <w:szCs w:val="32"/>
        </w:rPr>
        <w:t>，推动公立医院内部管理</w:t>
      </w:r>
      <w:r>
        <w:rPr>
          <w:rFonts w:hint="default" w:ascii="Times New Roman" w:hAnsi="Times New Roman" w:eastAsia="仿宋_GB2312" w:cs="Times New Roman"/>
          <w:color w:val="auto"/>
          <w:sz w:val="32"/>
          <w:szCs w:val="32"/>
          <w:lang w:eastAsia="zh-CN"/>
        </w:rPr>
        <w:t>持续</w:t>
      </w:r>
      <w:r>
        <w:rPr>
          <w:rFonts w:hint="default" w:ascii="Times New Roman" w:hAnsi="Times New Roman" w:eastAsia="仿宋_GB2312" w:cs="Times New Roman"/>
          <w:color w:val="auto"/>
          <w:sz w:val="32"/>
          <w:szCs w:val="32"/>
        </w:rPr>
        <w:t>规范化、精细化、科学化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eastAsia="zh-CN"/>
        </w:rPr>
        <w:t>二是</w:t>
      </w:r>
      <w:r>
        <w:rPr>
          <w:rFonts w:hint="eastAsia" w:ascii="Times New Roman" w:hAnsi="Times New Roman" w:eastAsia="仿宋_GB2312" w:cs="Times New Roman"/>
          <w:b/>
          <w:bCs/>
          <w:color w:val="auto"/>
          <w:sz w:val="32"/>
          <w:szCs w:val="32"/>
          <w:lang w:eastAsia="zh-CN"/>
        </w:rPr>
        <w:t>夯实信息化应用能力。</w:t>
      </w:r>
      <w:r>
        <w:rPr>
          <w:rFonts w:hint="default" w:ascii="Times New Roman" w:hAnsi="Times New Roman" w:eastAsia="仿宋_GB2312" w:cs="Times New Roman"/>
          <w:color w:val="auto"/>
          <w:sz w:val="32"/>
          <w:szCs w:val="32"/>
          <w:lang w:eastAsia="zh-CN"/>
        </w:rPr>
        <w:t>进一步优化完善县域医疗数据集成平台，开展医疗健康数据清洗、分析和应用工作，对县域医共体医疗资源配置模块进行完善，实现医共体内部人员管理、设备线上监管与调度。探索应用患者诊前智能导诊导医等多种诊疗服务应用场景，优化完善乡镇和村卫生室人工智能辅助诊疗平台建设，进一步提高服务效率和基层医生诊疗服务能力。</w:t>
      </w:r>
    </w:p>
    <w:p>
      <w:pPr>
        <w:pStyle w:val="76"/>
        <w:keepNext w:val="0"/>
        <w:keepLines w:val="0"/>
        <w:pageBreakBefore w:val="0"/>
        <w:numPr>
          <w:ilvl w:val="0"/>
          <w:numId w:val="0"/>
        </w:numPr>
        <w:kinsoku/>
        <w:wordWrap/>
        <w:overflowPunct/>
        <w:topLinePunct w:val="0"/>
        <w:autoSpaceDE/>
        <w:autoSpaceDN/>
        <w:bidi w:val="0"/>
        <w:adjustRightInd/>
        <w:spacing w:after="0" w:afterLines="0" w:line="560" w:lineRule="exact"/>
        <w:ind w:firstLine="643" w:firstLineChars="200"/>
        <w:textAlignment w:val="auto"/>
        <w:rPr>
          <w:rFonts w:hint="default" w:ascii="Times New Roman" w:hAnsi="Times New Roman" w:eastAsia="楷体" w:cs="Times New Roman"/>
          <w:b/>
          <w:bCs/>
          <w:color w:val="auto"/>
          <w:sz w:val="32"/>
          <w:szCs w:val="32"/>
          <w:highlight w:val="none"/>
          <w:u w:val="none" w:color="auto"/>
          <w:lang w:val="en-US" w:eastAsia="zh-CN"/>
        </w:rPr>
      </w:pPr>
      <w:r>
        <w:rPr>
          <w:rFonts w:hint="default" w:ascii="Times New Roman" w:hAnsi="Times New Roman" w:eastAsia="楷体_GB2312" w:cs="Times New Roman"/>
          <w:b/>
          <w:bCs/>
          <w:color w:val="auto"/>
          <w:kern w:val="2"/>
          <w:sz w:val="32"/>
          <w:szCs w:val="32"/>
          <w:lang w:val="en-US" w:eastAsia="zh-CN" w:bidi="ar-SA"/>
        </w:rPr>
        <w:t>（二）持续推动医疗水平提档升级。</w:t>
      </w:r>
      <w:r>
        <w:rPr>
          <w:rFonts w:hint="default" w:ascii="Times New Roman" w:hAnsi="Times New Roman" w:eastAsia="仿宋_GB2312" w:cs="Times New Roman"/>
          <w:b/>
          <w:sz w:val="32"/>
          <w:szCs w:val="32"/>
          <w:lang w:val="en-US" w:eastAsia="zh-CN"/>
        </w:rPr>
        <w:t>一是</w:t>
      </w:r>
      <w:r>
        <w:rPr>
          <w:rFonts w:hint="default" w:ascii="Times New Roman" w:hAnsi="Times New Roman" w:eastAsia="仿宋_GB2312" w:cs="Times New Roman"/>
          <w:b/>
          <w:sz w:val="32"/>
          <w:szCs w:val="32"/>
          <w:lang w:eastAsia="zh-CN"/>
        </w:rPr>
        <w:t>健全</w:t>
      </w:r>
      <w:r>
        <w:rPr>
          <w:rFonts w:hint="default" w:ascii="Times New Roman" w:hAnsi="Times New Roman" w:eastAsia="仿宋_GB2312" w:cs="Times New Roman"/>
          <w:b/>
          <w:sz w:val="32"/>
          <w:szCs w:val="32"/>
        </w:rPr>
        <w:t>人才培养</w:t>
      </w:r>
      <w:r>
        <w:rPr>
          <w:rFonts w:hint="default" w:ascii="Times New Roman" w:hAnsi="Times New Roman" w:eastAsia="仿宋_GB2312" w:cs="Times New Roman"/>
          <w:b/>
          <w:sz w:val="32"/>
          <w:szCs w:val="32"/>
          <w:lang w:eastAsia="zh-CN"/>
        </w:rPr>
        <w:t>机制</w:t>
      </w:r>
      <w:r>
        <w:rPr>
          <w:rFonts w:hint="default" w:ascii="Times New Roman" w:hAnsi="Times New Roman" w:eastAsia="仿宋_GB2312" w:cs="Times New Roman"/>
          <w:color w:val="auto"/>
          <w:sz w:val="32"/>
          <w:szCs w:val="32"/>
          <w:lang w:val="en-US" w:eastAsia="zh-CN"/>
        </w:rPr>
        <w:t>积极对接区内外高水平医疗机构，深化医疗技术、人才管理等多领域合作。争取自治区、吴忠市人才项目资金，加强县级医院重点专科建设，引进一批高端医疗资源，结合紧缺人才培养、基层卫生人才培养、对口支援等项目，进一步加强人才培养工作。</w:t>
      </w:r>
      <w:r>
        <w:rPr>
          <w:rFonts w:hint="default" w:ascii="Times New Roman" w:hAnsi="Times New Roman" w:eastAsia="仿宋_GB2312" w:cs="Times New Roman"/>
          <w:b/>
          <w:bCs/>
          <w:color w:val="auto"/>
          <w:sz w:val="32"/>
          <w:szCs w:val="32"/>
          <w:lang w:val="en-US" w:eastAsia="zh-CN"/>
        </w:rPr>
        <w:t>二是持续推进重点学科建设。</w:t>
      </w:r>
      <w:r>
        <w:rPr>
          <w:rFonts w:hint="eastAsia" w:ascii="Times New Roman" w:hAnsi="Times New Roman" w:eastAsia="仿宋_GB2312" w:cs="Times New Roman"/>
          <w:color w:val="auto"/>
          <w:sz w:val="32"/>
          <w:szCs w:val="32"/>
          <w:lang w:val="en-US" w:eastAsia="zh-CN"/>
        </w:rPr>
        <w:t>继续开展“优质服务基层行”活动，确保</w:t>
      </w:r>
      <w:r>
        <w:rPr>
          <w:rFonts w:hint="default" w:ascii="Times New Roman" w:hAnsi="Times New Roman" w:eastAsia="仿宋_GB2312" w:cs="Times New Roman"/>
          <w:color w:val="auto"/>
          <w:sz w:val="32"/>
          <w:szCs w:val="32"/>
          <w:lang w:val="en-US" w:eastAsia="zh-CN"/>
        </w:rPr>
        <w:t>年底青山乡卫生院达到国家服务能力基本标准、大水坑镇中心卫生院达到国家服务能力推荐标准，全县服务能力达标比例提高到70%以上。力争年底完成1个县级重点专科、3个县级薄弱专科和4个市级临床重点专科建设。</w:t>
      </w:r>
      <w:r>
        <w:rPr>
          <w:rFonts w:hint="eastAsia" w:ascii="Times New Roman" w:hAnsi="Times New Roman" w:eastAsia="仿宋_GB2312" w:cs="Times New Roman"/>
          <w:b/>
          <w:bCs/>
          <w:color w:val="auto"/>
          <w:sz w:val="32"/>
          <w:szCs w:val="32"/>
          <w:lang w:val="en-US" w:eastAsia="zh-CN"/>
        </w:rPr>
        <w:t>三是加快</w:t>
      </w:r>
      <w:r>
        <w:rPr>
          <w:rFonts w:hint="default" w:ascii="Times New Roman" w:hAnsi="Times New Roman" w:eastAsia="仿宋_GB2312" w:cs="Times New Roman"/>
          <w:b/>
          <w:bCs/>
          <w:color w:val="auto"/>
          <w:sz w:val="32"/>
          <w:szCs w:val="32"/>
          <w:lang w:val="en-US" w:eastAsia="zh-CN"/>
        </w:rPr>
        <w:t>推进健康盐池建设。</w:t>
      </w:r>
      <w:r>
        <w:rPr>
          <w:rFonts w:hint="default" w:ascii="Times New Roman" w:hAnsi="Times New Roman" w:eastAsia="仿宋_GB2312" w:cs="Times New Roman"/>
          <w:color w:val="auto"/>
          <w:sz w:val="32"/>
          <w:szCs w:val="32"/>
          <w:u w:val="none"/>
          <w:lang w:val="en-US" w:eastAsia="zh-CN"/>
        </w:rPr>
        <w:t>继续开展健康知识普及“六进”主题巡讲活动，大力推进健康讲习工作，稳步提升居民健康素养水平。结合“爱国卫生日”活动，大力开展全领域的环境卫生整治，集中开展病媒生物防制工作，改善城乡环境卫生，加快推进创建一批国家、自治区卫生乡镇及自治区级健康县、健康乡镇、健康细胞，不断提升社会健康综合治理能力。</w:t>
      </w:r>
    </w:p>
    <w:p>
      <w:pPr>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_GB2312" w:cs="Times New Roman"/>
          <w:b/>
          <w:bCs/>
          <w:color w:val="auto"/>
          <w:kern w:val="2"/>
          <w:sz w:val="32"/>
          <w:szCs w:val="32"/>
          <w:lang w:val="en-US" w:eastAsia="zh-CN" w:bidi="ar-SA"/>
        </w:rPr>
        <w:t>（三）持续加强重点人群健康服务保障。</w:t>
      </w:r>
      <w:r>
        <w:rPr>
          <w:rFonts w:hint="default" w:ascii="Times New Roman" w:hAnsi="Times New Roman" w:eastAsia="仿宋_GB2312" w:cs="Times New Roman"/>
          <w:b/>
          <w:bCs/>
          <w:color w:val="auto"/>
          <w:sz w:val="32"/>
          <w:szCs w:val="32"/>
          <w:lang w:val="en-US" w:eastAsia="zh-CN"/>
        </w:rPr>
        <w:t>一是推动3岁以下婴幼儿照护服务健康发展。</w:t>
      </w:r>
      <w:r>
        <w:rPr>
          <w:rFonts w:hint="default" w:ascii="Times New Roman" w:hAnsi="Times New Roman" w:eastAsia="仿宋_GB2312" w:cs="Times New Roman"/>
          <w:color w:val="auto"/>
          <w:sz w:val="32"/>
          <w:szCs w:val="32"/>
          <w:u w:val="none"/>
          <w:lang w:val="en-US" w:eastAsia="zh-CN"/>
        </w:rPr>
        <w:t>严格执行登记备案制度，严把托育服务机构准入关。协调相关部门联合发力，加强对托育机构的监督管理，促进托育机构规范发展。拓宽托育服务渠道，引导有条件的幼儿园开设托班招收2-3岁幼儿。积极争取中国计生协“向日葵亲子小屋”</w:t>
      </w:r>
      <w:r>
        <w:rPr>
          <w:rFonts w:hint="eastAsia" w:ascii="Times New Roman" w:hAnsi="Times New Roman" w:eastAsia="仿宋_GB2312" w:cs="Times New Roman"/>
          <w:color w:val="auto"/>
          <w:sz w:val="32"/>
          <w:szCs w:val="32"/>
          <w:u w:val="none"/>
          <w:lang w:val="en-US" w:eastAsia="zh-CN"/>
        </w:rPr>
        <w:t>项目</w:t>
      </w:r>
      <w:r>
        <w:rPr>
          <w:rFonts w:hint="default" w:ascii="Times New Roman" w:hAnsi="Times New Roman" w:eastAsia="仿宋_GB2312" w:cs="Times New Roman"/>
          <w:color w:val="auto"/>
          <w:sz w:val="32"/>
          <w:szCs w:val="32"/>
          <w:u w:val="none"/>
          <w:lang w:val="en-US" w:eastAsia="zh-CN"/>
        </w:rPr>
        <w:t>，增强家庭科学养育指导意识和能力，促进儿童健康茁壮成长。落实好普惠托育专项行动，支持社会力量参与托育服务。力争到2023年底，全县每千人口3岁以下婴幼儿托位数达到2.4个。</w:t>
      </w:r>
      <w:r>
        <w:rPr>
          <w:rFonts w:hint="default" w:ascii="Times New Roman" w:hAnsi="Times New Roman" w:eastAsia="仿宋_GB2312" w:cs="Times New Roman"/>
          <w:b/>
          <w:bCs/>
          <w:color w:val="000000" w:themeColor="text1"/>
          <w:sz w:val="33"/>
          <w:szCs w:val="33"/>
          <w:lang w:eastAsia="zh-CN"/>
          <w14:textFill>
            <w14:solidFill>
              <w14:schemeClr w14:val="tx1"/>
            </w14:solidFill>
          </w14:textFill>
        </w:rPr>
        <w:t>二是</w:t>
      </w:r>
      <w:r>
        <w:rPr>
          <w:rFonts w:hint="default" w:ascii="Times New Roman" w:hAnsi="Times New Roman" w:eastAsia="仿宋_GB2312" w:cs="Times New Roman"/>
          <w:b/>
          <w:bCs/>
          <w:color w:val="000000"/>
          <w:kern w:val="0"/>
          <w:sz w:val="32"/>
          <w:szCs w:val="32"/>
          <w:lang w:val="en-US" w:eastAsia="zh-CN"/>
        </w:rPr>
        <w:t>推进老龄工作健康发展。</w:t>
      </w:r>
      <w:r>
        <w:rPr>
          <w:rFonts w:hint="default" w:ascii="Times New Roman" w:hAnsi="Times New Roman" w:eastAsia="仿宋_GB2312" w:cs="Times New Roman"/>
          <w:b w:val="0"/>
          <w:bCs w:val="0"/>
          <w:color w:val="000000"/>
          <w:kern w:val="0"/>
          <w:sz w:val="32"/>
          <w:szCs w:val="32"/>
          <w:lang w:val="en-US" w:eastAsia="zh-CN"/>
        </w:rPr>
        <w:t>继续开展示范性老年友好型社区和老年友善医疗机构创建，</w:t>
      </w:r>
      <w:r>
        <w:rPr>
          <w:rFonts w:hint="eastAsia" w:ascii="Times New Roman" w:hAnsi="Times New Roman" w:eastAsia="仿宋_GB2312" w:cs="Times New Roman"/>
          <w:b w:val="0"/>
          <w:bCs w:val="0"/>
          <w:color w:val="000000"/>
          <w:kern w:val="0"/>
          <w:sz w:val="32"/>
          <w:szCs w:val="32"/>
          <w:lang w:val="en-US" w:eastAsia="zh-CN"/>
        </w:rPr>
        <w:t>大力</w:t>
      </w:r>
      <w:r>
        <w:rPr>
          <w:rFonts w:hint="default" w:ascii="Times New Roman" w:hAnsi="Times New Roman" w:eastAsia="仿宋_GB2312" w:cs="Times New Roman"/>
          <w:b w:val="0"/>
          <w:bCs w:val="0"/>
          <w:color w:val="000000"/>
          <w:kern w:val="0"/>
          <w:sz w:val="32"/>
          <w:szCs w:val="32"/>
          <w:lang w:val="en-US" w:eastAsia="zh-CN"/>
        </w:rPr>
        <w:t>开展老年健康宣传周、敬老月、情暖夕阳健康行等宣传活动，营造尊老敬老社会氛围。</w:t>
      </w:r>
      <w:r>
        <w:rPr>
          <w:rFonts w:hint="default" w:ascii="Times New Roman" w:hAnsi="Times New Roman" w:eastAsia="仿宋_GB2312" w:cs="Times New Roman"/>
          <w:b/>
          <w:bCs/>
          <w:color w:val="auto"/>
          <w:sz w:val="32"/>
          <w:szCs w:val="32"/>
          <w:u w:val="none"/>
          <w:lang w:val="en-US" w:eastAsia="zh-CN"/>
        </w:rPr>
        <w:t>三是提升基本公共卫生服务能力。</w:t>
      </w:r>
      <w:r>
        <w:rPr>
          <w:rFonts w:hint="default" w:ascii="Times New Roman" w:hAnsi="Times New Roman" w:eastAsia="仿宋_GB2312" w:cs="Times New Roman"/>
          <w:color w:val="auto"/>
          <w:sz w:val="32"/>
          <w:szCs w:val="32"/>
          <w:u w:val="none"/>
          <w:lang w:val="en-US" w:eastAsia="zh-CN"/>
        </w:rPr>
        <w:t>持续提升12类基本公共卫生服务项目实施效果，抓好重点人群健康管理，按照重大慢性非传染性疾病医疗机构机会性筛查干预管理和县委、政府早期肺癌、早期上消化道癌等民生项目工作要求，继续加大高血压、糖尿病、癌症等重大慢性病医防融合工作力度，全力推动自治区慢性病示范区创建工作。</w:t>
      </w:r>
    </w:p>
    <w:p>
      <w:pPr>
        <w:pStyle w:val="7"/>
        <w:pageBreakBefore w:val="0"/>
        <w:kinsoku/>
        <w:wordWrap/>
        <w:overflowPunct/>
        <w:topLinePunct w:val="0"/>
        <w:autoSpaceDE/>
        <w:autoSpaceDN/>
        <w:bidi w:val="0"/>
        <w:spacing w:after="0" w:afterLines="0" w:line="560" w:lineRule="exact"/>
        <w:rPr>
          <w:rFonts w:hint="eastAsia" w:ascii="Times New Roman" w:hAnsi="Times New Roman" w:eastAsia="仿宋_GB2312" w:cs="Times New Roman"/>
          <w:color w:val="auto"/>
          <w:sz w:val="32"/>
          <w:szCs w:val="32"/>
          <w:u w:val="none"/>
          <w:lang w:val="en-US" w:eastAsia="zh-CN"/>
        </w:rPr>
      </w:pPr>
    </w:p>
    <w:p>
      <w:pPr>
        <w:pStyle w:val="7"/>
        <w:pageBreakBefore w:val="0"/>
        <w:kinsoku/>
        <w:wordWrap/>
        <w:overflowPunct/>
        <w:topLinePunct w:val="0"/>
        <w:autoSpaceDE/>
        <w:autoSpaceDN/>
        <w:bidi w:val="0"/>
        <w:spacing w:after="0" w:afterLines="0" w:line="560" w:lineRule="exact"/>
        <w:rPr>
          <w:rFonts w:hint="eastAsia" w:ascii="Times New Roman" w:hAnsi="Times New Roman" w:eastAsia="仿宋_GB2312" w:cs="Times New Roman"/>
          <w:color w:val="auto"/>
          <w:sz w:val="32"/>
          <w:szCs w:val="32"/>
          <w:u w:val="none"/>
          <w:lang w:val="en-US" w:eastAsia="zh-CN"/>
        </w:rPr>
      </w:pPr>
    </w:p>
    <w:p>
      <w:pPr>
        <w:pStyle w:val="7"/>
        <w:pageBreakBefore w:val="0"/>
        <w:kinsoku/>
        <w:wordWrap/>
        <w:overflowPunct/>
        <w:topLinePunct w:val="0"/>
        <w:autoSpaceDE/>
        <w:autoSpaceDN/>
        <w:bidi w:val="0"/>
        <w:spacing w:after="0" w:afterLines="0" w:line="560" w:lineRule="exact"/>
        <w:ind w:firstLine="5760" w:firstLineChars="18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盐池县卫生健康局</w:t>
      </w:r>
    </w:p>
    <w:p>
      <w:pPr>
        <w:pStyle w:val="7"/>
        <w:pageBreakBefore w:val="0"/>
        <w:kinsoku/>
        <w:wordWrap/>
        <w:overflowPunct/>
        <w:topLinePunct w:val="0"/>
        <w:autoSpaceDE/>
        <w:autoSpaceDN/>
        <w:bidi w:val="0"/>
        <w:spacing w:after="0" w:afterLines="0" w:line="560" w:lineRule="exact"/>
        <w:ind w:firstLine="5760" w:firstLineChars="18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2023年7月10日</w:t>
      </w:r>
    </w:p>
    <w:p>
      <w:pPr>
        <w:pStyle w:val="7"/>
        <w:pageBreakBefore w:val="0"/>
        <w:kinsoku/>
        <w:wordWrap/>
        <w:overflowPunct/>
        <w:topLinePunct w:val="0"/>
        <w:autoSpaceDE/>
        <w:autoSpaceDN/>
        <w:bidi w:val="0"/>
        <w:spacing w:after="0" w:afterLines="0" w:line="56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（此件公开发布）</w:t>
      </w:r>
    </w:p>
    <w:p>
      <w:pPr>
        <w:pStyle w:val="7"/>
        <w:pageBreakBefore w:val="0"/>
        <w:kinsoku/>
        <w:wordWrap/>
        <w:overflowPunct/>
        <w:topLinePunct w:val="0"/>
        <w:autoSpaceDE/>
        <w:autoSpaceDN/>
        <w:bidi w:val="0"/>
        <w:spacing w:after="0" w:afterLines="0" w:line="560" w:lineRule="exact"/>
        <w:ind w:firstLine="5760" w:firstLineChars="1800"/>
        <w:rPr>
          <w:rFonts w:hint="default" w:ascii="Times New Roman" w:hAnsi="Times New Roman" w:eastAsia="仿宋_GB2312" w:cs="Times New Roman"/>
          <w:color w:val="auto"/>
          <w:sz w:val="32"/>
          <w:szCs w:val="32"/>
          <w:u w:val="none"/>
          <w:lang w:val="en-US" w:eastAsia="zh-CN"/>
        </w:rPr>
      </w:pPr>
    </w:p>
    <w:p>
      <w:pPr>
        <w:spacing w:line="560" w:lineRule="exact"/>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仿宋_GB2312" w:cs="Times New Roman"/>
          <w:color w:val="000000"/>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377190</wp:posOffset>
                </wp:positionV>
                <wp:extent cx="5600700" cy="0"/>
                <wp:effectExtent l="0" t="9525" r="0" b="9525"/>
                <wp:wrapNone/>
                <wp:docPr id="14" name="直接连接符 1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7pt;height:0pt;width:441pt;z-index:251661312;mso-width-relative:page;mso-height-relative:page;" filled="f" stroked="t" coordsize="21600,21600" o:gfxdata="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37wPdMAAAAGAQAADwAAAAAAAAABACAAAAAiAAAAZHJzL2Rvd25yZXYueG1sUEsB&#10;AhQAFAAAAAgAh07iQKHChvr6AQAA9QMAAA4AAAAAAAAAAQAgAAAAIgEAAGRycy9lMm9Eb2MueG1s&#10;UEsFBgAAAAAGAAYAWQEAAI4FAAAAAA==&#10;">
                <v:path arrowok="t"/>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19050</wp:posOffset>
                </wp:positionV>
                <wp:extent cx="56007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5pt;height:0pt;width:441pt;z-index:251660288;mso-width-relative:page;mso-height-relative:page;" filled="f" stroked="t" coordsize="21600,21600" o:gfxdata="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RaxzvRAAAABAEAAA8AAAAAAAAAAQAgAAAAIgAAAGRycy9kb3ducmV2LnhtbFBLAQIU&#10;ABQAAAAIAIdO4kAU0YaH+gEAAPUDAAAOAAAAAAAAAAEAIAAAACABAABkcnMvZTJvRG9jLnhtbFBL&#10;BQYAAAAABgAGAFkBAACMBQAAAAA=&#10;">
                <v:path arrowok="t"/>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rPr>
        <w:t xml:space="preserve">  </w:t>
      </w:r>
      <w:r>
        <w:rPr>
          <w:rFonts w:hint="eastAsia" w:ascii="Times New Roman" w:hAnsi="Times New Roman" w:eastAsia="仿宋_GB2312" w:cs="Times New Roman"/>
          <w:color w:val="000000"/>
          <w:lang w:val="en-US" w:eastAsia="zh-CN"/>
        </w:rPr>
        <w:t xml:space="preserve"> </w:t>
      </w:r>
      <w:r>
        <w:rPr>
          <w:rFonts w:hint="default" w:ascii="Times New Roman" w:hAnsi="Times New Roman" w:eastAsia="仿宋_GB2312" w:cs="Times New Roman"/>
          <w:color w:val="000000"/>
          <w:sz w:val="28"/>
          <w:szCs w:val="28"/>
        </w:rPr>
        <w:t xml:space="preserve">盐池县卫生健康局办公室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20</w:t>
      </w:r>
      <w:r>
        <w:rPr>
          <w:rFonts w:hint="default"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7</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10</w:t>
      </w:r>
      <w:r>
        <w:rPr>
          <w:rFonts w:hint="default" w:ascii="Times New Roman" w:hAnsi="Times New Roman" w:eastAsia="仿宋_GB2312" w:cs="Times New Roman"/>
          <w:color w:val="000000"/>
          <w:sz w:val="28"/>
          <w:szCs w:val="28"/>
        </w:rPr>
        <w:t>日印发</w:t>
      </w:r>
    </w:p>
    <w:p>
      <w:pPr>
        <w:pStyle w:val="5"/>
        <w:pageBreakBefore w:val="0"/>
        <w:kinsoku/>
        <w:wordWrap/>
        <w:overflowPunct/>
        <w:topLinePunct w:val="0"/>
        <w:autoSpaceDE/>
        <w:autoSpaceDN/>
        <w:bidi w:val="0"/>
        <w:spacing w:before="0" w:after="0" w:line="560" w:lineRule="exact"/>
        <w:textAlignment w:val="auto"/>
        <w:rPr>
          <w:rFonts w:hint="default" w:ascii="Times New Roman" w:hAnsi="Times New Roman" w:eastAsia="楷体_GB2312" w:cs="Times New Roman"/>
          <w:color w:val="auto"/>
          <w:lang w:eastAsia="zh-CN"/>
        </w:rPr>
      </w:pPr>
    </w:p>
    <w:sectPr>
      <w:footerReference r:id="rId3"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4448175</wp:posOffset>
              </wp:positionH>
              <wp:positionV relativeFrom="paragraph">
                <wp:posOffset>-113665</wp:posOffset>
              </wp:positionV>
              <wp:extent cx="1168400" cy="2597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8400"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0.25pt;margin-top:-8.95pt;height:20.45pt;width:92pt;mso-position-horizontal-relative:margin;z-index:251659264;mso-width-relative:page;mso-height-relative:page;" filled="f" stroked="f" coordsize="21600,21600" o:gfxdata="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xszP52QAAAAoBAAAPAAAAAAAAAAEAIAAAACIAAABkcnMvZG93&#10;bnJldi54bWxQSwECFAAUAAAACACHTuJAEhfVEjgCAABiBAAADgAAAAAAAAABACAAAAAoAQAAZHJz&#10;L2Uyb0RvYy54bWxQSwUGAAAAAAYABgBZAQAA0gUAAAAA&#10;">
              <v:fill on="f" focussize="0,0"/>
              <v:stroke on="f" weight="0.5pt"/>
              <v:imagedata o:title=""/>
              <o:lock v:ext="edit" aspectratio="f"/>
              <v:textbox inset="0mm,0mm,0mm,0mm">
                <w:txbxContent>
                  <w:p>
                    <w:pPr>
                      <w:pStyle w:val="9"/>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ZWYzMGIwYjhkOWNhMjczZTVmNTkxYjA4MTNkODcifQ=="/>
  </w:docVars>
  <w:rsids>
    <w:rsidRoot w:val="32BF2BFB"/>
    <w:rsid w:val="18FD3096"/>
    <w:rsid w:val="22766E6B"/>
    <w:rsid w:val="30D9528D"/>
    <w:rsid w:val="32BF2BFB"/>
    <w:rsid w:val="43F630C4"/>
    <w:rsid w:val="4B02759C"/>
    <w:rsid w:val="4E1864A7"/>
    <w:rsid w:val="619A3AD5"/>
    <w:rsid w:val="6757019B"/>
    <w:rsid w:val="686B1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6">
    <w:name w:val="Normal Indent"/>
    <w:basedOn w:val="1"/>
    <w:next w:val="1"/>
    <w:qFormat/>
    <w:uiPriority w:val="0"/>
    <w:pPr>
      <w:ind w:firstLine="420" w:firstLineChars="200"/>
    </w:pPr>
  </w:style>
  <w:style w:type="paragraph" w:styleId="7">
    <w:name w:val="Body Text"/>
    <w:basedOn w:val="1"/>
    <w:qFormat/>
    <w:uiPriority w:val="0"/>
    <w:pPr>
      <w:spacing w:after="120" w:afterLines="0" w:afterAutospacing="0"/>
    </w:pPr>
  </w:style>
  <w:style w:type="paragraph" w:styleId="8">
    <w:name w:val="Body Text Indent"/>
    <w:basedOn w:val="1"/>
    <w:next w:val="6"/>
    <w:qFormat/>
    <w:uiPriority w:val="0"/>
    <w:pPr>
      <w:ind w:left="420"/>
    </w:pPr>
    <w:rPr>
      <w:rFonts w:ascii="仿宋_GB2312" w:eastAsia="仿宋_GB2312"/>
      <w:sz w:val="3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3">
    <w:name w:val="Body Text First Indent 2"/>
    <w:basedOn w:val="8"/>
    <w:next w:val="1"/>
    <w:qFormat/>
    <w:uiPriority w:val="0"/>
    <w:pPr>
      <w:spacing w:after="120"/>
      <w:ind w:leftChars="200" w:firstLine="420" w:firstLineChars="200"/>
    </w:pPr>
    <w:rPr>
      <w:rFonts w:ascii="Times New Roman"/>
    </w:rPr>
  </w:style>
  <w:style w:type="character" w:styleId="16">
    <w:name w:val="Strong"/>
    <w:basedOn w:val="15"/>
    <w:qFormat/>
    <w:uiPriority w:val="0"/>
    <w:rPr>
      <w:rFonts w:ascii="微软雅黑" w:hAnsi="微软雅黑" w:eastAsia="微软雅黑" w:cs="微软雅黑"/>
      <w:b/>
    </w:rPr>
  </w:style>
  <w:style w:type="character" w:styleId="17">
    <w:name w:val="FollowedHyperlink"/>
    <w:basedOn w:val="15"/>
    <w:qFormat/>
    <w:uiPriority w:val="0"/>
    <w:rPr>
      <w:color w:val="800080"/>
      <w:u w:val="none"/>
    </w:rPr>
  </w:style>
  <w:style w:type="character" w:styleId="18">
    <w:name w:val="Emphasis"/>
    <w:basedOn w:val="15"/>
    <w:qFormat/>
    <w:uiPriority w:val="0"/>
  </w:style>
  <w:style w:type="character" w:styleId="19">
    <w:name w:val="HTML Definition"/>
    <w:basedOn w:val="15"/>
    <w:qFormat/>
    <w:uiPriority w:val="0"/>
    <w:rPr>
      <w:i/>
      <w:iCs/>
    </w:rPr>
  </w:style>
  <w:style w:type="character" w:styleId="20">
    <w:name w:val="HTML Acronym"/>
    <w:basedOn w:val="15"/>
    <w:qFormat/>
    <w:uiPriority w:val="0"/>
  </w:style>
  <w:style w:type="character" w:styleId="21">
    <w:name w:val="Hyperlink"/>
    <w:basedOn w:val="15"/>
    <w:qFormat/>
    <w:uiPriority w:val="0"/>
    <w:rPr>
      <w:color w:val="0000FF"/>
      <w:u w:val="none"/>
    </w:rPr>
  </w:style>
  <w:style w:type="character" w:styleId="22">
    <w:name w:val="HTML Code"/>
    <w:basedOn w:val="15"/>
    <w:qFormat/>
    <w:uiPriority w:val="0"/>
    <w:rPr>
      <w:rFonts w:ascii="Consolas" w:hAnsi="Consolas" w:eastAsia="Consolas" w:cs="Consolas"/>
      <w:color w:val="C7254E"/>
      <w:sz w:val="21"/>
      <w:szCs w:val="21"/>
      <w:shd w:val="clear" w:fill="F9F2F4"/>
    </w:rPr>
  </w:style>
  <w:style w:type="character" w:styleId="23">
    <w:name w:val="HTML Cite"/>
    <w:basedOn w:val="15"/>
    <w:qFormat/>
    <w:uiPriority w:val="0"/>
    <w:rPr>
      <w:color w:val="008000"/>
    </w:rPr>
  </w:style>
  <w:style w:type="character" w:styleId="24">
    <w:name w:val="HTML Keyboard"/>
    <w:basedOn w:val="15"/>
    <w:qFormat/>
    <w:uiPriority w:val="0"/>
    <w:rPr>
      <w:rFonts w:hint="default" w:ascii="Consolas" w:hAnsi="Consolas" w:eastAsia="Consolas" w:cs="Consolas"/>
      <w:color w:val="FFFFFF"/>
      <w:sz w:val="21"/>
      <w:szCs w:val="21"/>
      <w:shd w:val="clear" w:fill="333333"/>
    </w:rPr>
  </w:style>
  <w:style w:type="character" w:styleId="25">
    <w:name w:val="HTML Sample"/>
    <w:basedOn w:val="15"/>
    <w:qFormat/>
    <w:uiPriority w:val="0"/>
    <w:rPr>
      <w:rFonts w:hint="default" w:ascii="Consolas" w:hAnsi="Consolas" w:eastAsia="Consolas" w:cs="Consolas"/>
      <w:sz w:val="21"/>
      <w:szCs w:val="21"/>
    </w:rPr>
  </w:style>
  <w:style w:type="paragraph" w:customStyle="1" w:styleId="26">
    <w:name w:val="List Paragraph1"/>
    <w:next w:val="1"/>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character" w:customStyle="1" w:styleId="27">
    <w:name w:val="_37aak"/>
    <w:basedOn w:val="15"/>
    <w:qFormat/>
    <w:uiPriority w:val="0"/>
  </w:style>
  <w:style w:type="character" w:customStyle="1" w:styleId="28">
    <w:name w:val="hover"/>
    <w:basedOn w:val="15"/>
    <w:qFormat/>
    <w:uiPriority w:val="0"/>
    <w:rPr>
      <w:color w:val="315EFB"/>
    </w:rPr>
  </w:style>
  <w:style w:type="character" w:customStyle="1" w:styleId="29">
    <w:name w:val="hover7"/>
    <w:basedOn w:val="15"/>
    <w:qFormat/>
    <w:uiPriority w:val="0"/>
    <w:rPr>
      <w:color w:val="315EFB"/>
    </w:rPr>
  </w:style>
  <w:style w:type="character" w:customStyle="1" w:styleId="30">
    <w:name w:val="hover24"/>
    <w:basedOn w:val="15"/>
    <w:qFormat/>
    <w:uiPriority w:val="0"/>
  </w:style>
  <w:style w:type="character" w:customStyle="1" w:styleId="31">
    <w:name w:val="hover25"/>
    <w:basedOn w:val="15"/>
    <w:qFormat/>
    <w:uiPriority w:val="0"/>
    <w:rPr>
      <w:color w:val="315EFB"/>
    </w:rPr>
  </w:style>
  <w:style w:type="character" w:customStyle="1" w:styleId="32">
    <w:name w:val="hover26"/>
    <w:basedOn w:val="15"/>
    <w:qFormat/>
    <w:uiPriority w:val="0"/>
    <w:rPr>
      <w:color w:val="315EFB"/>
    </w:rPr>
  </w:style>
  <w:style w:type="character" w:customStyle="1" w:styleId="33">
    <w:name w:val="c-icon"/>
    <w:basedOn w:val="15"/>
    <w:qFormat/>
    <w:uiPriority w:val="0"/>
  </w:style>
  <w:style w:type="character" w:customStyle="1" w:styleId="34">
    <w:name w:val="c-icon28"/>
    <w:basedOn w:val="15"/>
    <w:qFormat/>
    <w:uiPriority w:val="0"/>
  </w:style>
  <w:style w:type="character" w:customStyle="1" w:styleId="35">
    <w:name w:val="NormalCharacter"/>
    <w:semiHidden/>
    <w:qFormat/>
    <w:uiPriority w:val="0"/>
    <w:rPr>
      <w:rFonts w:ascii="Times New Roman" w:hAnsi="Times New Roman" w:eastAsia="仿宋_GB2312" w:cs="Times New Roman"/>
      <w:kern w:val="2"/>
      <w:sz w:val="21"/>
      <w:szCs w:val="21"/>
      <w:lang w:val="en-US" w:eastAsia="zh-CN" w:bidi="ar-SA"/>
    </w:rPr>
  </w:style>
  <w:style w:type="character" w:customStyle="1" w:styleId="36">
    <w:name w:val="zfxxgk-name"/>
    <w:basedOn w:val="15"/>
    <w:qFormat/>
    <w:uiPriority w:val="0"/>
    <w:rPr>
      <w:b/>
      <w:bCs/>
      <w:color w:val="2D66A5"/>
      <w:sz w:val="39"/>
      <w:szCs w:val="39"/>
    </w:rPr>
  </w:style>
  <w:style w:type="character" w:customStyle="1" w:styleId="37">
    <w:name w:val="subjispan2"/>
    <w:basedOn w:val="15"/>
    <w:qFormat/>
    <w:uiPriority w:val="0"/>
  </w:style>
  <w:style w:type="character" w:customStyle="1" w:styleId="38">
    <w:name w:val="subshispan1"/>
    <w:basedOn w:val="15"/>
    <w:qFormat/>
    <w:uiPriority w:val="0"/>
  </w:style>
  <w:style w:type="character" w:customStyle="1" w:styleId="39">
    <w:name w:val="subxunspan3"/>
    <w:basedOn w:val="15"/>
    <w:qFormat/>
    <w:uiPriority w:val="0"/>
  </w:style>
  <w:style w:type="character" w:customStyle="1" w:styleId="40">
    <w:name w:val="subjispan3"/>
    <w:basedOn w:val="15"/>
    <w:qFormat/>
    <w:uiPriority w:val="0"/>
  </w:style>
  <w:style w:type="character" w:customStyle="1" w:styleId="41">
    <w:name w:val="submuluspan1"/>
    <w:basedOn w:val="15"/>
    <w:qFormat/>
    <w:uiPriority w:val="0"/>
  </w:style>
  <w:style w:type="character" w:customStyle="1" w:styleId="42">
    <w:name w:val="a_p_3"/>
    <w:basedOn w:val="15"/>
    <w:qFormat/>
    <w:uiPriority w:val="0"/>
    <w:rPr>
      <w:sz w:val="27"/>
      <w:szCs w:val="27"/>
    </w:rPr>
  </w:style>
  <w:style w:type="character" w:customStyle="1" w:styleId="43">
    <w:name w:val="subjispan1"/>
    <w:basedOn w:val="15"/>
    <w:qFormat/>
    <w:uiPriority w:val="0"/>
  </w:style>
  <w:style w:type="character" w:customStyle="1" w:styleId="44">
    <w:name w:val="subxunspan5"/>
    <w:basedOn w:val="15"/>
    <w:qFormat/>
    <w:uiPriority w:val="0"/>
  </w:style>
  <w:style w:type="character" w:customStyle="1" w:styleId="45">
    <w:name w:val="a_p_2"/>
    <w:basedOn w:val="15"/>
    <w:qFormat/>
    <w:uiPriority w:val="0"/>
    <w:rPr>
      <w:sz w:val="27"/>
      <w:szCs w:val="27"/>
    </w:rPr>
  </w:style>
  <w:style w:type="character" w:customStyle="1" w:styleId="46">
    <w:name w:val="a_p_21"/>
    <w:basedOn w:val="15"/>
    <w:qFormat/>
    <w:uiPriority w:val="0"/>
  </w:style>
  <w:style w:type="character" w:customStyle="1" w:styleId="47">
    <w:name w:val="subjispan4"/>
    <w:basedOn w:val="15"/>
    <w:qFormat/>
    <w:uiPriority w:val="0"/>
  </w:style>
  <w:style w:type="character" w:customStyle="1" w:styleId="48">
    <w:name w:val="subhuspan1"/>
    <w:basedOn w:val="15"/>
    <w:qFormat/>
    <w:uiPriority w:val="0"/>
  </w:style>
  <w:style w:type="character" w:customStyle="1" w:styleId="49">
    <w:name w:val="subxunspan1"/>
    <w:basedOn w:val="15"/>
    <w:qFormat/>
    <w:uiPriority w:val="0"/>
  </w:style>
  <w:style w:type="character" w:customStyle="1" w:styleId="50">
    <w:name w:val="layui-layer-tabnow"/>
    <w:basedOn w:val="15"/>
    <w:qFormat/>
    <w:uiPriority w:val="0"/>
    <w:rPr>
      <w:bdr w:val="single" w:color="CCCCCC" w:sz="6" w:space="0"/>
      <w:shd w:val="clear" w:fill="FFFFFF"/>
    </w:rPr>
  </w:style>
  <w:style w:type="character" w:customStyle="1" w:styleId="51">
    <w:name w:val="subshispan2"/>
    <w:basedOn w:val="15"/>
    <w:qFormat/>
    <w:uiPriority w:val="0"/>
  </w:style>
  <w:style w:type="character" w:customStyle="1" w:styleId="52">
    <w:name w:val="exap"/>
    <w:basedOn w:val="15"/>
    <w:qFormat/>
    <w:uiPriority w:val="0"/>
    <w:rPr>
      <w:sz w:val="27"/>
      <w:szCs w:val="27"/>
    </w:rPr>
  </w:style>
  <w:style w:type="character" w:customStyle="1" w:styleId="53">
    <w:name w:val="subxunspan4"/>
    <w:basedOn w:val="15"/>
    <w:qFormat/>
    <w:uiPriority w:val="0"/>
  </w:style>
  <w:style w:type="character" w:customStyle="1" w:styleId="54">
    <w:name w:val="subxunspan2"/>
    <w:basedOn w:val="15"/>
    <w:qFormat/>
    <w:uiPriority w:val="0"/>
  </w:style>
  <w:style w:type="character" w:customStyle="1" w:styleId="55">
    <w:name w:val="submuluspan2"/>
    <w:basedOn w:val="15"/>
    <w:qFormat/>
    <w:uiPriority w:val="0"/>
  </w:style>
  <w:style w:type="character" w:customStyle="1" w:styleId="56">
    <w:name w:val="subshispan3"/>
    <w:basedOn w:val="15"/>
    <w:qFormat/>
    <w:uiPriority w:val="0"/>
  </w:style>
  <w:style w:type="character" w:customStyle="1" w:styleId="57">
    <w:name w:val="ul_li_a_1"/>
    <w:basedOn w:val="15"/>
    <w:qFormat/>
    <w:uiPriority w:val="0"/>
    <w:rPr>
      <w:b/>
      <w:bCs/>
      <w:color w:val="FFFFFF"/>
    </w:rPr>
  </w:style>
  <w:style w:type="character" w:customStyle="1" w:styleId="58">
    <w:name w:val="subhuspan2"/>
    <w:basedOn w:val="15"/>
    <w:qFormat/>
    <w:uiPriority w:val="0"/>
  </w:style>
  <w:style w:type="character" w:customStyle="1" w:styleId="59">
    <w:name w:val="subhuspan3"/>
    <w:basedOn w:val="15"/>
    <w:uiPriority w:val="0"/>
  </w:style>
  <w:style w:type="character" w:customStyle="1" w:styleId="60">
    <w:name w:val="submuluspan3"/>
    <w:basedOn w:val="15"/>
    <w:uiPriority w:val="0"/>
  </w:style>
  <w:style w:type="character" w:customStyle="1" w:styleId="61">
    <w:name w:val="a_p_1"/>
    <w:basedOn w:val="15"/>
    <w:uiPriority w:val="0"/>
    <w:rPr>
      <w:sz w:val="27"/>
      <w:szCs w:val="27"/>
    </w:rPr>
  </w:style>
  <w:style w:type="character" w:customStyle="1" w:styleId="62">
    <w:name w:val="first-child"/>
    <w:basedOn w:val="15"/>
    <w:uiPriority w:val="0"/>
  </w:style>
  <w:style w:type="character" w:customStyle="1" w:styleId="63">
    <w:name w:val="direct"/>
    <w:basedOn w:val="15"/>
    <w:qFormat/>
    <w:uiPriority w:val="0"/>
  </w:style>
  <w:style w:type="character" w:customStyle="1" w:styleId="64">
    <w:name w:val="handle"/>
    <w:basedOn w:val="15"/>
    <w:qFormat/>
    <w:uiPriority w:val="0"/>
  </w:style>
  <w:style w:type="character" w:customStyle="1" w:styleId="65">
    <w:name w:val="layui-this"/>
    <w:basedOn w:val="15"/>
    <w:qFormat/>
    <w:uiPriority w:val="0"/>
    <w:rPr>
      <w:bdr w:val="single" w:color="EEEEEE" w:sz="6" w:space="0"/>
      <w:shd w:val="clear" w:fill="FFFFFF"/>
    </w:rPr>
  </w:style>
  <w:style w:type="character" w:customStyle="1" w:styleId="66">
    <w:name w:val="zx"/>
    <w:basedOn w:val="15"/>
    <w:qFormat/>
    <w:uiPriority w:val="0"/>
    <w:rPr>
      <w:color w:val="2FB8A0"/>
      <w:bdr w:val="single" w:color="2FB8A0" w:sz="6" w:space="0"/>
    </w:rPr>
  </w:style>
  <w:style w:type="character" w:customStyle="1" w:styleId="67">
    <w:name w:val="act2"/>
    <w:basedOn w:val="15"/>
    <w:uiPriority w:val="0"/>
    <w:rPr>
      <w:color w:val="4D87BE"/>
      <w:shd w:val="clear" w:fill="FFFFFF"/>
    </w:rPr>
  </w:style>
  <w:style w:type="character" w:customStyle="1" w:styleId="68">
    <w:name w:val="act3"/>
    <w:basedOn w:val="15"/>
    <w:uiPriority w:val="0"/>
    <w:rPr>
      <w:shd w:val="clear" w:fill="FF9900"/>
    </w:rPr>
  </w:style>
  <w:style w:type="character" w:customStyle="1" w:styleId="69">
    <w:name w:val="act4"/>
    <w:basedOn w:val="15"/>
    <w:uiPriority w:val="0"/>
    <w:rPr>
      <w:color w:val="4D87BE"/>
      <w:shd w:val="clear" w:fill="FFFFFF"/>
    </w:rPr>
  </w:style>
  <w:style w:type="character" w:customStyle="1" w:styleId="70">
    <w:name w:val="z2"/>
    <w:basedOn w:val="15"/>
    <w:uiPriority w:val="0"/>
    <w:rPr>
      <w:color w:val="DA0000"/>
      <w:shd w:val="clear" w:fill="FFFFFF"/>
    </w:rPr>
  </w:style>
  <w:style w:type="character" w:customStyle="1" w:styleId="71">
    <w:name w:val="ts"/>
    <w:basedOn w:val="15"/>
    <w:uiPriority w:val="0"/>
    <w:rPr>
      <w:color w:val="C82A3F"/>
      <w:bdr w:val="single" w:color="C82A3F" w:sz="6" w:space="0"/>
    </w:rPr>
  </w:style>
  <w:style w:type="character" w:customStyle="1" w:styleId="72">
    <w:name w:val="jb"/>
    <w:basedOn w:val="15"/>
    <w:uiPriority w:val="0"/>
    <w:rPr>
      <w:color w:val="E2A229"/>
      <w:bdr w:val="single" w:color="E2A229" w:sz="6" w:space="0"/>
    </w:rPr>
  </w:style>
  <w:style w:type="character" w:customStyle="1" w:styleId="73">
    <w:name w:val="jxz"/>
    <w:basedOn w:val="15"/>
    <w:uiPriority w:val="0"/>
    <w:rPr>
      <w:color w:val="C82A3F"/>
      <w:bdr w:val="single" w:color="C82A3F" w:sz="6" w:space="0"/>
    </w:rPr>
  </w:style>
  <w:style w:type="character" w:customStyle="1" w:styleId="74">
    <w:name w:val="act"/>
    <w:basedOn w:val="15"/>
    <w:uiPriority w:val="0"/>
    <w:rPr>
      <w:color w:val="4D87BE"/>
      <w:shd w:val="clear" w:fill="FFFFFF"/>
    </w:rPr>
  </w:style>
  <w:style w:type="character" w:customStyle="1" w:styleId="75">
    <w:name w:val="act1"/>
    <w:basedOn w:val="15"/>
    <w:qFormat/>
    <w:uiPriority w:val="0"/>
    <w:rPr>
      <w:shd w:val="clear" w:fill="FF9900"/>
    </w:rPr>
  </w:style>
  <w:style w:type="paragraph" w:customStyle="1" w:styleId="76">
    <w:name w:val="Body Text First Indent 2"/>
    <w:basedOn w:val="77"/>
    <w:qFormat/>
    <w:uiPriority w:val="0"/>
    <w:pPr>
      <w:ind w:firstLine="420" w:firstLineChars="200"/>
    </w:pPr>
  </w:style>
  <w:style w:type="paragraph" w:customStyle="1" w:styleId="77">
    <w:name w:val="Body Text Indent"/>
    <w:basedOn w:val="1"/>
    <w:qFormat/>
    <w:uiPriority w:val="0"/>
    <w:pPr>
      <w:spacing w:after="120" w:afterLines="0"/>
      <w:ind w:left="420" w:leftChars="200"/>
    </w:pPr>
    <w:rPr>
      <w:rFonts w:ascii="Times New Roman" w:hAnsi="Times New Roman" w:eastAsia="仿宋_GB2312" w:cs="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4696</Words>
  <Characters>4874</Characters>
  <Lines>0</Lines>
  <Paragraphs>0</Paragraphs>
  <TotalTime>1</TotalTime>
  <ScaleCrop>false</ScaleCrop>
  <LinksUpToDate>false</LinksUpToDate>
  <CharactersWithSpaces>4877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2023-07-05T01:21:00Z</dcterms:created>
  <dc:creator> 花开半夏凉城空</dc:creator>
  <cp:lastModifiedBy>Administrator</cp:lastModifiedBy>
  <cp:lastPrinted>2023-07-10T08:38:00Z</cp:lastPrinted>
  <dcterms:modified xsi:type="dcterms:W3CDTF">2023-07-10T10:14:42Z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2EE2C78EA3C74D86AF06422FA75E4555_13</vt:lpwstr>
  </property>
</Properties>
</file>