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4745355</wp:posOffset>
                </wp:positionH>
                <wp:positionV relativeFrom="paragraph">
                  <wp:posOffset>240665</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3.65pt;margin-top:18.95pt;height:85.8pt;width:117.15pt;z-index:251661312;mso-width-relative:page;mso-height-relative:page;" fillcolor="#FFFFFF" filled="t" stroked="t" coordsize="21600,21600" o:gfxdata="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De+A2gAAAAo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6"/>
          <w:sz w:val="94"/>
          <w:szCs w:val="104"/>
          <w:lang w:bidi="ar-SA"/>
        </w:rPr>
      </w:pPr>
      <w:r>
        <w:rPr>
          <w:rFonts w:hint="default" w:ascii="Times New Roman" w:hAnsi="Times New Roman" w:eastAsia="方正小标宋简体" w:cs="Times New Roman"/>
          <w:color w:val="FF0000"/>
          <w:spacing w:val="6"/>
          <w:sz w:val="94"/>
          <w:szCs w:val="104"/>
          <w:lang w:bidi="ar-SA"/>
        </w:rPr>
        <w:t>盐</w:t>
      </w:r>
      <w:r>
        <w:rPr>
          <w:rFonts w:hint="eastAsia" w:ascii="Times New Roman" w:hAnsi="Times New Roman" w:eastAsia="方正小标宋简体" w:cs="Times New Roman"/>
          <w:color w:val="FF0000"/>
          <w:spacing w:val="6"/>
          <w:sz w:val="72"/>
          <w:szCs w:val="72"/>
          <w:lang w:val="en-US" w:eastAsia="zh-CN" w:bidi="ar-SA"/>
        </w:rPr>
        <w:t xml:space="preserve"> </w:t>
      </w:r>
      <w:r>
        <w:rPr>
          <w:rFonts w:hint="default" w:ascii="Times New Roman" w:hAnsi="Times New Roman" w:eastAsia="方正小标宋简体" w:cs="Times New Roman"/>
          <w:color w:val="FF0000"/>
          <w:spacing w:val="6"/>
          <w:sz w:val="94"/>
          <w:szCs w:val="104"/>
          <w:lang w:bidi="ar-SA"/>
        </w:rPr>
        <w:t>池</w:t>
      </w:r>
      <w:r>
        <w:rPr>
          <w:rFonts w:hint="eastAsia" w:ascii="Times New Roman" w:hAnsi="Times New Roman" w:eastAsia="方正小标宋简体" w:cs="Times New Roman"/>
          <w:color w:val="FF0000"/>
          <w:spacing w:val="6"/>
          <w:sz w:val="72"/>
          <w:szCs w:val="72"/>
          <w:lang w:val="en-US" w:eastAsia="zh-CN" w:bidi="ar-SA"/>
        </w:rPr>
        <w:t xml:space="preserve"> </w:t>
      </w:r>
      <w:r>
        <w:rPr>
          <w:rFonts w:hint="default" w:ascii="Times New Roman" w:hAnsi="Times New Roman" w:eastAsia="方正小标宋简体" w:cs="Times New Roman"/>
          <w:color w:val="FF0000"/>
          <w:spacing w:val="6"/>
          <w:sz w:val="94"/>
          <w:szCs w:val="104"/>
          <w:lang w:bidi="ar-SA"/>
        </w:rPr>
        <w:t>县</w:t>
      </w:r>
      <w:r>
        <w:rPr>
          <w:rFonts w:hint="eastAsia" w:ascii="Times New Roman" w:hAnsi="Times New Roman" w:eastAsia="方正小标宋简体" w:cs="Times New Roman"/>
          <w:color w:val="FF0000"/>
          <w:spacing w:val="6"/>
          <w:sz w:val="72"/>
          <w:szCs w:val="72"/>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总</w:t>
      </w:r>
      <w:r>
        <w:rPr>
          <w:rFonts w:hint="eastAsia" w:ascii="Times New Roman" w:hAnsi="Times New Roman" w:eastAsia="方正小标宋简体" w:cs="Times New Roman"/>
          <w:color w:val="FF0000"/>
          <w:spacing w:val="6"/>
          <w:sz w:val="72"/>
          <w:szCs w:val="72"/>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工</w:t>
      </w:r>
      <w:r>
        <w:rPr>
          <w:rFonts w:hint="eastAsia" w:ascii="Times New Roman" w:hAnsi="Times New Roman" w:eastAsia="方正小标宋简体" w:cs="Times New Roman"/>
          <w:color w:val="FF0000"/>
          <w:spacing w:val="6"/>
          <w:sz w:val="72"/>
          <w:szCs w:val="72"/>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会</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3</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75</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签发人：</w:t>
      </w:r>
      <w:r>
        <w:rPr>
          <w:rFonts w:hint="eastAsia" w:ascii="Times New Roman" w:hAnsi="Times New Roman" w:eastAsia="楷体" w:cs="Times New Roman"/>
          <w:bCs/>
          <w:color w:val="auto"/>
          <w:sz w:val="32"/>
          <w:lang w:val="en-US" w:eastAsia="zh-CN" w:bidi="ar-SA"/>
        </w:rPr>
        <w:t>王永鲜</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0288;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Coi6/+/QEAAPM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700" w:lineRule="exact"/>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spacing w:val="0"/>
          <w:sz w:val="44"/>
          <w:szCs w:val="44"/>
          <w:lang w:val="en-US" w:eastAsia="zh-CN"/>
        </w:rPr>
      </w:pPr>
      <w:r>
        <w:rPr>
          <w:rFonts w:hint="default" w:ascii="Times New Roman" w:hAnsi="Times New Roman" w:eastAsia="方正小标宋简体" w:cs="Times New Roman"/>
          <w:bCs/>
          <w:spacing w:val="0"/>
          <w:sz w:val="44"/>
          <w:szCs w:val="44"/>
        </w:rPr>
        <w:t>关于印发</w:t>
      </w:r>
      <w:r>
        <w:rPr>
          <w:rFonts w:hint="default" w:ascii="Times New Roman" w:hAnsi="Times New Roman" w:eastAsia="黑体" w:cs="Times New Roman"/>
          <w:spacing w:val="0"/>
          <w:sz w:val="44"/>
          <w:szCs w:val="44"/>
        </w:rPr>
        <w:t>《</w:t>
      </w:r>
      <w:r>
        <w:rPr>
          <w:rFonts w:hint="default" w:ascii="Times New Roman" w:hAnsi="Times New Roman" w:eastAsia="方正小标宋简体" w:cs="Times New Roman"/>
          <w:bCs/>
          <w:spacing w:val="0"/>
          <w:sz w:val="44"/>
          <w:szCs w:val="44"/>
          <w:lang w:val="en-US" w:eastAsia="zh-CN"/>
        </w:rPr>
        <w:t>盐池县卫生健康系统职业技能</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spacing w:val="0"/>
          <w:sz w:val="44"/>
          <w:szCs w:val="44"/>
        </w:rPr>
      </w:pPr>
      <w:r>
        <w:rPr>
          <w:rFonts w:hint="default" w:ascii="Times New Roman" w:hAnsi="Times New Roman" w:eastAsia="方正小标宋简体" w:cs="Times New Roman"/>
          <w:bCs/>
          <w:spacing w:val="0"/>
          <w:sz w:val="44"/>
          <w:szCs w:val="44"/>
          <w:lang w:val="en-US" w:eastAsia="zh-CN"/>
        </w:rPr>
        <w:t>竞赛项目实施方案</w:t>
      </w:r>
      <w:r>
        <w:rPr>
          <w:rFonts w:hint="default" w:ascii="Times New Roman" w:hAnsi="Times New Roman" w:eastAsia="黑体" w:cs="Times New Roman"/>
          <w:spacing w:val="0"/>
          <w:sz w:val="44"/>
          <w:szCs w:val="44"/>
        </w:rPr>
        <w:t>》</w:t>
      </w:r>
      <w:r>
        <w:rPr>
          <w:rFonts w:hint="default" w:ascii="Times New Roman" w:hAnsi="Times New Roman" w:eastAsia="方正小标宋简体" w:cs="Times New Roman"/>
          <w:bCs/>
          <w:spacing w:val="0"/>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黑体" w:cs="Times New Roman"/>
          <w:szCs w:val="21"/>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jc w:val="left"/>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bCs/>
          <w:spacing w:val="0"/>
          <w:sz w:val="32"/>
          <w:szCs w:val="32"/>
        </w:rPr>
        <w:t>各</w:t>
      </w:r>
      <w:r>
        <w:rPr>
          <w:rFonts w:hint="eastAsia" w:eastAsia="仿宋_GB2312" w:cs="Times New Roman"/>
          <w:bCs/>
          <w:spacing w:val="0"/>
          <w:sz w:val="32"/>
          <w:szCs w:val="32"/>
          <w:lang w:eastAsia="zh-CN"/>
        </w:rPr>
        <w:t>医</w:t>
      </w:r>
      <w:r>
        <w:rPr>
          <w:rFonts w:hint="default" w:ascii="Times New Roman" w:hAnsi="Times New Roman" w:eastAsia="仿宋_GB2312" w:cs="Times New Roman"/>
          <w:bCs/>
          <w:spacing w:val="0"/>
          <w:sz w:val="32"/>
          <w:szCs w:val="32"/>
        </w:rPr>
        <w:t>疗</w:t>
      </w:r>
      <w:r>
        <w:rPr>
          <w:rFonts w:hint="eastAsia" w:eastAsia="仿宋_GB2312" w:cs="Times New Roman"/>
          <w:bCs/>
          <w:spacing w:val="0"/>
          <w:sz w:val="32"/>
          <w:szCs w:val="32"/>
          <w:lang w:eastAsia="zh-CN"/>
        </w:rPr>
        <w:t>卫生</w:t>
      </w:r>
      <w:r>
        <w:rPr>
          <w:rFonts w:hint="default" w:ascii="Times New Roman" w:hAnsi="Times New Roman" w:eastAsia="仿宋_GB2312" w:cs="Times New Roman"/>
          <w:bCs/>
          <w:spacing w:val="0"/>
          <w:sz w:val="32"/>
          <w:szCs w:val="32"/>
        </w:rPr>
        <w:t>机构</w:t>
      </w:r>
      <w:r>
        <w:rPr>
          <w:rFonts w:hint="eastAsia" w:eastAsia="仿宋_GB2312" w:cs="Times New Roman"/>
          <w:bCs/>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深入贯彻党的二十大精神，认真落实习近平总书记关于健康中国建设的重要论述、全面提升我县妇幼健康服务质量和水平，切实保护和促进妇女儿童健康，根据自治区卫健委、自治区总工会联合下发的中国教科文卫体工会全国委员会《关于印发全国卫生健康系统职业技能妇幼健康竞赛项目实施方案的通知》（国卫办妇幼函〔2023〕265号）和宁夏回族自治区卫生健康委员会、宁夏回族自治区总工会《关于举办全区卫生健康系统职业技能竞赛的通知》（宁卫函发〔2023〕25号）文件精神，县卫生健康局、县总工会联合举办妇幼健康职业技能竞赛。为切实做好活动的组织实施工作，结合我县实际，制定本方案，请遵照执行。</w:t>
      </w:r>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spacing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4640" w:firstLineChars="1450"/>
        <w:textAlignment w:val="auto"/>
        <w:rPr>
          <w:rFonts w:hint="default" w:ascii="Times New Roman" w:hAnsi="Times New Roman" w:eastAsia="仿宋_GB2312" w:cs="Times New Roman"/>
          <w:bCs/>
          <w:spacing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4640" w:firstLineChars="1450"/>
        <w:textAlignment w:val="auto"/>
        <w:rPr>
          <w:rFonts w:hint="default" w:ascii="Times New Roman" w:hAnsi="Times New Roman" w:eastAsia="仿宋_GB2312" w:cs="Times New Roman"/>
          <w:bCs/>
          <w:spacing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bCs/>
          <w:spacing w:val="0"/>
          <w:sz w:val="32"/>
          <w:szCs w:val="32"/>
          <w:lang w:val="en-US" w:eastAsia="zh-CN"/>
        </w:rPr>
      </w:pPr>
      <w:r>
        <w:rPr>
          <w:rFonts w:hint="default" w:ascii="Times New Roman" w:hAnsi="Times New Roman" w:eastAsia="仿宋_GB2312" w:cs="Times New Roman"/>
          <w:bCs/>
          <w:spacing w:val="0"/>
          <w:sz w:val="32"/>
          <w:szCs w:val="32"/>
          <w:lang w:val="en-US" w:eastAsia="zh-CN"/>
        </w:rPr>
        <w:t>盐池</w:t>
      </w:r>
      <w:r>
        <w:rPr>
          <w:rFonts w:hint="default" w:ascii="Times New Roman" w:hAnsi="Times New Roman" w:eastAsia="仿宋_GB2312" w:cs="Times New Roman"/>
          <w:bCs/>
          <w:spacing w:val="0"/>
          <w:sz w:val="32"/>
          <w:szCs w:val="32"/>
        </w:rPr>
        <w:t>县卫生健康局</w:t>
      </w:r>
      <w:r>
        <w:rPr>
          <w:rFonts w:hint="default" w:ascii="Times New Roman" w:hAnsi="Times New Roman" w:eastAsia="仿宋_GB2312" w:cs="Times New Roman"/>
          <w:bCs/>
          <w:spacing w:val="0"/>
          <w:sz w:val="32"/>
          <w:szCs w:val="32"/>
          <w:lang w:val="en-US" w:eastAsia="zh-CN"/>
        </w:rPr>
        <w:t xml:space="preserve">                 盐池县总工会</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5760" w:firstLineChars="1800"/>
        <w:textAlignment w:val="auto"/>
        <w:rPr>
          <w:rFonts w:hint="default" w:ascii="Times New Roman" w:hAnsi="Times New Roman" w:eastAsia="仿宋_GB2312" w:cs="Times New Roman"/>
          <w:bCs/>
          <w:spacing w:val="0"/>
          <w:sz w:val="32"/>
          <w:szCs w:val="32"/>
          <w:lang w:val="en-US" w:eastAsia="zh-CN"/>
        </w:rPr>
      </w:pPr>
      <w:r>
        <w:rPr>
          <w:rFonts w:hint="default" w:ascii="Times New Roman" w:hAnsi="Times New Roman" w:eastAsia="仿宋_GB2312" w:cs="Times New Roman"/>
          <w:bCs/>
          <w:spacing w:val="0"/>
          <w:sz w:val="32"/>
          <w:szCs w:val="32"/>
        </w:rPr>
        <w:t>202</w:t>
      </w:r>
      <w:r>
        <w:rPr>
          <w:rFonts w:hint="default" w:ascii="Times New Roman" w:hAnsi="Times New Roman" w:eastAsia="仿宋_GB2312" w:cs="Times New Roman"/>
          <w:bCs/>
          <w:spacing w:val="0"/>
          <w:sz w:val="32"/>
          <w:szCs w:val="32"/>
          <w:lang w:val="en-US" w:eastAsia="zh-CN"/>
        </w:rPr>
        <w:t>3</w:t>
      </w:r>
      <w:r>
        <w:rPr>
          <w:rFonts w:hint="default" w:ascii="Times New Roman" w:hAnsi="Times New Roman" w:eastAsia="仿宋_GB2312" w:cs="Times New Roman"/>
          <w:bCs/>
          <w:spacing w:val="0"/>
          <w:sz w:val="32"/>
          <w:szCs w:val="32"/>
        </w:rPr>
        <w:t>年</w:t>
      </w:r>
      <w:r>
        <w:rPr>
          <w:rFonts w:hint="default" w:ascii="Times New Roman" w:hAnsi="Times New Roman" w:eastAsia="仿宋_GB2312" w:cs="Times New Roman"/>
          <w:bCs/>
          <w:spacing w:val="0"/>
          <w:sz w:val="32"/>
          <w:szCs w:val="32"/>
          <w:lang w:val="en-US" w:eastAsia="zh-CN"/>
        </w:rPr>
        <w:t>9</w:t>
      </w:r>
      <w:r>
        <w:rPr>
          <w:rFonts w:hint="default" w:ascii="Times New Roman" w:hAnsi="Times New Roman" w:eastAsia="仿宋_GB2312" w:cs="Times New Roman"/>
          <w:bCs/>
          <w:spacing w:val="0"/>
          <w:sz w:val="32"/>
          <w:szCs w:val="32"/>
        </w:rPr>
        <w:t>月</w:t>
      </w:r>
      <w:r>
        <w:rPr>
          <w:rFonts w:hint="default" w:ascii="Times New Roman" w:hAnsi="Times New Roman" w:eastAsia="仿宋_GB2312" w:cs="Times New Roman"/>
          <w:bCs/>
          <w:spacing w:val="0"/>
          <w:sz w:val="32"/>
          <w:szCs w:val="32"/>
          <w:lang w:val="en-US" w:eastAsia="zh-CN"/>
        </w:rPr>
        <w:t>28</w:t>
      </w:r>
      <w:r>
        <w:rPr>
          <w:rFonts w:hint="default" w:ascii="Times New Roman" w:hAnsi="Times New Roman" w:eastAsia="仿宋_GB2312" w:cs="Times New Roman"/>
          <w:bCs/>
          <w:spacing w:val="0"/>
          <w:sz w:val="32"/>
          <w:szCs w:val="32"/>
        </w:rPr>
        <w:t>日</w:t>
      </w:r>
      <w:r>
        <w:rPr>
          <w:rFonts w:hint="default" w:ascii="Times New Roman" w:hAnsi="Times New Roman" w:eastAsia="仿宋_GB2312" w:cs="Times New Roman"/>
          <w:bCs/>
          <w:spacing w:val="0"/>
          <w:sz w:val="32"/>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bCs/>
          <w:spacing w:val="0"/>
          <w:sz w:val="32"/>
          <w:szCs w:val="32"/>
          <w:lang w:eastAsia="zh-CN"/>
        </w:rPr>
      </w:pPr>
      <w:r>
        <w:rPr>
          <w:rFonts w:hint="default" w:ascii="Times New Roman" w:hAnsi="Times New Roman" w:eastAsia="仿宋_GB2312" w:cs="Times New Roman"/>
          <w:bCs/>
          <w:spacing w:val="0"/>
          <w:sz w:val="32"/>
          <w:szCs w:val="32"/>
          <w:lang w:eastAsia="zh-CN"/>
        </w:rPr>
        <w:t>（此件公开发布）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jc w:val="both"/>
        <w:textAlignment w:val="auto"/>
        <w:rPr>
          <w:rFonts w:hint="default" w:ascii="Times New Roman" w:hAnsi="Times New Roman" w:eastAsia="方正小标宋简体" w:cs="Times New Roman"/>
          <w:bCs/>
          <w:spacing w:val="0"/>
          <w:sz w:val="44"/>
          <w:szCs w:val="44"/>
          <w:lang w:val="en-US" w:eastAsia="zh-CN"/>
        </w:rPr>
      </w:pPr>
    </w:p>
    <w:p>
      <w:pPr>
        <w:pStyle w:val="9"/>
        <w:keepNext w:val="0"/>
        <w:keepLines w:val="0"/>
        <w:pageBreakBefore w:val="0"/>
        <w:widowControl w:val="0"/>
        <w:kinsoku/>
        <w:wordWrap/>
        <w:overflowPunct/>
        <w:topLinePunct w:val="0"/>
        <w:autoSpaceDE/>
        <w:autoSpaceDN/>
        <w:bidi w:val="0"/>
        <w:spacing w:after="0" w:line="620" w:lineRule="exact"/>
        <w:textAlignment w:val="auto"/>
        <w:rPr>
          <w:rFonts w:hint="default" w:ascii="Times New Roman" w:hAnsi="Times New Roman" w:eastAsia="方正小标宋简体" w:cs="Times New Roman"/>
          <w:bCs/>
          <w:spacing w:val="0"/>
          <w:sz w:val="44"/>
          <w:szCs w:val="44"/>
          <w:lang w:val="en-US" w:eastAsia="zh-CN"/>
        </w:rPr>
      </w:pPr>
    </w:p>
    <w:p>
      <w:pPr>
        <w:pStyle w:val="9"/>
        <w:keepNext w:val="0"/>
        <w:keepLines w:val="0"/>
        <w:pageBreakBefore w:val="0"/>
        <w:widowControl w:val="0"/>
        <w:kinsoku/>
        <w:wordWrap/>
        <w:overflowPunct/>
        <w:topLinePunct w:val="0"/>
        <w:autoSpaceDE/>
        <w:autoSpaceDN/>
        <w:bidi w:val="0"/>
        <w:spacing w:after="0" w:line="620" w:lineRule="exact"/>
        <w:textAlignment w:val="auto"/>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pStyle w:val="9"/>
        <w:rPr>
          <w:rFonts w:hint="default" w:ascii="Times New Roman" w:hAnsi="Times New Roman" w:eastAsia="方正小标宋简体" w:cs="Times New Roman"/>
          <w:bCs/>
          <w:spacing w:val="0"/>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Cs/>
          <w:spacing w:val="0"/>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Cs/>
          <w:spacing w:val="0"/>
          <w:sz w:val="44"/>
          <w:szCs w:val="44"/>
          <w:lang w:val="en-US" w:eastAsia="zh-CN"/>
        </w:rPr>
      </w:pPr>
      <w:r>
        <w:rPr>
          <w:rFonts w:hint="default" w:ascii="Times New Roman" w:hAnsi="Times New Roman" w:eastAsia="方正小标宋简体" w:cs="Times New Roman"/>
          <w:bCs/>
          <w:spacing w:val="0"/>
          <w:sz w:val="44"/>
          <w:szCs w:val="44"/>
          <w:lang w:val="en-US" w:eastAsia="zh-CN"/>
        </w:rPr>
        <w:t>盐池</w:t>
      </w:r>
      <w:r>
        <w:rPr>
          <w:rFonts w:hint="default" w:ascii="Times New Roman" w:hAnsi="Times New Roman" w:eastAsia="方正小标宋简体" w:cs="Times New Roman"/>
          <w:bCs/>
          <w:spacing w:val="0"/>
          <w:sz w:val="44"/>
          <w:szCs w:val="44"/>
        </w:rPr>
        <w:t>县</w:t>
      </w:r>
      <w:r>
        <w:rPr>
          <w:rFonts w:hint="default" w:ascii="Times New Roman" w:hAnsi="Times New Roman" w:eastAsia="方正小标宋简体" w:cs="Times New Roman"/>
          <w:bCs/>
          <w:spacing w:val="0"/>
          <w:sz w:val="44"/>
          <w:szCs w:val="44"/>
          <w:lang w:val="en-US" w:eastAsia="zh-CN"/>
        </w:rPr>
        <w:t>卫生健康系统职业技能</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Cs/>
          <w:spacing w:val="0"/>
          <w:sz w:val="32"/>
          <w:szCs w:val="32"/>
        </w:rPr>
      </w:pPr>
      <w:r>
        <w:rPr>
          <w:rFonts w:hint="default" w:ascii="Times New Roman" w:hAnsi="Times New Roman" w:eastAsia="方正小标宋简体" w:cs="Times New Roman"/>
          <w:bCs/>
          <w:spacing w:val="0"/>
          <w:sz w:val="44"/>
          <w:szCs w:val="44"/>
          <w:lang w:val="en-US" w:eastAsia="zh-CN"/>
        </w:rPr>
        <w:t>竞赛项目实施方案</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pacing w:val="0"/>
          <w:sz w:val="32"/>
          <w:szCs w:val="32"/>
        </w:rPr>
      </w:pP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仿宋_GB2312" w:cs="Times New Roman"/>
          <w:color w:val="000000"/>
          <w:kern w:val="2"/>
          <w:sz w:val="32"/>
          <w:szCs w:val="32"/>
          <w:shd w:val="clear" w:color="auto" w:fill="FFFFFF"/>
          <w:lang w:eastAsia="zh-CN"/>
        </w:rPr>
      </w:pPr>
      <w:r>
        <w:rPr>
          <w:rFonts w:hint="default" w:ascii="Times New Roman" w:hAnsi="Times New Roman" w:eastAsia="仿宋_GB2312" w:cs="Times New Roman"/>
          <w:spacing w:val="0"/>
          <w:sz w:val="32"/>
          <w:szCs w:val="32"/>
          <w:lang w:val="en-US" w:eastAsia="zh-CN"/>
        </w:rPr>
        <w:t>为深入贯彻党的二十大精神，认真落实习近平总书记关于健康中国建设的重要论述、全面提升我县妇幼健康服务质量和水平，切实保护和促进妇女儿童健康，根据自治区卫健委、自治区总工会联合下发的中国教科文卫体工会全国委员会《关于印发全国卫生健康系统职业技能妇幼健康竞赛项目实施方案的通知》（国卫办妇幼函〔2023〕265号）和宁夏回族自治区卫生健康委员会、宁夏回族自治区总工会《关于举办全区卫生健康系统职业技能竞赛的通知》（宁卫函发〔2023〕25号）文件精神</w:t>
      </w:r>
      <w:r>
        <w:rPr>
          <w:rFonts w:hint="default" w:ascii="Times New Roman" w:hAnsi="Times New Roman" w:eastAsia="仿宋_GB2312" w:cs="Times New Roman"/>
          <w:color w:val="000000"/>
          <w:kern w:val="2"/>
          <w:sz w:val="32"/>
          <w:szCs w:val="32"/>
          <w:shd w:val="clear" w:color="auto" w:fill="FFFFFF"/>
        </w:rPr>
        <w:t>，广泛深入开展符合新时代特点的妇幼健康职业技能竞赛</w:t>
      </w:r>
      <w:r>
        <w:rPr>
          <w:rFonts w:hint="default" w:ascii="Times New Roman" w:hAnsi="Times New Roman" w:eastAsia="仿宋_GB2312" w:cs="Times New Roman"/>
          <w:color w:val="000000"/>
          <w:kern w:val="2"/>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一、竞赛目的</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大力弘扬劳模精神、劳动精神、工匠精神、广泛深入开展符合新时代特点的妇幼健康系统职业技能竞赛，在全县范围内开展妇幼健康职业技能竞赛，通过竞赛，激励妇幼健康服务人员钻研业务、岗位练兵，形成以竞赛为引领,促进妇幼健康服务知识和技能培训活动广泛深入开展的浓厚氛围，树立勤于学习、业务精湛、爱岗敬业、积极向上的妇幼健康服务工作者的良好形象，选拔优秀的妇幼健康人员参加市级竞赛。</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二、竞赛内容</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rightChars="0" w:firstLine="640" w:firstLineChars="200"/>
        <w:textAlignment w:val="auto"/>
        <w:rPr>
          <w:rFonts w:hint="default" w:ascii="Times New Roman" w:hAnsi="Times New Roman" w:eastAsia="仿宋_GB2312" w:cs="Times New Roman"/>
          <w:i w:val="0"/>
          <w:iCs w:val="0"/>
          <w:caps w:val="0"/>
          <w:color w:val="444444"/>
          <w:spacing w:val="0"/>
          <w:sz w:val="31"/>
          <w:szCs w:val="31"/>
        </w:rPr>
      </w:pPr>
      <w:r>
        <w:rPr>
          <w:rFonts w:hint="default" w:ascii="Times New Roman" w:hAnsi="Times New Roman" w:eastAsia="仿宋_GB2312" w:cs="Times New Roman"/>
          <w:spacing w:val="0"/>
          <w:kern w:val="0"/>
          <w:sz w:val="32"/>
          <w:szCs w:val="32"/>
          <w:lang w:val="en-US" w:eastAsia="zh-CN" w:bidi="ar-SA"/>
        </w:rPr>
        <w:t>竞赛设“危重孕产妇救治”“危重新生儿救治”“宫颈癌防治”“儿童眼保健”4个项目。竞赛内容包括相关政策规范、专业知识和操作技能</w:t>
      </w:r>
      <w:r>
        <w:rPr>
          <w:rFonts w:hint="default" w:ascii="Times New Roman" w:hAnsi="Times New Roman" w:eastAsia="仿宋_GB2312" w:cs="Times New Roman"/>
          <w:i w:val="0"/>
          <w:iCs w:val="0"/>
          <w:caps w:val="0"/>
          <w:color w:val="444444"/>
          <w:spacing w:val="0"/>
          <w:sz w:val="31"/>
          <w:szCs w:val="31"/>
        </w:rPr>
        <w:t>。</w:t>
      </w:r>
    </w:p>
    <w:p>
      <w:pPr>
        <w:pStyle w:val="3"/>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000000"/>
          <w:sz w:val="32"/>
          <w:szCs w:val="32"/>
          <w:shd w:val="clear" w:color="auto" w:fill="FFFFFF"/>
          <w:lang w:val="en-US" w:eastAsia="zh-CN"/>
        </w:rPr>
      </w:pPr>
      <w:r>
        <w:rPr>
          <w:rFonts w:hint="default" w:ascii="Times New Roman" w:hAnsi="Times New Roman" w:eastAsia="楷体_GB2312" w:cs="Times New Roman"/>
          <w:b/>
          <w:bCs/>
          <w:color w:val="000000"/>
          <w:sz w:val="32"/>
          <w:szCs w:val="32"/>
          <w:shd w:val="clear" w:color="auto" w:fill="FFFFFF"/>
          <w:lang w:val="en-US" w:eastAsia="zh-CN"/>
        </w:rPr>
        <w:t>（一）危重孕产妇救治</w:t>
      </w:r>
    </w:p>
    <w:p>
      <w:pPr>
        <w:pStyle w:val="3"/>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pacing w:val="0"/>
          <w:kern w:val="0"/>
          <w:sz w:val="32"/>
          <w:szCs w:val="32"/>
          <w:lang w:val="en-US" w:eastAsia="zh-CN" w:bidi="ar-SA"/>
        </w:rPr>
        <w:t>1.政策规范。包括《中国妇女发展纲要（2021-2030年）》、国家卫生健康委《关于贯彻2021-2030年中国妇女儿童发展纲要的实施方案》、宁夏回族自治区卫生健康委《关于贯彻2021-2030年宁夏妇女儿童发展纲要的实施方案》宁卫办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43</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spacing w:val="0"/>
          <w:kern w:val="0"/>
          <w:sz w:val="32"/>
          <w:szCs w:val="32"/>
          <w:lang w:val="en-US" w:eastAsia="zh-CN" w:bidi="ar-SA"/>
        </w:rPr>
        <w:t>、盐池县人民政府《关于贯彻印发盐池县2021-2030年宁夏妇女儿童发展纲要的实施方案》盐政发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52</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color w:val="000000"/>
          <w:kern w:val="2"/>
          <w:sz w:val="32"/>
          <w:szCs w:val="32"/>
          <w:shd w:val="clear" w:color="auto" w:fill="FFFFFF"/>
          <w:lang w:val="en-US" w:eastAsia="zh-CN"/>
        </w:rPr>
        <w:t>文件精神，</w:t>
      </w:r>
      <w:r>
        <w:rPr>
          <w:rFonts w:hint="default" w:ascii="Times New Roman" w:hAnsi="Times New Roman" w:eastAsia="仿宋_GB2312" w:cs="Times New Roman"/>
          <w:spacing w:val="0"/>
          <w:kern w:val="0"/>
          <w:sz w:val="32"/>
          <w:szCs w:val="32"/>
          <w:lang w:val="en-US" w:eastAsia="zh-CN" w:bidi="ar-SA"/>
        </w:rPr>
        <w:t>原国家卫生计生委《关于加强母婴安全保障工作的通知》、《孕产妇妊娠风险评估与管理工作规范》、《危重孕产妇救治中心建设与管理指南》、《母婴安全行动提升计（2021-2025年）》等相关行政法规、标准和规范性文件。</w:t>
      </w:r>
    </w:p>
    <w:p>
      <w:pPr>
        <w:pStyle w:val="3"/>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2.专业知识。包括妊娠风险筛查评估与管理、安全助产、孕产妇危重症救治等专业知识。</w:t>
      </w:r>
    </w:p>
    <w:p>
      <w:pPr>
        <w:pStyle w:val="3"/>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3.操作技能。包括妊娠风险筛查评估、产程中母婴监测、助产常规技术、孕产妇危重症救治技术等操作技能。</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4.参考书目。专业知识和操作技能的参考书目为《妇产科学（第9版）》（谢幸，孔北华，段涛主编．人民卫生出版社，2018）、《中华医学会产科指南手册第三版》（中华医学电子音像出版社，2022）、《实用产科手术学（第2版）》（刘兴会，徐先明，段涛，杨慧霞</w:t>
      </w:r>
      <w:r>
        <w:rPr>
          <w:rFonts w:hint="eastAsia" w:ascii="微软雅黑" w:hAnsi="微软雅黑" w:eastAsia="微软雅黑" w:cs="微软雅黑"/>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人民卫生出版社，2020）、《产科急危重症》（赵扬玉．人民卫生出版社，2021）、《产科医师能力提升培训教程》（陈敦金，漆洪波，赵扬玉．人民卫生出版社，2020）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楷体_GB2312" w:cs="Times New Roman"/>
          <w:b/>
          <w:bCs/>
          <w:color w:val="000000"/>
          <w:kern w:val="2"/>
          <w:sz w:val="32"/>
          <w:szCs w:val="32"/>
          <w:shd w:val="clear" w:color="auto" w:fill="FFFFFF"/>
          <w:lang w:val="en-US" w:eastAsia="zh-CN" w:bidi="ar-SA"/>
        </w:rPr>
      </w:pPr>
      <w:r>
        <w:rPr>
          <w:rFonts w:hint="default" w:ascii="Times New Roman" w:hAnsi="Times New Roman" w:eastAsia="楷体_GB2312" w:cs="Times New Roman"/>
          <w:b/>
          <w:bCs/>
          <w:color w:val="000000"/>
          <w:kern w:val="2"/>
          <w:sz w:val="32"/>
          <w:szCs w:val="32"/>
          <w:shd w:val="clear" w:color="auto" w:fill="FFFFFF"/>
          <w:lang w:val="en-US" w:eastAsia="zh-CN" w:bidi="ar-SA"/>
        </w:rPr>
        <w:t>（二）危重新生儿救治</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1.政策规范。包括《中国儿童发展纲要（2021-2030年）》、国家卫生健康委《关于贯彻2021-2030年中国妇女儿童发展纲要的实施方案》、宁夏回族自治区卫生健康委《关于贯彻2021-2030年宁夏妇女儿童发展纲要的实施方案》宁卫办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43</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spacing w:val="0"/>
          <w:kern w:val="0"/>
          <w:sz w:val="32"/>
          <w:szCs w:val="32"/>
          <w:lang w:val="en-US" w:eastAsia="zh-CN" w:bidi="ar-SA"/>
        </w:rPr>
        <w:t>、盐池县人民政府《关于贯彻印发盐池县2021-2030年宁夏妇女儿童发展纲要的实施方案》盐政发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52</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color w:val="000000"/>
          <w:kern w:val="2"/>
          <w:sz w:val="32"/>
          <w:szCs w:val="32"/>
          <w:shd w:val="clear" w:color="auto" w:fill="FFFFFF"/>
          <w:lang w:val="en-US" w:eastAsia="zh-CN"/>
        </w:rPr>
        <w:t>文件精神，</w:t>
      </w:r>
      <w:r>
        <w:rPr>
          <w:rFonts w:hint="default" w:ascii="Times New Roman" w:hAnsi="Times New Roman" w:eastAsia="仿宋_GB2312" w:cs="Times New Roman"/>
          <w:spacing w:val="0"/>
          <w:kern w:val="0"/>
          <w:sz w:val="32"/>
          <w:szCs w:val="32"/>
          <w:lang w:val="en-US" w:eastAsia="zh-CN" w:bidi="ar-SA"/>
        </w:rPr>
        <w:t>《早产儿保健工作规范》、《危重新生儿救治中心建设与管理指南》、《健康儿童行动提升计划（2021-2025年）》、《医疗机构新生儿安全管理制度（试行）》、《中国新生儿复苏指南（2021年修订）》、《中国新生儿早期基本保健技术专家共识（2020）》等相关行政法规、标准和规范性文件。</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2.专业知识。包括高危新生儿识别、新生儿体格生长评估、新生儿神经发育评估、危重新生儿转诊、新生儿危重症救治、新生儿早期基本保健等专业知识。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3.操作技能。包括新生儿体格检查、新生儿影像学及血气分析和电生理结果判读、新生儿常规诊疗操作、新生儿复苏、新生儿呼吸支持、新生儿神经重症监护、新生儿循环管理、新生儿液体和营养管理等操作技能。</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4.参考书目。专业知识和操作技能的参考书目为《实用新生儿学（第5版）》（邵肖梅，叶鸿瑁，丘小汕主编</w:t>
      </w:r>
      <w:r>
        <w:rPr>
          <w:rFonts w:hint="eastAsia" w:ascii="微软雅黑" w:hAnsi="微软雅黑" w:eastAsia="微软雅黑" w:cs="微软雅黑"/>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人民卫生出版社，2019）、《实用早产儿学》（封志纯，毛健主编</w:t>
      </w:r>
      <w:r>
        <w:rPr>
          <w:rFonts w:hint="eastAsia" w:ascii="微软雅黑" w:hAnsi="微软雅黑" w:eastAsia="微软雅黑" w:cs="微软雅黑"/>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人民卫生出版社，2022）、《新生儿保健学》（杨杰，陈超主编</w:t>
      </w:r>
      <w:r>
        <w:rPr>
          <w:rFonts w:hint="eastAsia" w:ascii="微软雅黑" w:hAnsi="微软雅黑" w:eastAsia="微软雅黑" w:cs="微软雅黑"/>
          <w:spacing w:val="0"/>
          <w:kern w:val="0"/>
          <w:sz w:val="32"/>
          <w:szCs w:val="32"/>
          <w:lang w:val="en-US" w:eastAsia="zh-CN" w:bidi="ar-SA"/>
        </w:rPr>
        <w:t>·</w:t>
      </w:r>
      <w:r>
        <w:rPr>
          <w:rFonts w:hint="default" w:ascii="Times New Roman" w:hAnsi="Times New Roman" w:eastAsia="仿宋_GB2312" w:cs="Times New Roman"/>
          <w:spacing w:val="0"/>
          <w:kern w:val="0"/>
          <w:sz w:val="32"/>
          <w:szCs w:val="32"/>
          <w:lang w:val="en-US" w:eastAsia="zh-CN" w:bidi="ar-SA"/>
        </w:rPr>
        <w:t>人民卫生出版社，2017）。</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楷体_GB2312" w:cs="Times New Roman"/>
          <w:b/>
          <w:bCs/>
          <w:color w:val="000000"/>
          <w:kern w:val="2"/>
          <w:sz w:val="32"/>
          <w:szCs w:val="32"/>
          <w:shd w:val="clear" w:color="auto" w:fill="FFFFFF"/>
          <w:lang w:val="en-US" w:eastAsia="zh-CN" w:bidi="ar-SA"/>
        </w:rPr>
      </w:pPr>
      <w:r>
        <w:rPr>
          <w:rFonts w:hint="default" w:ascii="Times New Roman" w:hAnsi="Times New Roman" w:eastAsia="楷体_GB2312" w:cs="Times New Roman"/>
          <w:b/>
          <w:bCs/>
          <w:color w:val="000000"/>
          <w:kern w:val="2"/>
          <w:sz w:val="32"/>
          <w:szCs w:val="32"/>
          <w:shd w:val="clear" w:color="auto" w:fill="FFFFFF"/>
          <w:lang w:val="en-US" w:eastAsia="zh-CN" w:bidi="ar-SA"/>
        </w:rPr>
        <w:t>（三）宫颈癌防治</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1.政策规范。包括《中国妇女发展纲要（2021-2030年）》、国家卫生健康委《关于贯彻2021-2030年中国妇女儿童发展纲要的实施方案》、宁夏回族自治区卫生健康委《关于贯彻2021-2030年宁夏妇女儿童发展纲要的实施方案》宁卫办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43</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spacing w:val="0"/>
          <w:kern w:val="0"/>
          <w:sz w:val="32"/>
          <w:szCs w:val="32"/>
          <w:lang w:val="en-US" w:eastAsia="zh-CN" w:bidi="ar-SA"/>
        </w:rPr>
        <w:t>、盐池县人民政府《关于贯彻印发盐池县2021-2030年宁夏妇女儿童发展纲要的实施方案》盐政发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52</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color w:val="000000"/>
          <w:kern w:val="2"/>
          <w:sz w:val="32"/>
          <w:szCs w:val="32"/>
          <w:shd w:val="clear" w:color="auto" w:fill="FFFFFF"/>
          <w:lang w:val="en-US" w:eastAsia="zh-CN"/>
        </w:rPr>
        <w:t>文件精神，</w:t>
      </w:r>
      <w:r>
        <w:rPr>
          <w:rFonts w:hint="default" w:ascii="Times New Roman" w:hAnsi="Times New Roman" w:eastAsia="仿宋_GB2312" w:cs="Times New Roman"/>
          <w:spacing w:val="0"/>
          <w:kern w:val="0"/>
          <w:sz w:val="32"/>
          <w:szCs w:val="32"/>
          <w:lang w:val="en-US" w:eastAsia="zh-CN" w:bidi="ar-SA"/>
        </w:rPr>
        <w:t>国家卫生健康委等10部门《关于印发加速消除宫颈癌行动计划（2023-2030年）的通知》、宁夏回族自治区卫生健康委等10部门《关于印发加速消除宫颈癌行动计划（2023-2030年）实施方案》的通知、《宫颈癌筛查工作方案》（国卫办妇幼函〔2021〕635号）、《宫颈癌诊疗指南（2022年版）》（国卫办医函〔2022〕104号）、《宫颈癌筛查质量评估手册（2022年版）》（中疾控妇妇便函〔2022〕33号）等相关法律法规、标准和规范性文件。</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2.专业知识。包括宫颈癌防治健康教育、人乳头瘤病毒（HPV）疫苗接种、宫颈癌筛查、宫颈癌及癌前病变规范化诊断和治疗等专业知识。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3.操作技能。包括妇科检查、宫颈细胞学检查取材、HPV检测取材、阴道镜检查、组织病理学检查报告结果判断、宫颈癌及癌前病变治疗等操作技能。</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4.参考书目。专业知识和操作技能的参考书目为《妇产科学（第9版）》（谢幸，孔北华，段涛主编．人民卫生出版社，2018）、《子宫颈癌综合防控指南（第2版）》（王临虹，赵更力主编．人民卫生出版社，2023年）、《北京大学妇科常见病诊治手册》（王建六主编．北京大学医学出版社，2021年）。</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楷体_GB2312" w:cs="Times New Roman"/>
          <w:b/>
          <w:bCs/>
          <w:color w:val="000000"/>
          <w:kern w:val="2"/>
          <w:sz w:val="32"/>
          <w:szCs w:val="32"/>
          <w:shd w:val="clear" w:color="auto" w:fill="FFFFFF"/>
          <w:lang w:val="en-US" w:eastAsia="zh-CN" w:bidi="ar-SA"/>
        </w:rPr>
      </w:pPr>
      <w:r>
        <w:rPr>
          <w:rFonts w:hint="default" w:ascii="Times New Roman" w:hAnsi="Times New Roman" w:eastAsia="楷体_GB2312" w:cs="Times New Roman"/>
          <w:b/>
          <w:bCs/>
          <w:color w:val="000000"/>
          <w:kern w:val="2"/>
          <w:sz w:val="32"/>
          <w:szCs w:val="32"/>
          <w:shd w:val="clear" w:color="auto" w:fill="FFFFFF"/>
          <w:lang w:val="en-US" w:eastAsia="zh-CN" w:bidi="ar-SA"/>
        </w:rPr>
        <w:t>（四）儿童眼保健</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1.政策规范。包括《中国儿童发展纲要（2021-2030年）》、国家卫生健康委《关于贯彻2021-2030年中国妇女儿童发展纲要的实施方案》、宁夏回族自治区卫生健康委《关于贯彻2021-2030年宁夏妇女儿童发展纲要的实施方案》宁卫办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43</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spacing w:val="0"/>
          <w:kern w:val="0"/>
          <w:sz w:val="32"/>
          <w:szCs w:val="32"/>
          <w:lang w:val="en-US" w:eastAsia="zh-CN" w:bidi="ar-SA"/>
        </w:rPr>
        <w:t>、盐池县人民政府《关于贯彻印发盐池县2021-2030年宁夏妇女儿童发展纲要的实施方案》盐政发</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2022</w:t>
      </w:r>
      <w:r>
        <w:rPr>
          <w:rFonts w:hint="default" w:ascii="Times New Roman" w:hAnsi="Times New Roman" w:eastAsia="仿宋_GB2312" w:cs="Times New Roman"/>
          <w:color w:val="000000"/>
          <w:kern w:val="2"/>
          <w:sz w:val="32"/>
          <w:szCs w:val="32"/>
          <w:shd w:val="clear" w:color="auto" w:fill="FFFFFF"/>
        </w:rPr>
        <w:t>〕</w:t>
      </w:r>
      <w:r>
        <w:rPr>
          <w:rFonts w:hint="default" w:ascii="Times New Roman" w:hAnsi="Times New Roman" w:eastAsia="仿宋_GB2312" w:cs="Times New Roman"/>
          <w:color w:val="000000"/>
          <w:kern w:val="2"/>
          <w:sz w:val="32"/>
          <w:szCs w:val="32"/>
          <w:shd w:val="clear" w:color="auto" w:fill="FFFFFF"/>
          <w:lang w:val="en-US" w:eastAsia="zh-CN"/>
        </w:rPr>
        <w:t>52</w:t>
      </w:r>
      <w:r>
        <w:rPr>
          <w:rFonts w:hint="default" w:ascii="Times New Roman" w:hAnsi="Times New Roman" w:eastAsia="仿宋_GB2312" w:cs="Times New Roman"/>
          <w:color w:val="000000"/>
          <w:kern w:val="2"/>
          <w:sz w:val="32"/>
          <w:szCs w:val="32"/>
          <w:shd w:val="clear" w:color="auto" w:fill="FFFFFF"/>
        </w:rPr>
        <w:t>号</w:t>
      </w:r>
      <w:r>
        <w:rPr>
          <w:rFonts w:hint="default" w:ascii="Times New Roman" w:hAnsi="Times New Roman" w:eastAsia="仿宋_GB2312" w:cs="Times New Roman"/>
          <w:color w:val="000000"/>
          <w:kern w:val="2"/>
          <w:sz w:val="32"/>
          <w:szCs w:val="32"/>
          <w:shd w:val="clear" w:color="auto" w:fill="FFFFFF"/>
          <w:lang w:val="en-US" w:eastAsia="zh-CN"/>
        </w:rPr>
        <w:t>文件精神，</w:t>
      </w:r>
      <w:r>
        <w:rPr>
          <w:rFonts w:hint="default" w:ascii="Times New Roman" w:hAnsi="Times New Roman" w:eastAsia="仿宋_GB2312" w:cs="Times New Roman"/>
          <w:spacing w:val="0"/>
          <w:kern w:val="0"/>
          <w:sz w:val="32"/>
          <w:szCs w:val="32"/>
          <w:lang w:val="en-US" w:eastAsia="zh-CN" w:bidi="ar-SA"/>
        </w:rPr>
        <w:t>教育部等8部门《综合防控儿童青少年近视实施方案》、《0～6岁儿童眼保健及视力检查服务规范（试行）》、《近视防治指南》、《斜视诊治指南》、《弱视诊治指南》（以上3项见国卫办医函〔2018〕393号）、《儿童青少年近视防控适宜技术指南（更新版）》、《国家基本公共卫生服务规范（第三版）0～6岁儿童健康管理服务规范》、《中国婴幼儿全身麻醉下眼病检查专家共识（2022年）》、《中国早产儿视网膜病变筛查指南（2014年）》等相关行政法规、标准和规范性文件。</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2.专业知识。包括儿童眼及视觉发育规律、各年龄期儿童眼保健内容、儿童常见眼病及防治、集体儿童眼保健管理、儿童眼保健常用中医疗法、不同年龄段儿童眼保健健康教育等专业知识。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3.操作技能。包括婴幼儿视力评估方法、儿童视力检查、眼外观检查、屈光筛查、眼位检查、眼前段检查、眼底检查等儿童眼病筛查基本技能及检查结果评价、儿童眼保健咨询指导等操作技能。</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4.参考书目。专业知识和操作技能的参考书目为《眼科学（第9版）》（杨培增，范先群主编．人民卫生出版社，2018）、《儿童眼保健学》（项道满，韦建瑞，刘辉主编．人民卫生出版社，2021）、《儿童眼保健工作实用手册》（陈巍，吴夕，张佩斌主编．中国科学技术出版社，2020）》。</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黑体" w:cs="Times New Roman"/>
          <w:color w:val="000000"/>
          <w:kern w:val="2"/>
          <w:sz w:val="32"/>
          <w:szCs w:val="32"/>
          <w:shd w:val="clear" w:color="auto" w:fill="FFFFFF"/>
        </w:rPr>
      </w:pPr>
      <w:r>
        <w:rPr>
          <w:rFonts w:hint="default" w:ascii="Times New Roman" w:hAnsi="Times New Roman" w:eastAsia="黑体" w:cs="Times New Roman"/>
          <w:color w:val="000000"/>
          <w:kern w:val="2"/>
          <w:sz w:val="32"/>
          <w:szCs w:val="32"/>
          <w:shd w:val="clear" w:color="auto" w:fill="FFFFFF"/>
          <w:lang w:val="en-US" w:eastAsia="zh-CN"/>
        </w:rPr>
        <w:t>三</w:t>
      </w:r>
      <w:r>
        <w:rPr>
          <w:rFonts w:hint="default" w:ascii="Times New Roman" w:hAnsi="Times New Roman" w:eastAsia="黑体" w:cs="Times New Roman"/>
          <w:color w:val="000000"/>
          <w:kern w:val="2"/>
          <w:sz w:val="32"/>
          <w:szCs w:val="32"/>
          <w:shd w:val="clear" w:color="auto" w:fill="FFFFFF"/>
        </w:rPr>
        <w:t>、参赛范围与组队要求</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bCs/>
          <w:color w:val="000000"/>
          <w:kern w:val="2"/>
          <w:sz w:val="32"/>
          <w:szCs w:val="32"/>
          <w:shd w:val="clear" w:color="auto" w:fill="FFFFFF"/>
        </w:rPr>
      </w:pPr>
      <w:r>
        <w:rPr>
          <w:rFonts w:hint="default" w:ascii="Times New Roman" w:hAnsi="Times New Roman" w:eastAsia="楷体_GB2312" w:cs="Times New Roman"/>
          <w:b/>
          <w:bCs/>
          <w:color w:val="000000"/>
          <w:kern w:val="2"/>
          <w:sz w:val="32"/>
          <w:szCs w:val="32"/>
          <w:shd w:val="clear" w:color="auto" w:fill="FFFFFF"/>
        </w:rPr>
        <w:t>（一）参赛范围</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各医疗卫生机构中从事危重孕产妇救治、危重新生儿救治、宫颈癌防治、儿童眼保健工作的妇幼健康专业技术人员。</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参赛人员要求具体如下：</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1.具有良好的思想政治素质和优良的道德品质。</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2.目前在岗在编的工作人员，具有参赛项目相应的执业资格、执业类别和执业范围，且在现机构执业1年以上（截至2023年5月1日）。</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（1）危重孕产就治：妇产科专业执业医师；取得《母婴保健技术考核合格证书》，或者在《医师执业证书》上加注母婴保健技术考核合格及技术类别。</w:t>
      </w:r>
    </w:p>
    <w:p>
      <w:pPr>
        <w:pStyle w:val="3"/>
        <w:keepNext w:val="0"/>
        <w:keepLines w:val="0"/>
        <w:pageBreakBefore w:val="0"/>
        <w:kinsoku/>
        <w:wordWrap/>
        <w:overflowPunct/>
        <w:topLinePunct w:val="0"/>
        <w:autoSpaceDE/>
        <w:autoSpaceDN/>
        <w:bidi w:val="0"/>
        <w:spacing w:line="600" w:lineRule="exact"/>
        <w:ind w:left="0" w:leftChars="0" w:firstLine="640" w:firstLineChars="0"/>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（2）危重新生儿救治：儿科专业执业医师。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（3）</w:t>
      </w:r>
      <w:r>
        <w:rPr>
          <w:rFonts w:hint="default" w:ascii="Times New Roman" w:hAnsi="Times New Roman" w:cs="Times New Roman"/>
          <w:lang w:val="en-US" w:eastAsia="zh-CN"/>
        </w:rPr>
        <w:t xml:space="preserve"> </w:t>
      </w:r>
      <w:r>
        <w:rPr>
          <w:rFonts w:hint="default" w:ascii="Times New Roman" w:hAnsi="Times New Roman" w:eastAsia="仿宋_GB2312" w:cs="Times New Roman"/>
          <w:spacing w:val="0"/>
          <w:kern w:val="0"/>
          <w:sz w:val="32"/>
          <w:szCs w:val="32"/>
          <w:lang w:val="en-US" w:eastAsia="zh-CN" w:bidi="ar-SA"/>
        </w:rPr>
        <w:t>宫颈癌防治：计划生育技术服务专业执业医师，取得《母婴保健技术考核合格证书》，或者在《医师执业证书》上加注母婴保健技术考核合格及技术类别。</w:t>
      </w:r>
    </w:p>
    <w:p>
      <w:pPr>
        <w:pStyle w:val="3"/>
        <w:keepNext w:val="0"/>
        <w:keepLines w:val="0"/>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0"/>
          <w:kern w:val="0"/>
          <w:sz w:val="32"/>
          <w:szCs w:val="32"/>
          <w:lang w:val="en-US" w:eastAsia="zh-CN" w:bidi="ar-SA"/>
        </w:rPr>
        <w:t xml:space="preserve">    （4）儿童保健：眼科专业、预防保健专业、公共卫生类别专业的执业医师。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3.参赛人员从事妇幼健康技术服务的工作年限不少于5年（截至2023年5月1日）。</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4.爱岗敬业，甘于奉献，具有扎实的专业知识和精湛的专业技能。</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5.医德医风好，群众口碑好，责任心强，既往无医疗事故和违法违纪情况。</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bCs/>
          <w:color w:val="000000"/>
          <w:kern w:val="2"/>
          <w:sz w:val="32"/>
          <w:szCs w:val="32"/>
          <w:shd w:val="clear" w:color="auto" w:fill="FFFFFF"/>
        </w:rPr>
      </w:pPr>
      <w:r>
        <w:rPr>
          <w:rFonts w:hint="default" w:ascii="Times New Roman" w:hAnsi="Times New Roman" w:eastAsia="楷体_GB2312" w:cs="Times New Roman"/>
          <w:b/>
          <w:bCs/>
          <w:color w:val="000000"/>
          <w:kern w:val="2"/>
          <w:sz w:val="32"/>
          <w:szCs w:val="32"/>
          <w:shd w:val="clear" w:color="auto" w:fill="FFFFFF"/>
        </w:rPr>
        <w:t>(二)组队要求</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县级组队要求。以县为单位组队参加市级妇幼健康职业技能竞赛的复赛。每支代表队由领队1名、参赛队员4名组成。由县卫生健康委</w:t>
      </w:r>
      <w:r>
        <w:rPr>
          <w:rFonts w:hint="eastAsia" w:ascii="Times New Roman" w:hAnsi="Times New Roman" w:eastAsia="仿宋_GB2312" w:cs="Times New Roman"/>
          <w:spacing w:val="0"/>
          <w:kern w:val="0"/>
          <w:sz w:val="32"/>
          <w:szCs w:val="32"/>
          <w:lang w:val="en-US" w:eastAsia="zh-CN" w:bidi="ar-SA"/>
        </w:rPr>
        <w:t>局</w:t>
      </w:r>
      <w:bookmarkStart w:id="0" w:name="_GoBack"/>
      <w:bookmarkEnd w:id="0"/>
      <w:r>
        <w:rPr>
          <w:rFonts w:hint="default" w:ascii="Times New Roman" w:hAnsi="Times New Roman" w:eastAsia="仿宋_GB2312" w:cs="Times New Roman"/>
          <w:spacing w:val="0"/>
          <w:kern w:val="0"/>
          <w:sz w:val="32"/>
          <w:szCs w:val="32"/>
          <w:lang w:val="en-US" w:eastAsia="zh-CN" w:bidi="ar-SA"/>
        </w:rPr>
        <w:t>分管妇幼健康工作的领导担任领队，每名队员参加“危重孕产妇救治”“危重新生儿救治”“宫颈癌防治”“儿童眼保健”4个项目中的1项竞赛。</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黑体" w:cs="Times New Roman"/>
          <w:color w:val="000000"/>
          <w:kern w:val="2"/>
          <w:sz w:val="32"/>
          <w:szCs w:val="32"/>
          <w:shd w:val="clear" w:color="auto" w:fill="FFFFFF"/>
        </w:rPr>
      </w:pPr>
      <w:r>
        <w:rPr>
          <w:rFonts w:hint="default" w:ascii="Times New Roman" w:hAnsi="Times New Roman" w:eastAsia="黑体" w:cs="Times New Roman"/>
          <w:color w:val="000000"/>
          <w:kern w:val="2"/>
          <w:sz w:val="32"/>
          <w:szCs w:val="32"/>
          <w:shd w:val="clear" w:color="auto" w:fill="FFFFFF"/>
          <w:lang w:val="en-US" w:eastAsia="zh-CN"/>
        </w:rPr>
        <w:t>四</w:t>
      </w:r>
      <w:r>
        <w:rPr>
          <w:rFonts w:hint="default" w:ascii="Times New Roman" w:hAnsi="Times New Roman" w:eastAsia="黑体" w:cs="Times New Roman"/>
          <w:color w:val="000000"/>
          <w:kern w:val="2"/>
          <w:sz w:val="32"/>
          <w:szCs w:val="32"/>
          <w:shd w:val="clear" w:color="auto" w:fill="FFFFFF"/>
        </w:rPr>
        <w:t>、竞赛形式</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楷体_GB2312" w:cs="Times New Roman"/>
          <w:b/>
          <w:bCs/>
          <w:color w:val="000000"/>
          <w:kern w:val="2"/>
          <w:sz w:val="32"/>
          <w:szCs w:val="32"/>
          <w:shd w:val="clear" w:color="auto" w:fill="FFFFFF"/>
          <w:lang w:val="en-US" w:eastAsia="zh-CN"/>
        </w:rPr>
        <w:t>（一）综合笔试。</w:t>
      </w:r>
      <w:r>
        <w:rPr>
          <w:rFonts w:hint="default" w:ascii="Times New Roman" w:hAnsi="Times New Roman" w:eastAsia="仿宋_GB2312" w:cs="Times New Roman"/>
          <w:spacing w:val="0"/>
          <w:kern w:val="0"/>
          <w:sz w:val="32"/>
          <w:szCs w:val="32"/>
          <w:lang w:val="en-US" w:eastAsia="zh-CN" w:bidi="ar-SA"/>
        </w:rPr>
        <w:t>竞赛采用综合笔试形式开展。每个队员根据参加竞赛项目参加本项目的综合笔试。</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楷体_GB2312" w:cs="Times New Roman"/>
          <w:b/>
          <w:bCs/>
          <w:color w:val="000000"/>
          <w:kern w:val="2"/>
          <w:sz w:val="32"/>
          <w:szCs w:val="32"/>
          <w:shd w:val="clear" w:color="auto" w:fill="FFFFFF"/>
          <w:lang w:val="en-US" w:eastAsia="zh-CN"/>
        </w:rPr>
        <w:t>（二）操作技能。</w:t>
      </w:r>
      <w:r>
        <w:rPr>
          <w:rFonts w:hint="default" w:ascii="Times New Roman" w:hAnsi="Times New Roman" w:eastAsia="仿宋_GB2312" w:cs="Times New Roman"/>
          <w:spacing w:val="0"/>
          <w:kern w:val="0"/>
          <w:sz w:val="32"/>
          <w:szCs w:val="32"/>
          <w:lang w:val="en-US" w:eastAsia="zh-CN" w:bidi="ar-SA"/>
        </w:rPr>
        <w:t>每个队员根据参加竞赛项目参加本项目的操作技能赛。</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黑体" w:cs="Times New Roman"/>
          <w:color w:val="000000"/>
          <w:kern w:val="2"/>
          <w:sz w:val="32"/>
          <w:szCs w:val="32"/>
          <w:shd w:val="clear" w:color="auto" w:fill="FFFFFF"/>
          <w:lang w:val="en-US" w:eastAsia="zh-CN"/>
        </w:rPr>
      </w:pPr>
      <w:r>
        <w:rPr>
          <w:rFonts w:hint="default" w:ascii="Times New Roman" w:hAnsi="Times New Roman" w:eastAsia="仿宋_GB2312" w:cs="Times New Roman"/>
          <w:spacing w:val="0"/>
          <w:kern w:val="0"/>
          <w:sz w:val="32"/>
          <w:szCs w:val="32"/>
          <w:lang w:val="en-US" w:eastAsia="zh-CN" w:bidi="ar-SA"/>
        </w:rPr>
        <w:t xml:space="preserve"> </w:t>
      </w:r>
      <w:r>
        <w:rPr>
          <w:rFonts w:hint="default" w:ascii="Times New Roman" w:hAnsi="Times New Roman" w:eastAsia="黑体" w:cs="Times New Roman"/>
          <w:color w:val="000000"/>
          <w:kern w:val="2"/>
          <w:sz w:val="32"/>
          <w:szCs w:val="32"/>
          <w:shd w:val="clear" w:color="auto" w:fill="FFFFFF"/>
          <w:lang w:val="en-US" w:eastAsia="zh-CN"/>
        </w:rPr>
        <w:t>五、竞赛大纲</w:t>
      </w:r>
    </w:p>
    <w:p>
      <w:pPr>
        <w:pStyle w:val="3"/>
        <w:keepNext w:val="0"/>
        <w:keepLines w:val="0"/>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rPr>
        <w:t xml:space="preserve">   </w:t>
      </w:r>
      <w:r>
        <w:rPr>
          <w:rFonts w:hint="default" w:ascii="Times New Roman" w:hAnsi="Times New Roman" w:eastAsia="仿宋_GB2312" w:cs="Times New Roman"/>
          <w:spacing w:val="0"/>
          <w:kern w:val="0"/>
          <w:sz w:val="32"/>
          <w:szCs w:val="32"/>
          <w:lang w:val="en-US" w:eastAsia="zh-CN" w:bidi="ar-SA"/>
        </w:rPr>
        <w:t xml:space="preserve">  本次竞赛命题本着公平公正的原则，在自治区妇幼健康职业技能竞赛组委会统一领导下，由自治区竞赛专家组制定竞赛大纲。</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jc w:val="both"/>
        <w:textAlignment w:val="auto"/>
        <w:rPr>
          <w:rFonts w:hint="default" w:ascii="Times New Roman" w:hAnsi="Times New Roman" w:eastAsia="黑体" w:cs="Times New Roman"/>
          <w:color w:val="000000"/>
          <w:kern w:val="2"/>
          <w:sz w:val="32"/>
          <w:szCs w:val="32"/>
          <w:shd w:val="clear" w:color="auto" w:fill="FFFFFF"/>
          <w:lang w:val="en-US" w:eastAsia="zh-CN"/>
        </w:rPr>
      </w:pPr>
      <w:r>
        <w:rPr>
          <w:rFonts w:hint="default" w:ascii="Times New Roman" w:hAnsi="Times New Roman" w:eastAsia="黑体" w:cs="Times New Roman"/>
          <w:color w:val="000000"/>
          <w:kern w:val="2"/>
          <w:sz w:val="32"/>
          <w:szCs w:val="32"/>
          <w:shd w:val="clear" w:color="auto" w:fill="FFFFFF"/>
          <w:lang w:val="en-US" w:eastAsia="zh-CN"/>
        </w:rPr>
        <w:t>六、工作要求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（一）各医疗单位</w:t>
      </w:r>
      <w:r>
        <w:rPr>
          <w:rFonts w:hint="default" w:ascii="Times New Roman" w:hAnsi="Times New Roman" w:eastAsia="宋体" w:cs="Times New Roman"/>
          <w:i w:val="0"/>
          <w:iCs w:val="0"/>
          <w:caps w:val="0"/>
          <w:color w:val="333333"/>
          <w:spacing w:val="0"/>
          <w:sz w:val="31"/>
          <w:szCs w:val="31"/>
          <w:shd w:val="clear" w:fill="FFFFFF"/>
        </w:rPr>
        <w:t>要</w:t>
      </w:r>
      <w:r>
        <w:rPr>
          <w:rFonts w:hint="default" w:ascii="Times New Roman" w:hAnsi="Times New Roman" w:eastAsia="仿宋_GB2312" w:cs="Times New Roman"/>
          <w:spacing w:val="0"/>
          <w:kern w:val="0"/>
          <w:sz w:val="32"/>
          <w:szCs w:val="32"/>
          <w:lang w:val="en-US" w:eastAsia="zh-CN" w:bidi="ar-SA"/>
        </w:rPr>
        <w:t>充分认识妇幼健康职业技能竞赛活动的重要意义，以竞赛为抓手，“以赛促培、以赛代评、以赛促教”，开展岗位练兵，切实提高妇幼健康服务水平和管理质量。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（二）县卫生健康局制定竞赛方案，妇幼保健计划生育服务中心及县人民医院按照方案要求，及时派人员组队，选拔业务基础扎实、技能操作熟练的参加竞赛，将竞赛名单报卫健局邮箱，确保竞赛活动顺利进行。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textAlignment w:val="auto"/>
        <w:rPr>
          <w:rFonts w:hint="default" w:ascii="Times New Roman" w:hAnsi="Times New Roman" w:eastAsia="仿宋_GB2312" w:cs="Times New Roman"/>
          <w:spacing w:val="0"/>
          <w:kern w:val="0"/>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textAlignment w:val="auto"/>
        <w:rPr>
          <w:rFonts w:hint="default" w:ascii="Times New Roman" w:hAnsi="Times New Roman" w:eastAsia="仿宋" w:cs="Times New Roman"/>
          <w:color w:val="000000"/>
          <w:sz w:val="31"/>
          <w:szCs w:val="31"/>
          <w:lang w:eastAsia="zh-CN"/>
        </w:rPr>
      </w:pPr>
      <w:r>
        <w:rPr>
          <w:rFonts w:hint="default" w:ascii="Times New Roman" w:hAnsi="Times New Roman" w:eastAsia="仿宋" w:cs="Times New Roman"/>
          <w:color w:val="000000"/>
          <w:sz w:val="31"/>
          <w:szCs w:val="31"/>
        </w:rPr>
        <w:t>附件</w:t>
      </w:r>
      <w:r>
        <w:rPr>
          <w:rFonts w:hint="default" w:ascii="Times New Roman" w:hAnsi="Times New Roman" w:eastAsia="仿宋" w:cs="Times New Roman"/>
          <w:color w:val="000000"/>
          <w:sz w:val="31"/>
          <w:szCs w:val="31"/>
          <w:lang w:val="en-US" w:eastAsia="zh-CN"/>
        </w:rPr>
        <w:t>1.全市妇幼健康职业技能竞赛参赛队员名单</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lang w:val="en-US" w:eastAsia="zh-CN"/>
        </w:rPr>
        <w:sectPr>
          <w:footerReference r:id="rId3" w:type="default"/>
          <w:pgSz w:w="11906" w:h="16838"/>
          <w:pgMar w:top="1417" w:right="1474" w:bottom="1417" w:left="1587" w:header="851" w:footer="992" w:gutter="0"/>
          <w:pgNumType w:fmt="decimal"/>
          <w:cols w:space="425" w:num="1"/>
          <w:docGrid w:type="lines" w:linePitch="312" w:charSpace="0"/>
        </w:sectPr>
      </w:pPr>
    </w:p>
    <w:p>
      <w:pPr>
        <w:pStyle w:val="7"/>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附件1：</w:t>
      </w:r>
    </w:p>
    <w:p>
      <w:pPr>
        <w:pStyle w:val="7"/>
        <w:keepNext w:val="0"/>
        <w:keepLines w:val="0"/>
        <w:pageBreakBefore w:val="0"/>
        <w:widowControl/>
        <w:suppressLineNumbers w:val="0"/>
        <w:kinsoku/>
        <w:wordWrap/>
        <w:overflowPunct/>
        <w:topLinePunct w:val="0"/>
        <w:autoSpaceDE/>
        <w:autoSpaceDN/>
        <w:bidi w:val="0"/>
        <w:adjustRightInd/>
        <w:snapToGrid/>
        <w:spacing w:line="600" w:lineRule="exact"/>
        <w:ind w:left="0" w:firstLine="640"/>
        <w:jc w:val="center"/>
        <w:textAlignment w:val="auto"/>
        <w:rPr>
          <w:rFonts w:hint="default" w:ascii="Times New Roman" w:hAnsi="Times New Roman" w:cs="Times New Roman"/>
          <w:vertAlign w:val="baseline"/>
        </w:rPr>
      </w:pPr>
      <w:r>
        <w:rPr>
          <w:rFonts w:hint="default" w:ascii="Times New Roman" w:hAnsi="Times New Roman" w:eastAsia="方正小标宋简体" w:cs="Times New Roman"/>
          <w:color w:val="000000"/>
          <w:kern w:val="0"/>
          <w:sz w:val="36"/>
          <w:szCs w:val="36"/>
          <w:lang w:val="en-US" w:eastAsia="zh-CN" w:bidi="ar"/>
        </w:rPr>
        <w:t>全县妇幼健康职业技能竞赛参赛队员名单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730"/>
        <w:gridCol w:w="2508"/>
        <w:gridCol w:w="1800"/>
        <w:gridCol w:w="2916"/>
        <w:gridCol w:w="1668"/>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67" w:type="dxa"/>
            <w:vMerge w:val="restart"/>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代表队</w:t>
            </w:r>
          </w:p>
        </w:tc>
        <w:tc>
          <w:tcPr>
            <w:tcW w:w="273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姓名</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单位</w:t>
            </w: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职务职称</w:t>
            </w: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身份证号</w:t>
            </w: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联系方式</w:t>
            </w: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67" w:type="dxa"/>
            <w:vMerge w:val="continue"/>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73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领队</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67" w:type="dxa"/>
            <w:vMerge w:val="continue"/>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73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危重孕产妇救治</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7" w:type="dxa"/>
            <w:vMerge w:val="continue"/>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73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危重新生儿救治</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73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宫颈癌防治</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67" w:type="dxa"/>
            <w:vMerge w:val="continue"/>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730" w:type="dxa"/>
          </w:tcPr>
          <w:p>
            <w:pPr>
              <w:pStyle w:val="7"/>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儿童眼保健</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730" w:type="dxa"/>
          </w:tcPr>
          <w:p>
            <w:pPr>
              <w:pStyle w:val="7"/>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r>
              <w:rPr>
                <w:rFonts w:hint="default" w:ascii="Times New Roman" w:hAnsi="Times New Roman" w:eastAsia="华文仿宋" w:cs="Times New Roman"/>
                <w:color w:val="000000"/>
                <w:sz w:val="32"/>
                <w:szCs w:val="32"/>
              </w:rPr>
              <w:t>联络员</w:t>
            </w:r>
          </w:p>
        </w:tc>
        <w:tc>
          <w:tcPr>
            <w:tcW w:w="250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80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2916"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668"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c>
          <w:tcPr>
            <w:tcW w:w="1740" w:type="dxa"/>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仿宋" w:cs="Times New Roman"/>
                <w:sz w:val="32"/>
                <w:szCs w:val="32"/>
                <w:vertAlign w:val="baseline"/>
              </w:rPr>
            </w:pP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jc w:val="center"/>
        <w:textAlignment w:val="auto"/>
        <w:rPr>
          <w:rFonts w:hint="default" w:ascii="Times New Roman" w:hAnsi="Times New Roman" w:cs="Times New Roma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spacing w:line="560" w:lineRule="exact"/>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3360;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37wPdMAAAAGAQAADwAAAAAAAAABACAAAAAiAAAAZHJzL2Rvd25yZXYueG1sUEsB&#10;AhQAFAAAAAgAh07iQKHChvr6AQAA9Q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2336;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AU0YaH+gEAAPU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eastAsia"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28</w:t>
      </w:r>
      <w:r>
        <w:rPr>
          <w:rFonts w:hint="default" w:ascii="Times New Roman" w:hAnsi="Times New Roman" w:eastAsia="仿宋_GB2312" w:cs="Times New Roman"/>
          <w:color w:val="000000"/>
          <w:sz w:val="28"/>
          <w:szCs w:val="28"/>
        </w:rPr>
        <w:t>日印发</w:t>
      </w:r>
    </w:p>
    <w:p>
      <w:pPr>
        <w:pStyle w:val="9"/>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cs="Times New Roman"/>
          <w:lang w:val="en-US" w:eastAsia="zh-CN"/>
        </w:rPr>
      </w:pPr>
    </w:p>
    <w:sectPr>
      <w:pgSz w:w="11906" w:h="16838"/>
      <w:pgMar w:top="1417" w:right="147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0B434384"/>
    <w:rsid w:val="0B434384"/>
    <w:rsid w:val="0C9B0C49"/>
    <w:rsid w:val="116B6001"/>
    <w:rsid w:val="15EB55CD"/>
    <w:rsid w:val="16CD085C"/>
    <w:rsid w:val="3D1D5C0E"/>
    <w:rsid w:val="55117787"/>
    <w:rsid w:val="71C0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mbria" w:hAnsi="Cambria"/>
      <w:b/>
      <w:bCs/>
      <w:sz w:val="32"/>
      <w:szCs w:val="32"/>
    </w:rPr>
  </w:style>
  <w:style w:type="paragraph" w:styleId="3">
    <w:name w:val="index 6"/>
    <w:basedOn w:val="1"/>
    <w:next w:val="1"/>
    <w:unhideWhenUsed/>
    <w:qFormat/>
    <w:uiPriority w:val="99"/>
    <w:pPr>
      <w:ind w:left="1000" w:leftChars="1000"/>
    </w:pPr>
  </w:style>
  <w:style w:type="paragraph" w:styleId="4">
    <w:name w:val="Body Text Indent"/>
    <w:basedOn w:val="1"/>
    <w:autoRedefine/>
    <w:qFormat/>
    <w:uiPriority w:val="0"/>
    <w:pPr>
      <w:ind w:left="420"/>
    </w:pPr>
    <w:rPr>
      <w:rFonts w:ascii="仿宋_GB2312" w:eastAsia="仿宋_GB2312"/>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0"/>
    <w:pPr>
      <w:spacing w:after="120"/>
      <w:ind w:left="200" w:leftChars="200" w:firstLine="420" w:firstLineChars="200"/>
    </w:pPr>
    <w:rPr>
      <w:rFonts w:asci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正文-啊"/>
    <w:basedOn w:val="1"/>
    <w:autoRedefine/>
    <w:qFormat/>
    <w:uiPriority w:val="0"/>
    <w:pPr>
      <w:spacing w:beforeLines="100" w:line="276" w:lineRule="auto"/>
      <w:ind w:left="210" w:right="210" w:firstLine="600"/>
      <w:contextualSpacing/>
    </w:pPr>
    <w:rPr>
      <w:rFonts w:ascii="微软雅黑" w:hAnsi="微软雅黑" w:eastAsia="微软雅黑"/>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4254</Words>
  <Characters>4592</Characters>
  <Lines>0</Lines>
  <Paragraphs>0</Paragraphs>
  <TotalTime>3</TotalTime>
  <ScaleCrop>false</ScaleCrop>
  <LinksUpToDate>false</LinksUpToDate>
  <CharactersWithSpaces>4653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2023-09-22T09:14:00Z</dcterms:created>
  <dc:creator>NINGMEI</dc:creator>
  <cp:lastModifiedBy>李半仙</cp:lastModifiedBy>
  <cp:lastPrinted>2023-09-28T07:22:00Z</cp:lastPrinted>
  <dcterms:modified xsi:type="dcterms:W3CDTF">2024-01-04T06:33:00Z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8F3D27B174854AB2BDE011D4558E48DA_13</vt:lpwstr>
  </property>
</Properties>
</file>