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insoku/>
        <w:wordWrap/>
        <w:overflowPunct/>
        <w:topLinePunct w:val="0"/>
        <w:autoSpaceDE/>
        <w:autoSpaceDN w:val="0"/>
        <w:spacing w:line="600" w:lineRule="exact"/>
        <w:ind w:firstLine="640"/>
        <w:rPr>
          <w:rFonts w:hint="default" w:ascii="Times New Roman" w:hAnsi="Times New Roman" w:eastAsia="仿宋_GB2312" w:cs="Times New Roman"/>
          <w:color w:val="FF0000"/>
          <w:sz w:val="32"/>
          <w:szCs w:val="32"/>
          <w:lang w:bidi="ar-SA"/>
        </w:rPr>
      </w:pPr>
    </w:p>
    <w:p>
      <w:pPr>
        <w:kinsoku/>
        <w:wordWrap/>
        <w:overflowPunct/>
        <w:topLinePunct w:val="0"/>
        <w:autoSpaceDE/>
        <w:autoSpaceDN w:val="0"/>
        <w:spacing w:line="600" w:lineRule="exact"/>
        <w:ind w:firstLine="640"/>
        <w:rPr>
          <w:rFonts w:hint="default" w:ascii="Times New Roman" w:hAnsi="Times New Roman" w:eastAsia="仿宋_GB2312" w:cs="Times New Roman"/>
          <w:color w:val="FF0000"/>
          <w:sz w:val="32"/>
          <w:szCs w:val="32"/>
          <w:lang w:bidi="ar-SA"/>
        </w:rPr>
      </w:pPr>
    </w:p>
    <w:p>
      <w:pPr>
        <w:kinsoku/>
        <w:wordWrap/>
        <w:overflowPunct/>
        <w:topLinePunct w:val="0"/>
        <w:autoSpaceDE/>
        <w:autoSpaceDN w:val="0"/>
        <w:spacing w:line="600" w:lineRule="exact"/>
        <w:ind w:firstLine="640"/>
        <w:rPr>
          <w:rFonts w:hint="default" w:ascii="Times New Roman" w:hAnsi="Times New Roman" w:eastAsia="仿宋_GB2312" w:cs="Times New Roman"/>
          <w:color w:val="FF0000"/>
          <w:sz w:val="32"/>
          <w:szCs w:val="32"/>
          <w:lang w:bidi="ar-SA"/>
        </w:rPr>
      </w:pPr>
    </w:p>
    <w:p>
      <w:pPr>
        <w:kinsoku/>
        <w:wordWrap/>
        <w:overflowPunct/>
        <w:topLinePunct w:val="0"/>
        <w:autoSpaceDE/>
        <w:autoSpaceDN w:val="0"/>
        <w:spacing w:line="400" w:lineRule="exact"/>
        <w:ind w:firstLine="641"/>
        <w:rPr>
          <w:rFonts w:hint="default" w:ascii="Times New Roman" w:hAnsi="Times New Roman" w:eastAsia="仿宋_GB2312" w:cs="Times New Roman"/>
          <w:color w:val="FF0000"/>
          <w:sz w:val="32"/>
          <w:szCs w:val="32"/>
          <w:lang w:bidi="ar-SA"/>
        </w:rPr>
      </w:pPr>
    </w:p>
    <w:p>
      <w:pPr>
        <w:kinsoku/>
        <w:wordWrap/>
        <w:overflowPunct/>
        <w:topLinePunct w:val="0"/>
        <w:autoSpaceDE/>
        <w:autoSpaceDN w:val="0"/>
        <w:spacing w:line="600" w:lineRule="exact"/>
        <w:ind w:firstLine="640"/>
        <w:rPr>
          <w:rFonts w:hint="default" w:ascii="Times New Roman" w:hAnsi="Times New Roman" w:eastAsia="仿宋_GB2312" w:cs="Times New Roman"/>
          <w:color w:val="FF0000"/>
          <w:sz w:val="32"/>
          <w:szCs w:val="32"/>
          <w:lang w:bidi="ar-SA"/>
        </w:rPr>
      </w:pPr>
    </w:p>
    <w:p>
      <w:pPr>
        <w:kinsoku/>
        <w:wordWrap/>
        <w:overflowPunct/>
        <w:topLinePunct w:val="0"/>
        <w:autoSpaceDE/>
        <w:autoSpaceDN w:val="0"/>
        <w:ind w:left="0" w:firstLine="0"/>
        <w:jc w:val="center"/>
        <w:rPr>
          <w:rFonts w:hint="default" w:ascii="Times New Roman" w:hAnsi="Times New Roman" w:eastAsia="方正小标宋简体" w:cs="Times New Roman"/>
          <w:b/>
          <w:bCs/>
          <w:color w:val="FFFFFF" w:themeColor="background1"/>
          <w:spacing w:val="-8"/>
          <w:w w:val="92"/>
          <w:sz w:val="96"/>
          <w:szCs w:val="110"/>
          <w:shd w:val="solid" w:color="FFFFFF" w:fill="FFFFFF"/>
          <w:lang w:bidi="ar-SA"/>
          <w14:textFill>
            <w14:solidFill>
              <w14:schemeClr w14:val="bg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/>
          <w:bCs/>
          <w:color w:val="FFFFFF" w:themeColor="background1"/>
          <w:spacing w:val="-8"/>
          <w:w w:val="92"/>
          <w:sz w:val="96"/>
          <w:szCs w:val="110"/>
          <w:shd w:val="solid" w:color="FFFFFF" w:fill="FFFFFF"/>
          <w:lang w:bidi="ar-SA"/>
          <w14:textFill>
            <w14:solidFill>
              <w14:schemeClr w14:val="bg1"/>
            </w14:solidFill>
          </w14:textFill>
        </w:rPr>
        <w:t>盐池县卫生健康局文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b/>
          <w:bCs/>
          <w:color w:val="FFFFFF" w:themeColor="background1"/>
          <w:spacing w:val="-8"/>
          <w:w w:val="92"/>
          <w:sz w:val="96"/>
          <w:szCs w:val="110"/>
          <w:shd w:val="solid" w:color="FFFFFF" w:fill="FFFFFF"/>
          <w:lang w:bidi="ar-SA"/>
          <w14:textFill>
            <w14:solidFill>
              <w14:schemeClr w14:val="bg1"/>
            </w14:solidFill>
          </w14:textFill>
        </w:rPr>
        <w:t>件</w:t>
      </w:r>
    </w:p>
    <w:p>
      <w:pPr>
        <w:kinsoku/>
        <w:wordWrap/>
        <w:overflowPunct/>
        <w:topLinePunct w:val="0"/>
        <w:autoSpaceDE/>
        <w:autoSpaceDN w:val="0"/>
        <w:spacing w:line="600" w:lineRule="exact"/>
        <w:ind w:firstLine="480" w:firstLineChars="150"/>
        <w:rPr>
          <w:rFonts w:hint="default" w:ascii="Times New Roman" w:hAnsi="Times New Roman" w:eastAsia="仿宋_GB2312" w:cs="Times New Roman"/>
          <w:color w:val="FF0000"/>
          <w:sz w:val="32"/>
          <w:szCs w:val="32"/>
          <w:lang w:bidi="ar-SA"/>
        </w:rPr>
      </w:pPr>
    </w:p>
    <w:p>
      <w:pPr>
        <w:kinsoku/>
        <w:wordWrap/>
        <w:overflowPunct/>
        <w:topLinePunct w:val="0"/>
        <w:autoSpaceDE/>
        <w:autoSpaceDN w:val="0"/>
        <w:spacing w:line="600" w:lineRule="exact"/>
        <w:ind w:firstLine="320" w:firstLineChars="100"/>
        <w:rPr>
          <w:rFonts w:hint="default" w:ascii="Times New Roman" w:hAnsi="Times New Roman" w:eastAsia="仿宋_GB2312" w:cs="Times New Roman"/>
          <w:color w:val="FF0000"/>
          <w:sz w:val="32"/>
          <w:szCs w:val="32"/>
          <w:lang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bidi="ar-SA"/>
        </w:rPr>
        <w:t>盐卫健发〔20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 w:bidi="ar-SA"/>
        </w:rPr>
        <w:t>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 w:bidi="ar-SA"/>
        </w:rPr>
        <w:t>4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bidi="ar-SA"/>
        </w:rPr>
        <w:t>〕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 w:bidi="ar-SA"/>
        </w:rPr>
        <w:t>1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bidi="ar-SA"/>
        </w:rPr>
        <w:t xml:space="preserve">号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 w:bidi="ar-SA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bidi="ar-SA"/>
        </w:rPr>
        <w:t xml:space="preserve">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bidi="ar-SA"/>
        </w:rPr>
        <w:t xml:space="preserve">     签发人：</w:t>
      </w:r>
      <w:r>
        <w:rPr>
          <w:rFonts w:hint="eastAsia" w:ascii="Times New Roman" w:hAnsi="Times New Roman" w:eastAsia="楷体_GB2312" w:cs="Times New Roman"/>
          <w:color w:val="000000"/>
          <w:sz w:val="32"/>
          <w:szCs w:val="32"/>
          <w:lang w:eastAsia="zh-CN" w:bidi="ar-SA"/>
        </w:rPr>
        <w:t>王永鲜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color w:val="FF0000"/>
          <w:sz w:val="32"/>
          <w:szCs w:val="32"/>
          <w:lang w:bidi="ar-SA"/>
        </w:rPr>
      </w:pPr>
      <w:r>
        <w:rPr>
          <w:rFonts w:hint="default" w:ascii="Times New Roman" w:hAnsi="Times New Roman" w:cs="Times New Roman"/>
          <w:color w:val="FF0000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137160</wp:posOffset>
                </wp:positionH>
                <wp:positionV relativeFrom="paragraph">
                  <wp:posOffset>37465</wp:posOffset>
                </wp:positionV>
                <wp:extent cx="5567045" cy="0"/>
                <wp:effectExtent l="0" t="13970" r="14605" b="2413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67045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chemeClr val="bg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.8pt;margin-top:2.95pt;height:0pt;width:438.35pt;z-index:251660288;mso-width-relative:page;mso-height-relative:page;" filled="f" stroked="t" coordsize="21600,21600" o:gfxdata="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SyZOg9EAAAAGAQAADwAAAAAAAAABACAAAAAiAAAAZHJzL2Rvd25yZXYueG1s&#10;UEsBAhQAFAAAAAgAh07iQCP+sQD/AQAA/QMAAA4AAAAAAAAAAQAgAAAAIAEAAGRycy9lMm9Eb2Mu&#10;eG1sUEsFBgAAAAAGAAYAWQEAAJEFAAAAAA==&#10;">
                <v:fill on="f" focussize="0,0"/>
                <v:stroke weight="2.25pt" color="#FFFFFF [3212]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suppressLineNumbers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盐池县卫生健康局关于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年度法治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政府建设情况的报告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21"/>
          <w:szCs w:val="21"/>
          <w:vertAlign w:val="baseli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盐池县委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根据要求，现将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我局202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度法治政府建设任务完成情况报告如下：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Times New Roman" w:hAnsi="Times New Roman" w:eastAsia="黑体" w:cs="Times New Roman"/>
          <w:b w:val="0"/>
          <w:bCs w:val="0"/>
          <w:i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主要举措与成效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（一）学习宣传习近平法治思想情况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一是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将习近平法治思想等纳入党委（党组）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理论学习中心组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，并结合行业特色，组织学习《中华人民共和国药品管理法》《中华人民共和国基本医疗卫生与健康促进法》《中华人民共和国传染病防治法》等内容，提高领导干部运用法治方式推动工作、解决问题的能力。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2023年共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组织党委（党组）中心组理论学习1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次。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二是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充分利用学习强国、宁夏干部教育学习网络平台，采取线上线下相结合、自主学习与集中学习相结合等方式，引导党员干部学习领会习近平法治思想。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三是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要求本系统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报名参加行政执法考试的工作人员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进行行政执法相关知识培训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，组织执法部门工作人员开展线上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培训，同时开展线下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学习上级文件、规章制度和执法手册，贯彻依法行政理念和原则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努力打造一支忠诚、干净、担当的高素质干部队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伍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525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依法履行职能情况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我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局高度重视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法治政府建设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工作，党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委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书记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、局长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严格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落实《党政主要负责人履行推进法治建设第一责任人职责规定》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坚持带头学习宪法、法律法规，不断提高依法行政的自觉性。充分发挥党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委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统揽全局、协调各方的作用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，党委书记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对重大工作亲自部署、重大问题亲自过问、重点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环节亲自督办。及时研究解决有关重大问题，督促领导班子其他成员和下属部门主要负责人依法行政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推动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全面依法治县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工作落实落细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525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）规范重大行政决策情况。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经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统计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，202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3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年本单位未出台重大行政决策文件。</w:t>
      </w:r>
    </w:p>
    <w:p>
      <w:pPr>
        <w:keepNext w:val="0"/>
        <w:keepLines w:val="0"/>
        <w:pageBreakBefore w:val="0"/>
        <w:widowControl w:val="0"/>
        <w:tabs>
          <w:tab w:val="left" w:pos="525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）行政规范性文件制定管理情况。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202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3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年本单位未出台行政规范性文件。202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3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8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月，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根据政府办公室统一安排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对行政规范性文件和政策性文件全面进行清理，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经梳理无失效文件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）严格规范公正文明执法情况。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一是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对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所有处罚案件均在国家卫生健康监督信息平台、宁夏双公示报送系统、国家“互联网+监管”等平台公示。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严格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落实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“一案一卷一光盘”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，及时调整完善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本部门《重大行政执法决定法制审核目录清单》，明确界定重大行政执法决定法制审核范围。严格落实执法人员持证上岗制度，开展执法活动至少有2名持证执法人员，规范使用执法用语，主动亮证执法并向监管对象告知执法事由等内容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shd w:val="clear" w:color="auto" w:fill="FFFFFF"/>
          <w:lang w:eastAsia="zh-CN"/>
        </w:rPr>
        <w:t>二是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根据行政执法案卷评查有关工作要求，组织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卫生监督所对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2022年7月1日-2023年6月30日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办理产生的案卷开展自查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，自查结果较好。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三是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规范卫生监督执法行为，加大执法力度，从卫生许可准入、打击非法行医、医疗美容整治、职业病防治等方面，认真开展综合监督工作，有效地维护全县人民群众身体健康和生命安全。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截至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2023年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29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日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累计监督检查医疗机构143户次、公共场所（宾馆、理发、商超）652户次、中小学及托幼机构57户次、企业60户次、职业健康体检机构2家，集中式供水3户次，下达卫生监督意见书735份，监督车辆396车次，监督人次1215人次，查处非法行医2起，公共场所警告1起，企业警告3起，共计罚款58000元。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2023年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查办的行政处罚案件无移送公安机关立案的案件。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）行政应诉工作情况。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一是</w:t>
      </w:r>
      <w:r>
        <w:rPr>
          <w:rFonts w:hint="eastAsia" w:ascii="Times New Roman" w:hAnsi="Times New Roman" w:eastAsia="仿宋_GB2312" w:cs="Times New Roman"/>
          <w:sz w:val="32"/>
          <w:szCs w:val="32"/>
          <w:lang w:val="en" w:eastAsia="zh-CN"/>
        </w:rPr>
        <w:t>积极支持配合检察院开展行政诉讼监督、行政公益诉讼，积极主动履行职责或纠正违法行为。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年收到检察院移送的公益诉讼案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件3起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，均在要求时限内完成办理并报送了办理报告和整改说明报告。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二是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2023年共收到1起行政应诉案件，在正式开庭前，经盐池县人民法院主持，双方达成了调解协议。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eastAsia="zh-CN"/>
        </w:rPr>
        <w:t>（七）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社会矛盾纠纷化解情况、政务公开清单制度落实情况。</w:t>
      </w:r>
      <w:r>
        <w:rPr>
          <w:rFonts w:hint="eastAsia" w:ascii="Times New Roman" w:hAnsi="Times New Roman" w:eastAsia="仿宋_GB2312" w:cs="Times New Roman"/>
          <w:b/>
          <w:bCs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一是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持续畅通12345便民服务平台，及时收集群众的投诉、意见和建议等，聚焦群众反映的热点、难点、堵点问题，并在规定的时限内完成调查、反馈等工作，确保群众合法权益不受侵害。</w:t>
      </w:r>
      <w:r>
        <w:rPr>
          <w:rStyle w:val="11"/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二是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在投诉举报处置中，监管人员结合辖区实际及投诉举报情况，坚持公平公正、依法依规处理，认真调解每一起投诉举报，及时有效化解投诉人与被投诉人之间的矛盾纠纷，取得了良好的社会效果。</w:t>
      </w:r>
      <w:r>
        <w:rPr>
          <w:rFonts w:hint="eastAsia" w:ascii="Times New Roman" w:hAnsi="Times New Roman" w:eastAsia="仿宋_GB2312" w:cs="Times New Roman"/>
          <w:b/>
          <w:bCs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三是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坚持以公开为常态、不公开为例外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，及时将行政执法人员清单、行政执法主体资格清单、随机抽查事项清单等在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政府门户网站等向社会公开。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5" w:firstLine="0"/>
        <w:textAlignment w:val="auto"/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、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  <w:t>党政主要负责人履行推进法治政府建设第一责任人职责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建立完善党组中心组学法制度，发挥“关键少数”的率先垂范作用，通过定期召开党组中心组学法、法治专题会议等，重点学习宪法、民法典、法律法规和党内法规，了解法治建设工作情况，研究法治建设重大事项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根据《盐池县卫健局干部职工学法制度》要求，局领导干部带头严格执行，采取自学与集中、线上与线下相结合的办法，规范化、常态化开展学法教育，班子成员进行学法讲座等。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5" w:firstLine="0"/>
        <w:textAlignment w:val="auto"/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、存在问题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  <w:t>及下一步打算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近年来，我局法治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政府建设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工作中虽然取得了一定的成绩，但也存在一些薄弱环节和不足之处，如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法治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宣传教育工作还不够全面和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创新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依靠发放宣传折页来进行宣传，结合具体案例开展宣传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不多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，宣传效果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有待提升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；社会执法面日趋复杂，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目前参与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执法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工作人员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仅有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15名，监督检查单位达到872家，涉及公共场所、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生活饮用水、放射卫生、医疗卫生、传染病防治、餐饮具消毒等多个领域，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在执法能力上还需提高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下一步，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我局继续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全面学习贯彻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习近平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法治思想、贯彻落实党的二十大精神，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继续完善行政决策机制，实施依法、科学和民主决策，同时扎实开展好普法宣传活动，健全法治宣传教育机制。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一是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进一步加大法律法规培训，用学习实践提高依法治教能力。深入开展法治理论和法治精神的学习教育，强化法治意识，加强法治精神的培育和提升，切实提高全县卫生健康系统干部职工法治思维和依法办事的能力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二是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进一步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规范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重大行政决策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程序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行政执法行为，确保决策科学、执法行为依法依规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三是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进一步加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大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对卫生健康法律法规宣传力度，通过多种形式、多种渠道宣传卫生健康法律法规和规章，提高群众卫生健康法律法规知识。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440" w:firstLineChars="17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440" w:firstLineChars="17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120" w:firstLineChars="16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盐池县卫生健康局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120" w:firstLineChars="16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年1月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（此件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公开发布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）</w:t>
      </w:r>
    </w:p>
    <w:p>
      <w:pPr>
        <w:rPr>
          <w:rFonts w:hint="default"/>
          <w:lang w:val="en-US" w:eastAsia="zh-CN"/>
        </w:rPr>
      </w:pPr>
    </w:p>
    <w:p>
      <w:pPr>
        <w:pStyle w:val="4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4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spacing w:line="560" w:lineRule="exact"/>
        <w:rPr>
          <w:rFonts w:hint="eastAsia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40640</wp:posOffset>
                </wp:positionH>
                <wp:positionV relativeFrom="paragraph">
                  <wp:posOffset>34290</wp:posOffset>
                </wp:positionV>
                <wp:extent cx="5600700" cy="0"/>
                <wp:effectExtent l="0" t="9525" r="0" b="9525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.2pt;margin-top:2.7pt;height:0pt;width:441pt;z-index:251664384;mso-width-relative:page;mso-height-relative:page;" filled="f" stroked="t" coordsize="21600,21600" o:gfxdata="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KB3MDrRAAAABQEAAA8AAAAAAAAAAQAgAAAAIgAAAGRycy9kb3ducmV2LnhtbFBLAQIUABQAAAAI&#10;AIdO4kBRXaLZ9AEAAOUDAAAOAAAAAAAAAAEAIAAAACABAABkcnMvZTJvRG9jLnhtbFBLBQYAAAAA&#10;BgAGAFkBAACGBQAAAAA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抄报：县人民政府</w:t>
      </w:r>
    </w:p>
    <w:p>
      <w:pPr>
        <w:spacing w:line="560" w:lineRule="exact"/>
        <w:ind w:firstLine="280" w:firstLineChars="100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抄送：县委全面依法治县委员会办公室</w:t>
      </w:r>
    </w:p>
    <w:p>
      <w:pPr>
        <w:spacing w:line="560" w:lineRule="exact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377190</wp:posOffset>
                </wp:positionV>
                <wp:extent cx="5600700" cy="0"/>
                <wp:effectExtent l="0" t="9525" r="0" b="9525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29.7pt;height:0pt;width:441pt;z-index:251663360;mso-width-relative:page;mso-height-relative:page;" filled="f" stroked="t" coordsize="21600,21600" o:gfxdata="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h37wPdMAAAAGAQAADwAAAAAAAAABACAAAAAiAAAAZHJzL2Rvd25yZXYueG1sUEsBAhQAFAAA&#10;AAgAh07iQMgZf7P0AQAA5QMAAA4AAAAAAAAAAQAgAAAAIgEAAGRycy9lMm9Eb2MueG1sUEsFBgAA&#10;AAAGAAYAWQEAAIgFAAAAAA=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5600700" cy="0"/>
                <wp:effectExtent l="0" t="9525" r="0" b="9525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.5pt;height:0pt;width:441pt;z-index:251662336;mso-width-relative:page;mso-height-relative:page;" filled="f" stroked="t" coordsize="21600,21600" o:gfxdata="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ORaxzvRAAAABAEAAA8AAAAAAAAAAQAgAAAAIgAAAGRycy9kb3ducmV2LnhtbFBLAQIUABQAAAAI&#10;AIdO4kAM6BSc9AEAAOUDAAAOAAAAAAAAAAEAIAAAACABAABkcnMvZTJvRG9jLnhtbFBLBQYAAAAA&#10;BgAGAFkBAACGBQAAAAA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000000"/>
        </w:rPr>
        <w:t xml:space="preserve">  </w:t>
      </w:r>
      <w:r>
        <w:rPr>
          <w:rFonts w:hint="eastAsia" w:ascii="Times New Roman" w:hAnsi="Times New Roman" w:eastAsia="仿宋_GB2312" w:cs="Times New Roman"/>
          <w:color w:val="000000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 xml:space="preserve">盐池县卫生健康局办公室    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 xml:space="preserve">  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 xml:space="preserve">     20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月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15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日印发</w:t>
      </w:r>
    </w:p>
    <w:sectPr>
      <w:headerReference r:id="rId3" w:type="default"/>
      <w:footerReference r:id="rId4" w:type="default"/>
      <w:pgSz w:w="11906" w:h="16838"/>
      <w:pgMar w:top="1417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Times New Roman" w:hAnsi="Times New Roman" w:cs="Times New Roman" w:eastAsia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Times New Roman" w:hAnsi="Times New Roman" w:cs="Times New Roman" w:eastAsia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xZWYzMGIwYjhkOWNhMjczZTVmNTkxYjA4MTNkODcifQ=="/>
  </w:docVars>
  <w:rsids>
    <w:rsidRoot w:val="5BF51C9F"/>
    <w:rsid w:val="03302948"/>
    <w:rsid w:val="0B0C10FF"/>
    <w:rsid w:val="0FBF6A20"/>
    <w:rsid w:val="10F20D97"/>
    <w:rsid w:val="138E5CAC"/>
    <w:rsid w:val="1ED63AA6"/>
    <w:rsid w:val="285F4B22"/>
    <w:rsid w:val="2BBD1CBD"/>
    <w:rsid w:val="2C443DF3"/>
    <w:rsid w:val="33A8380B"/>
    <w:rsid w:val="363F3AA5"/>
    <w:rsid w:val="373C7B1E"/>
    <w:rsid w:val="42BF46CD"/>
    <w:rsid w:val="43B27DC9"/>
    <w:rsid w:val="46115240"/>
    <w:rsid w:val="494D658F"/>
    <w:rsid w:val="4D716DF4"/>
    <w:rsid w:val="59F40CA9"/>
    <w:rsid w:val="5BF51C9F"/>
    <w:rsid w:val="5D543F38"/>
    <w:rsid w:val="5E8720EC"/>
    <w:rsid w:val="5F047242"/>
    <w:rsid w:val="630A6E47"/>
    <w:rsid w:val="67914D2C"/>
    <w:rsid w:val="6B5E3C65"/>
    <w:rsid w:val="74836D52"/>
    <w:rsid w:val="77BC475C"/>
    <w:rsid w:val="7C1903CF"/>
    <w:rsid w:val="7EE74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autoRedefine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paragraph" w:styleId="4">
    <w:name w:val="heading 4"/>
    <w:basedOn w:val="1"/>
    <w:next w:val="1"/>
    <w:autoRedefine/>
    <w:unhideWhenUsed/>
    <w:qFormat/>
    <w:uiPriority w:val="9"/>
    <w:pPr>
      <w:keepNext/>
      <w:keepLines/>
      <w:spacing w:before="280" w:beforeLines="0" w:after="290" w:afterLines="0" w:line="376" w:lineRule="auto"/>
      <w:outlineLvl w:val="3"/>
    </w:pPr>
    <w:rPr>
      <w:rFonts w:hint="eastAsia" w:ascii="Arial" w:hAnsi="Arial" w:eastAsia="黑体"/>
      <w:b/>
      <w:sz w:val="28"/>
      <w:szCs w:val="24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11">
    <w:name w:val="Strong"/>
    <w:basedOn w:val="10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2842</Words>
  <Characters>2923</Characters>
  <Lines>0</Lines>
  <Paragraphs>0</Paragraphs>
  <TotalTime>0</TotalTime>
  <ScaleCrop>false</ScaleCrop>
  <LinksUpToDate>false</LinksUpToDate>
  <CharactersWithSpaces>2966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2023-01-03T01:15:00Z</dcterms:created>
  <dc:creator>L。</dc:creator>
  <cp:lastModifiedBy>李半仙</cp:lastModifiedBy>
  <cp:lastPrinted>2024-01-10T07:40:00Z</cp:lastPrinted>
  <dcterms:modified xsi:type="dcterms:W3CDTF">2024-01-16T06:55:42Z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4BCAF2A64F35497BBCD435E9CE710510</vt:lpwstr>
  </property>
</Properties>
</file>