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附件1</w:t>
      </w:r>
    </w:p>
    <w:p>
      <w:pPr>
        <w:snapToGrid w:val="0"/>
        <w:spacing w:line="600" w:lineRule="exact"/>
        <w:rPr>
          <w:rFonts w:ascii="Times New Roman" w:hAnsi="Times New Roman" w:eastAsia="方正小标宋简体"/>
          <w:kern w:val="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盐池县2019年全县招商引资目标任务表</w:t>
      </w:r>
    </w:p>
    <w:bookmarkEnd w:id="0"/>
    <w:p>
      <w:pPr>
        <w:rPr>
          <w:rFonts w:ascii="Times New Roman" w:hAnsi="Times New Roman"/>
        </w:rPr>
      </w:pPr>
    </w:p>
    <w:tbl>
      <w:tblPr>
        <w:tblStyle w:val="2"/>
        <w:tblpPr w:leftFromText="180" w:rightFromText="180" w:vertAnchor="text" w:horzAnchor="page" w:tblpX="1331" w:tblpY="797"/>
        <w:tblOverlap w:val="never"/>
        <w:tblW w:w="93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561"/>
        <w:gridCol w:w="4296"/>
        <w:gridCol w:w="1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产业类型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责任单位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（11个）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目标任务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（800000）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新能源配套及油气化工、精深加工等工业类产业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园区管委会、发改局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农牧类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农业农村局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资源能源及配套产业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资能中心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商会、协会来盐投资类产业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工商联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文化旅游类产业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文广局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城市及基础设施建设类产业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住建局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自然资源类产业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自然资源局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环保类产业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吴忠市生态环境局盐池分局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非公经济类产业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非公中心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以甘草为主的中药材及科研类产业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仿宋_GB2312" w:eastAsia="仿宋_GB2312"/>
                <w:kern w:val="0"/>
                <w:sz w:val="24"/>
              </w:rPr>
              <w:t>科技局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30000</w:t>
            </w:r>
          </w:p>
        </w:tc>
      </w:tr>
    </w:tbl>
    <w:p>
      <w:pPr>
        <w:tabs>
          <w:tab w:val="left" w:pos="7065"/>
        </w:tabs>
        <w:ind w:firstLine="7000" w:firstLineChars="25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仿宋_GB2312" w:eastAsia="仿宋_GB2312"/>
          <w:kern w:val="0"/>
          <w:sz w:val="28"/>
          <w:szCs w:val="28"/>
        </w:rPr>
        <w:t>单位：万元</w:t>
      </w:r>
    </w:p>
    <w:p>
      <w:pPr>
        <w:spacing w:line="48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630A3"/>
    <w:rsid w:val="0EF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2019-06-19T10:10:00Z</dcterms:created>
  <dc:creator>FS、稻花香、</dc:creator>
  <cp:lastModifiedBy>FS、稻花香、</cp:lastModifiedBy>
  <dcterms:modified xsi:type="dcterms:W3CDTF">2019-06-19T10:11:36Z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