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22686">
      <w:pPr>
        <w:shd w:val="clear" w:color="auto" w:fill="FFFFFF"/>
        <w:spacing w:line="560" w:lineRule="exact"/>
        <w:jc w:val="center"/>
        <w:rPr>
          <w:rFonts w:hint="eastAsia" w:ascii="Times New Roman" w:hAnsi="Times New Roman" w:eastAsia="方正小标宋简体" w:cs="方正小标宋简体"/>
          <w:color w:val="000000"/>
          <w:kern w:val="0"/>
          <w:sz w:val="44"/>
          <w:szCs w:val="44"/>
        </w:rPr>
      </w:pPr>
      <w:bookmarkStart w:id="0" w:name="_GoBack"/>
      <w:r>
        <w:rPr>
          <w:rFonts w:hint="eastAsia" w:ascii="Times New Roman" w:hAnsi="Times New Roman" w:eastAsia="方正小标宋简体" w:cs="方正小标宋简体"/>
          <w:color w:val="000000"/>
          <w:kern w:val="0"/>
          <w:sz w:val="44"/>
          <w:szCs w:val="44"/>
        </w:rPr>
        <w:t>盐池县本级行政事项合法性审查</w:t>
      </w:r>
    </w:p>
    <w:p w14:paraId="5DAA3CA7">
      <w:pPr>
        <w:shd w:val="clear" w:color="auto" w:fill="FFFFFF"/>
        <w:spacing w:line="560" w:lineRule="exact"/>
        <w:jc w:val="center"/>
        <w:rPr>
          <w:rFonts w:ascii="Times New Roman" w:hAnsi="Times New Roman" w:eastAsia="方正小标宋简体" w:cs="方正小标宋简体"/>
          <w:color w:val="000000"/>
          <w:kern w:val="0"/>
          <w:sz w:val="44"/>
          <w:szCs w:val="44"/>
        </w:rPr>
      </w:pPr>
      <w:r>
        <w:rPr>
          <w:rFonts w:hint="eastAsia" w:ascii="Times New Roman" w:hAnsi="Times New Roman" w:eastAsia="方正小标宋简体" w:cs="方正小标宋简体"/>
          <w:color w:val="000000"/>
          <w:kern w:val="0"/>
          <w:sz w:val="44"/>
          <w:szCs w:val="44"/>
        </w:rPr>
        <w:t>指导目录清单</w:t>
      </w:r>
    </w:p>
    <w:bookmarkEnd w:id="0"/>
    <w:p w14:paraId="63425AFB">
      <w:pPr>
        <w:widowControl/>
        <w:spacing w:line="580" w:lineRule="exact"/>
        <w:ind w:firstLine="640" w:firstLineChars="200"/>
        <w:rPr>
          <w:rFonts w:ascii="Times New Roman" w:hAnsi="Times New Roman" w:eastAsia="黑体" w:cs="黑体"/>
          <w:color w:val="333333"/>
          <w:kern w:val="0"/>
          <w:sz w:val="32"/>
          <w:szCs w:val="32"/>
          <w:shd w:val="clear" w:color="auto" w:fill="FFFFFF"/>
        </w:rPr>
      </w:pPr>
    </w:p>
    <w:p w14:paraId="6F1AC0F3">
      <w:pPr>
        <w:widowControl/>
        <w:spacing w:line="580" w:lineRule="exact"/>
        <w:ind w:firstLine="640" w:firstLineChars="200"/>
        <w:rPr>
          <w:rFonts w:ascii="Times New Roman" w:hAnsi="Times New Roman" w:eastAsia="黑体" w:cs="黑体"/>
          <w:color w:val="000000"/>
          <w:kern w:val="0"/>
          <w:sz w:val="32"/>
          <w:szCs w:val="32"/>
          <w:shd w:val="clear" w:color="auto" w:fill="FFFFFF"/>
        </w:rPr>
      </w:pPr>
      <w:r>
        <w:rPr>
          <w:rFonts w:hint="eastAsia" w:ascii="Times New Roman" w:hAnsi="Times New Roman" w:eastAsia="黑体" w:cs="黑体"/>
          <w:color w:val="333333"/>
          <w:kern w:val="0"/>
          <w:sz w:val="32"/>
          <w:szCs w:val="32"/>
          <w:shd w:val="clear" w:color="auto" w:fill="FFFFFF"/>
        </w:rPr>
        <w:t>一、</w:t>
      </w:r>
      <w:r>
        <w:rPr>
          <w:rFonts w:ascii="Times New Roman" w:hAnsi="Times New Roman" w:eastAsia="黑体" w:cs="黑体"/>
          <w:color w:val="000000"/>
          <w:kern w:val="0"/>
          <w:sz w:val="32"/>
          <w:szCs w:val="32"/>
          <w:shd w:val="clear" w:color="auto" w:fill="FFFFFF"/>
        </w:rPr>
        <w:t>行政规范性文件</w:t>
      </w:r>
    </w:p>
    <w:p w14:paraId="6E8CFAEB">
      <w:pPr>
        <w:widowControl/>
        <w:spacing w:line="580" w:lineRule="exact"/>
        <w:ind w:firstLine="620" w:firstLineChars="200"/>
        <w:rPr>
          <w:rFonts w:ascii="Times New Roman" w:hAnsi="Times New Roman" w:eastAsia="仿宋_GB2312" w:cs="黑体"/>
          <w:color w:val="000000"/>
          <w:kern w:val="0"/>
          <w:sz w:val="32"/>
          <w:szCs w:val="32"/>
          <w:shd w:val="clear" w:color="auto" w:fill="FFFFFF"/>
        </w:rPr>
      </w:pPr>
      <w:r>
        <w:rPr>
          <w:rFonts w:hint="eastAsia" w:ascii="Times New Roman" w:hAnsi="Times New Roman" w:eastAsia="仿宋_GB2312" w:cs="仿宋_GB2312"/>
          <w:b/>
          <w:color w:val="333333"/>
          <w:kern w:val="0"/>
          <w:sz w:val="31"/>
          <w:szCs w:val="31"/>
          <w:shd w:val="clear" w:color="auto" w:fill="FFFFFF"/>
        </w:rPr>
        <w:t>依据：</w:t>
      </w:r>
      <w:r>
        <w:rPr>
          <w:rFonts w:hint="eastAsia" w:ascii="Times New Roman" w:hAnsi="Times New Roman" w:eastAsia="仿宋_GB2312" w:cs="仿宋_GB2312"/>
          <w:color w:val="333333"/>
          <w:kern w:val="0"/>
          <w:sz w:val="31"/>
          <w:szCs w:val="31"/>
          <w:shd w:val="clear" w:color="auto" w:fill="FFFFFF"/>
        </w:rPr>
        <w:t>《宁夏回族自治区行政规范性文件合法性审核办法》（宁政办发〔2023〕10号）、《自治区人民政府办公厅关于实施行政规范性文件“三统一”和有效期制度的通知》（宁政办发〔2017〕168号）、吴忠市人民政府办公室关于印发《关于全面推行行政规范性文件合法性审核机制的实施方案》《吴忠市人民政府行政规范性文件合法性审核工作流程》《吴忠市人民政府涉法事务法制审核工作流程》的通知（吴政办发〔2019〕38号）。</w:t>
      </w:r>
    </w:p>
    <w:tbl>
      <w:tblPr>
        <w:tblStyle w:val="1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727"/>
        <w:gridCol w:w="1849"/>
        <w:gridCol w:w="6290"/>
      </w:tblGrid>
      <w:tr w14:paraId="6AAC29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727" w:type="dxa"/>
            <w:tcBorders>
              <w:top w:val="single" w:color="auto" w:sz="6" w:space="0"/>
              <w:left w:val="single" w:color="auto" w:sz="6" w:space="0"/>
              <w:bottom w:val="single" w:color="auto" w:sz="6" w:space="0"/>
              <w:right w:val="single" w:color="auto" w:sz="6" w:space="0"/>
            </w:tcBorders>
            <w:shd w:val="clear" w:color="auto" w:fill="auto"/>
            <w:tcMar>
              <w:left w:w="15" w:type="dxa"/>
              <w:right w:w="15" w:type="dxa"/>
            </w:tcMar>
            <w:vAlign w:val="center"/>
          </w:tcPr>
          <w:p w14:paraId="6480EA26">
            <w:pPr>
              <w:spacing w:line="315" w:lineRule="atLeast"/>
              <w:jc w:val="center"/>
              <w:textAlignment w:val="center"/>
              <w:rPr>
                <w:rFonts w:ascii="Times New Roman" w:hAnsi="Times New Roman" w:eastAsia="国标黑体" w:cs="国标黑体"/>
                <w:kern w:val="0"/>
                <w:sz w:val="24"/>
              </w:rPr>
            </w:pPr>
            <w:r>
              <w:rPr>
                <w:rFonts w:hint="eastAsia" w:ascii="Times New Roman" w:hAnsi="Times New Roman" w:eastAsia="国标黑体" w:cs="国标黑体"/>
                <w:color w:val="000000"/>
                <w:kern w:val="0"/>
                <w:szCs w:val="21"/>
              </w:rPr>
              <w:t>序号</w:t>
            </w:r>
          </w:p>
        </w:tc>
        <w:tc>
          <w:tcPr>
            <w:tcW w:w="1849" w:type="dxa"/>
            <w:tcBorders>
              <w:top w:val="single" w:color="auto" w:sz="6" w:space="0"/>
              <w:left w:val="nil"/>
              <w:bottom w:val="single" w:color="auto" w:sz="6" w:space="0"/>
              <w:right w:val="single" w:color="auto" w:sz="6" w:space="0"/>
            </w:tcBorders>
            <w:shd w:val="clear" w:color="auto" w:fill="auto"/>
            <w:tcMar>
              <w:left w:w="15" w:type="dxa"/>
              <w:right w:w="15" w:type="dxa"/>
            </w:tcMar>
            <w:vAlign w:val="center"/>
          </w:tcPr>
          <w:p w14:paraId="7603A98F">
            <w:pPr>
              <w:spacing w:line="315" w:lineRule="atLeast"/>
              <w:jc w:val="center"/>
              <w:textAlignment w:val="center"/>
              <w:rPr>
                <w:rFonts w:ascii="Times New Roman" w:hAnsi="Times New Roman" w:eastAsia="国标黑体" w:cs="国标黑体"/>
                <w:kern w:val="0"/>
                <w:sz w:val="24"/>
              </w:rPr>
            </w:pPr>
            <w:r>
              <w:rPr>
                <w:rFonts w:hint="eastAsia" w:ascii="Times New Roman" w:hAnsi="Times New Roman" w:eastAsia="国标黑体" w:cs="国标黑体"/>
                <w:color w:val="000000"/>
                <w:kern w:val="0"/>
                <w:szCs w:val="21"/>
              </w:rPr>
              <w:t>事项名称</w:t>
            </w:r>
          </w:p>
        </w:tc>
        <w:tc>
          <w:tcPr>
            <w:tcW w:w="6290" w:type="dxa"/>
            <w:tcBorders>
              <w:top w:val="single" w:color="auto" w:sz="6" w:space="0"/>
              <w:left w:val="nil"/>
              <w:bottom w:val="single" w:color="auto" w:sz="6" w:space="0"/>
              <w:right w:val="single" w:color="auto" w:sz="6" w:space="0"/>
            </w:tcBorders>
            <w:shd w:val="clear" w:color="auto" w:fill="auto"/>
            <w:tcMar>
              <w:left w:w="15" w:type="dxa"/>
              <w:right w:w="15" w:type="dxa"/>
            </w:tcMar>
            <w:vAlign w:val="center"/>
          </w:tcPr>
          <w:p w14:paraId="32D38171">
            <w:pPr>
              <w:spacing w:line="315" w:lineRule="atLeast"/>
              <w:jc w:val="center"/>
              <w:textAlignment w:val="center"/>
              <w:rPr>
                <w:rFonts w:ascii="Times New Roman" w:hAnsi="Times New Roman" w:eastAsia="国标黑体" w:cs="国标黑体"/>
                <w:kern w:val="0"/>
                <w:sz w:val="24"/>
              </w:rPr>
            </w:pPr>
            <w:r>
              <w:rPr>
                <w:rFonts w:hint="eastAsia" w:ascii="Times New Roman" w:hAnsi="Times New Roman" w:eastAsia="国标黑体" w:cs="国标黑体"/>
                <w:color w:val="000000"/>
                <w:kern w:val="0"/>
                <w:szCs w:val="21"/>
              </w:rPr>
              <w:t>具体示例</w:t>
            </w:r>
          </w:p>
        </w:tc>
      </w:tr>
      <w:tr w14:paraId="0866F3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727" w:type="dxa"/>
            <w:tcBorders>
              <w:top w:val="nil"/>
              <w:left w:val="single" w:color="auto" w:sz="6" w:space="0"/>
              <w:bottom w:val="single" w:color="auto" w:sz="6" w:space="0"/>
              <w:right w:val="single" w:color="auto" w:sz="6" w:space="0"/>
            </w:tcBorders>
            <w:shd w:val="clear" w:color="auto" w:fill="auto"/>
            <w:tcMar>
              <w:left w:w="15" w:type="dxa"/>
              <w:right w:w="15" w:type="dxa"/>
            </w:tcMar>
            <w:vAlign w:val="center"/>
          </w:tcPr>
          <w:p w14:paraId="79064F45">
            <w:pPr>
              <w:spacing w:line="315" w:lineRule="atLeast"/>
              <w:jc w:val="center"/>
              <w:textAlignment w:val="center"/>
              <w:rPr>
                <w:rFonts w:ascii="Times New Roman" w:hAnsi="Times New Roman" w:eastAsia="宋体" w:cs="Times New Roman"/>
                <w:kern w:val="0"/>
                <w:sz w:val="24"/>
              </w:rPr>
            </w:pPr>
            <w:r>
              <w:rPr>
                <w:rFonts w:ascii="Times New Roman" w:hAnsi="Times New Roman" w:eastAsia="宋体" w:cs="Times New Roman"/>
                <w:color w:val="000000"/>
                <w:kern w:val="0"/>
                <w:szCs w:val="21"/>
              </w:rPr>
              <w:t>1</w:t>
            </w:r>
          </w:p>
        </w:tc>
        <w:tc>
          <w:tcPr>
            <w:tcW w:w="1849" w:type="dxa"/>
            <w:tcBorders>
              <w:top w:val="nil"/>
              <w:left w:val="nil"/>
              <w:bottom w:val="single" w:color="auto" w:sz="6" w:space="0"/>
              <w:right w:val="single" w:color="auto" w:sz="6" w:space="0"/>
            </w:tcBorders>
            <w:shd w:val="clear" w:color="auto" w:fill="auto"/>
            <w:tcMar>
              <w:left w:w="15" w:type="dxa"/>
              <w:right w:w="15" w:type="dxa"/>
            </w:tcMar>
            <w:vAlign w:val="center"/>
          </w:tcPr>
          <w:p w14:paraId="25B1B6EB">
            <w:pPr>
              <w:spacing w:line="315" w:lineRule="atLeas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产业发展类文件</w:t>
            </w:r>
          </w:p>
        </w:tc>
        <w:tc>
          <w:tcPr>
            <w:tcW w:w="6290" w:type="dxa"/>
            <w:tcBorders>
              <w:top w:val="nil"/>
              <w:left w:val="nil"/>
              <w:bottom w:val="single" w:color="auto" w:sz="6" w:space="0"/>
              <w:right w:val="single" w:color="auto" w:sz="6" w:space="0"/>
            </w:tcBorders>
            <w:shd w:val="clear" w:color="auto" w:fill="auto"/>
            <w:tcMar>
              <w:left w:w="15" w:type="dxa"/>
              <w:right w:w="15" w:type="dxa"/>
            </w:tcMar>
            <w:vAlign w:val="center"/>
          </w:tcPr>
          <w:p w14:paraId="47A27715">
            <w:pPr>
              <w:spacing w:line="315" w:lineRule="atLeast"/>
              <w:jc w:val="left"/>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例如产业高质量发展、产业扶持、产业奖励补贴、招商引资、金融规范整治等方面的文件。</w:t>
            </w:r>
          </w:p>
        </w:tc>
      </w:tr>
      <w:tr w14:paraId="7C0E3A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727" w:type="dxa"/>
            <w:tcBorders>
              <w:top w:val="nil"/>
              <w:left w:val="single" w:color="auto" w:sz="6" w:space="0"/>
              <w:bottom w:val="single" w:color="auto" w:sz="6" w:space="0"/>
              <w:right w:val="single" w:color="auto" w:sz="6" w:space="0"/>
            </w:tcBorders>
            <w:shd w:val="clear" w:color="auto" w:fill="auto"/>
            <w:tcMar>
              <w:left w:w="15" w:type="dxa"/>
              <w:right w:w="15" w:type="dxa"/>
            </w:tcMar>
            <w:vAlign w:val="center"/>
          </w:tcPr>
          <w:p w14:paraId="5ADF2716">
            <w:pPr>
              <w:spacing w:line="315" w:lineRule="atLeast"/>
              <w:jc w:val="center"/>
              <w:textAlignment w:val="center"/>
              <w:rPr>
                <w:rFonts w:ascii="Times New Roman" w:hAnsi="Times New Roman" w:eastAsia="宋体" w:cs="Times New Roman"/>
                <w:kern w:val="0"/>
                <w:sz w:val="24"/>
              </w:rPr>
            </w:pPr>
            <w:r>
              <w:rPr>
                <w:rFonts w:ascii="Times New Roman" w:hAnsi="Times New Roman" w:eastAsia="宋体" w:cs="Times New Roman"/>
                <w:color w:val="000000"/>
                <w:kern w:val="0"/>
                <w:szCs w:val="21"/>
              </w:rPr>
              <w:t>2</w:t>
            </w:r>
          </w:p>
        </w:tc>
        <w:tc>
          <w:tcPr>
            <w:tcW w:w="1849" w:type="dxa"/>
            <w:tcBorders>
              <w:top w:val="nil"/>
              <w:left w:val="nil"/>
              <w:bottom w:val="single" w:color="auto" w:sz="6" w:space="0"/>
              <w:right w:val="single" w:color="auto" w:sz="6" w:space="0"/>
            </w:tcBorders>
            <w:shd w:val="clear" w:color="auto" w:fill="auto"/>
            <w:tcMar>
              <w:left w:w="15" w:type="dxa"/>
              <w:right w:w="15" w:type="dxa"/>
            </w:tcMar>
            <w:vAlign w:val="center"/>
          </w:tcPr>
          <w:p w14:paraId="7A19BC31">
            <w:pPr>
              <w:spacing w:line="315" w:lineRule="atLeas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财政管理类文件</w:t>
            </w:r>
          </w:p>
        </w:tc>
        <w:tc>
          <w:tcPr>
            <w:tcW w:w="6290" w:type="dxa"/>
            <w:tcBorders>
              <w:top w:val="nil"/>
              <w:left w:val="nil"/>
              <w:bottom w:val="single" w:color="auto" w:sz="6" w:space="0"/>
              <w:right w:val="single" w:color="auto" w:sz="6" w:space="0"/>
            </w:tcBorders>
            <w:shd w:val="clear" w:color="auto" w:fill="auto"/>
            <w:tcMar>
              <w:left w:w="15" w:type="dxa"/>
              <w:right w:w="15" w:type="dxa"/>
            </w:tcMar>
            <w:vAlign w:val="center"/>
          </w:tcPr>
          <w:p w14:paraId="7925F17E">
            <w:pPr>
              <w:spacing w:line="315" w:lineRule="atLeast"/>
              <w:jc w:val="left"/>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例如建设投资、编制预算草案、债务计划、国有房产集中管理等方面的文件。</w:t>
            </w:r>
          </w:p>
        </w:tc>
      </w:tr>
      <w:tr w14:paraId="6D58D5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727" w:type="dxa"/>
            <w:tcBorders>
              <w:top w:val="nil"/>
              <w:left w:val="single" w:color="auto" w:sz="6" w:space="0"/>
              <w:bottom w:val="single" w:color="auto" w:sz="6" w:space="0"/>
              <w:right w:val="single" w:color="auto" w:sz="6" w:space="0"/>
            </w:tcBorders>
            <w:shd w:val="clear" w:color="auto" w:fill="auto"/>
            <w:tcMar>
              <w:left w:w="15" w:type="dxa"/>
              <w:right w:w="15" w:type="dxa"/>
            </w:tcMar>
            <w:vAlign w:val="center"/>
          </w:tcPr>
          <w:p w14:paraId="4D855CF8">
            <w:pPr>
              <w:spacing w:line="315" w:lineRule="atLeast"/>
              <w:jc w:val="center"/>
              <w:textAlignment w:val="center"/>
              <w:rPr>
                <w:rFonts w:ascii="Times New Roman" w:hAnsi="Times New Roman" w:eastAsia="宋体" w:cs="Times New Roman"/>
                <w:kern w:val="0"/>
                <w:sz w:val="24"/>
              </w:rPr>
            </w:pPr>
            <w:r>
              <w:rPr>
                <w:rFonts w:ascii="Times New Roman" w:hAnsi="Times New Roman" w:eastAsia="宋体" w:cs="Times New Roman"/>
                <w:color w:val="000000"/>
                <w:kern w:val="0"/>
                <w:szCs w:val="21"/>
              </w:rPr>
              <w:t>3</w:t>
            </w:r>
          </w:p>
        </w:tc>
        <w:tc>
          <w:tcPr>
            <w:tcW w:w="1849" w:type="dxa"/>
            <w:tcBorders>
              <w:top w:val="nil"/>
              <w:left w:val="nil"/>
              <w:bottom w:val="single" w:color="auto" w:sz="6" w:space="0"/>
              <w:right w:val="single" w:color="auto" w:sz="6" w:space="0"/>
            </w:tcBorders>
            <w:shd w:val="clear" w:color="auto" w:fill="auto"/>
            <w:tcMar>
              <w:left w:w="15" w:type="dxa"/>
              <w:right w:w="15" w:type="dxa"/>
            </w:tcMar>
            <w:vAlign w:val="center"/>
          </w:tcPr>
          <w:p w14:paraId="60A73696">
            <w:pPr>
              <w:spacing w:line="315" w:lineRule="atLeas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营商环境类文件</w:t>
            </w:r>
          </w:p>
        </w:tc>
        <w:tc>
          <w:tcPr>
            <w:tcW w:w="6290" w:type="dxa"/>
            <w:tcBorders>
              <w:top w:val="nil"/>
              <w:left w:val="nil"/>
              <w:bottom w:val="single" w:color="auto" w:sz="6" w:space="0"/>
              <w:right w:val="single" w:color="auto" w:sz="6" w:space="0"/>
            </w:tcBorders>
            <w:shd w:val="clear" w:color="auto" w:fill="auto"/>
            <w:tcMar>
              <w:left w:w="15" w:type="dxa"/>
              <w:right w:w="15" w:type="dxa"/>
            </w:tcMar>
            <w:vAlign w:val="center"/>
          </w:tcPr>
          <w:p w14:paraId="0CF31555">
            <w:pPr>
              <w:spacing w:line="315" w:lineRule="atLeast"/>
              <w:jc w:val="left"/>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例如惠企服务、助企纾困、企业监管服务等方面的文件。</w:t>
            </w:r>
          </w:p>
        </w:tc>
      </w:tr>
      <w:tr w14:paraId="3F8AF6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727" w:type="dxa"/>
            <w:tcBorders>
              <w:top w:val="nil"/>
              <w:left w:val="single" w:color="auto" w:sz="6" w:space="0"/>
              <w:bottom w:val="single" w:color="auto" w:sz="6" w:space="0"/>
              <w:right w:val="single" w:color="auto" w:sz="6" w:space="0"/>
            </w:tcBorders>
            <w:shd w:val="clear" w:color="auto" w:fill="auto"/>
            <w:tcMar>
              <w:left w:w="15" w:type="dxa"/>
              <w:right w:w="15" w:type="dxa"/>
            </w:tcMar>
            <w:vAlign w:val="center"/>
          </w:tcPr>
          <w:p w14:paraId="745F2CA7">
            <w:pPr>
              <w:spacing w:line="315" w:lineRule="atLeast"/>
              <w:jc w:val="center"/>
              <w:textAlignment w:val="center"/>
              <w:rPr>
                <w:rFonts w:ascii="Times New Roman" w:hAnsi="Times New Roman" w:eastAsia="宋体" w:cs="Times New Roman"/>
                <w:kern w:val="0"/>
                <w:sz w:val="24"/>
              </w:rPr>
            </w:pPr>
            <w:r>
              <w:rPr>
                <w:rFonts w:ascii="Times New Roman" w:hAnsi="Times New Roman" w:eastAsia="宋体" w:cs="Times New Roman"/>
                <w:color w:val="000000"/>
                <w:kern w:val="0"/>
                <w:szCs w:val="21"/>
              </w:rPr>
              <w:t>4</w:t>
            </w:r>
          </w:p>
        </w:tc>
        <w:tc>
          <w:tcPr>
            <w:tcW w:w="1849" w:type="dxa"/>
            <w:tcBorders>
              <w:top w:val="nil"/>
              <w:left w:val="nil"/>
              <w:bottom w:val="single" w:color="auto" w:sz="6" w:space="0"/>
              <w:right w:val="single" w:color="auto" w:sz="6" w:space="0"/>
            </w:tcBorders>
            <w:shd w:val="clear" w:color="auto" w:fill="auto"/>
            <w:tcMar>
              <w:left w:w="15" w:type="dxa"/>
              <w:right w:w="15" w:type="dxa"/>
            </w:tcMar>
            <w:vAlign w:val="center"/>
          </w:tcPr>
          <w:p w14:paraId="71CE2638">
            <w:pPr>
              <w:spacing w:line="315" w:lineRule="atLeas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乡村振兴类文件</w:t>
            </w:r>
          </w:p>
        </w:tc>
        <w:tc>
          <w:tcPr>
            <w:tcW w:w="6290" w:type="dxa"/>
            <w:tcBorders>
              <w:top w:val="nil"/>
              <w:left w:val="nil"/>
              <w:bottom w:val="single" w:color="auto" w:sz="6" w:space="0"/>
              <w:right w:val="single" w:color="auto" w:sz="6" w:space="0"/>
            </w:tcBorders>
            <w:shd w:val="clear" w:color="auto" w:fill="auto"/>
            <w:tcMar>
              <w:left w:w="15" w:type="dxa"/>
              <w:right w:w="15" w:type="dxa"/>
            </w:tcMar>
            <w:vAlign w:val="center"/>
          </w:tcPr>
          <w:p w14:paraId="6C836C3B">
            <w:pPr>
              <w:spacing w:line="315" w:lineRule="atLeast"/>
              <w:jc w:val="left"/>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例如农业农村高质量发展、美丽乡村建设、闲置农房盘活、农村产权交易管理等方面的文件。</w:t>
            </w:r>
          </w:p>
        </w:tc>
      </w:tr>
      <w:tr w14:paraId="06D15D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727" w:type="dxa"/>
            <w:tcBorders>
              <w:top w:val="nil"/>
              <w:left w:val="single" w:color="auto" w:sz="6" w:space="0"/>
              <w:bottom w:val="single" w:color="auto" w:sz="4" w:space="0"/>
              <w:right w:val="single" w:color="auto" w:sz="6" w:space="0"/>
            </w:tcBorders>
            <w:shd w:val="clear" w:color="auto" w:fill="auto"/>
            <w:tcMar>
              <w:left w:w="15" w:type="dxa"/>
              <w:right w:w="15" w:type="dxa"/>
            </w:tcMar>
            <w:vAlign w:val="center"/>
          </w:tcPr>
          <w:p w14:paraId="239A7808">
            <w:pPr>
              <w:spacing w:line="315" w:lineRule="atLeast"/>
              <w:jc w:val="center"/>
              <w:textAlignment w:val="center"/>
              <w:rPr>
                <w:rFonts w:ascii="Times New Roman" w:hAnsi="Times New Roman" w:eastAsia="宋体" w:cs="Times New Roman"/>
                <w:kern w:val="0"/>
                <w:sz w:val="24"/>
              </w:rPr>
            </w:pPr>
            <w:r>
              <w:rPr>
                <w:rFonts w:ascii="Times New Roman" w:hAnsi="Times New Roman" w:eastAsia="宋体" w:cs="Times New Roman"/>
                <w:color w:val="000000"/>
                <w:kern w:val="0"/>
                <w:szCs w:val="21"/>
              </w:rPr>
              <w:t>5</w:t>
            </w:r>
          </w:p>
        </w:tc>
        <w:tc>
          <w:tcPr>
            <w:tcW w:w="1849" w:type="dxa"/>
            <w:tcBorders>
              <w:top w:val="nil"/>
              <w:left w:val="nil"/>
              <w:bottom w:val="single" w:color="auto" w:sz="4" w:space="0"/>
              <w:right w:val="single" w:color="auto" w:sz="6" w:space="0"/>
            </w:tcBorders>
            <w:shd w:val="clear" w:color="auto" w:fill="auto"/>
            <w:tcMar>
              <w:left w:w="15" w:type="dxa"/>
              <w:right w:w="15" w:type="dxa"/>
            </w:tcMar>
            <w:vAlign w:val="center"/>
          </w:tcPr>
          <w:p w14:paraId="63955D00">
            <w:pPr>
              <w:spacing w:line="315" w:lineRule="atLeas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城市建设</w:t>
            </w:r>
          </w:p>
          <w:p w14:paraId="166C8B8C">
            <w:pPr>
              <w:spacing w:line="315" w:lineRule="atLeas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管理类文件</w:t>
            </w:r>
          </w:p>
        </w:tc>
        <w:tc>
          <w:tcPr>
            <w:tcW w:w="6290" w:type="dxa"/>
            <w:tcBorders>
              <w:top w:val="nil"/>
              <w:left w:val="nil"/>
              <w:bottom w:val="single" w:color="auto" w:sz="4" w:space="0"/>
              <w:right w:val="single" w:color="auto" w:sz="6" w:space="0"/>
            </w:tcBorders>
            <w:shd w:val="clear" w:color="auto" w:fill="auto"/>
            <w:tcMar>
              <w:left w:w="15" w:type="dxa"/>
              <w:right w:w="15" w:type="dxa"/>
            </w:tcMar>
            <w:vAlign w:val="center"/>
          </w:tcPr>
          <w:p w14:paraId="28A5C50E">
            <w:pPr>
              <w:spacing w:line="315" w:lineRule="atLeast"/>
              <w:jc w:val="left"/>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例如老旧小区改造、物业管理、市政设施管理、市容环卫、园林绿化、违法建筑处置、土地房屋征收补偿安置等方面的文件。</w:t>
            </w:r>
          </w:p>
        </w:tc>
      </w:tr>
      <w:tr w14:paraId="738071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727" w:type="dxa"/>
            <w:tcBorders>
              <w:top w:val="single" w:color="auto" w:sz="4" w:space="0"/>
              <w:left w:val="single" w:color="auto" w:sz="4" w:space="0"/>
              <w:bottom w:val="single" w:color="auto" w:sz="4" w:space="0"/>
              <w:right w:val="single" w:color="auto" w:sz="6" w:space="0"/>
            </w:tcBorders>
            <w:shd w:val="clear" w:color="auto" w:fill="auto"/>
            <w:tcMar>
              <w:left w:w="15" w:type="dxa"/>
              <w:right w:w="15" w:type="dxa"/>
            </w:tcMar>
            <w:vAlign w:val="center"/>
          </w:tcPr>
          <w:p w14:paraId="77B73A7D">
            <w:pPr>
              <w:spacing w:line="315" w:lineRule="atLeast"/>
              <w:jc w:val="center"/>
              <w:textAlignment w:val="center"/>
              <w:rPr>
                <w:rFonts w:ascii="Times New Roman" w:hAnsi="Times New Roman" w:eastAsia="宋体" w:cs="Times New Roman"/>
                <w:kern w:val="0"/>
                <w:sz w:val="24"/>
              </w:rPr>
            </w:pPr>
            <w:r>
              <w:rPr>
                <w:rFonts w:ascii="Times New Roman" w:hAnsi="Times New Roman" w:eastAsia="宋体" w:cs="Times New Roman"/>
                <w:color w:val="000000"/>
                <w:kern w:val="0"/>
                <w:szCs w:val="21"/>
              </w:rPr>
              <w:t>6</w:t>
            </w:r>
          </w:p>
        </w:tc>
        <w:tc>
          <w:tcPr>
            <w:tcW w:w="1849" w:type="dxa"/>
            <w:tcBorders>
              <w:top w:val="single" w:color="auto" w:sz="4" w:space="0"/>
              <w:left w:val="nil"/>
              <w:bottom w:val="single" w:color="auto" w:sz="4" w:space="0"/>
              <w:right w:val="single" w:color="auto" w:sz="6" w:space="0"/>
            </w:tcBorders>
            <w:shd w:val="clear" w:color="auto" w:fill="auto"/>
            <w:tcMar>
              <w:left w:w="15" w:type="dxa"/>
              <w:right w:w="15" w:type="dxa"/>
            </w:tcMar>
            <w:vAlign w:val="center"/>
          </w:tcPr>
          <w:p w14:paraId="0885B354">
            <w:pPr>
              <w:spacing w:line="315" w:lineRule="atLeas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应急管理类文件</w:t>
            </w:r>
          </w:p>
        </w:tc>
        <w:tc>
          <w:tcPr>
            <w:tcW w:w="6290" w:type="dxa"/>
            <w:tcBorders>
              <w:top w:val="single" w:color="auto" w:sz="4" w:space="0"/>
              <w:left w:val="nil"/>
              <w:bottom w:val="single" w:color="auto" w:sz="4" w:space="0"/>
              <w:right w:val="single" w:color="auto" w:sz="4" w:space="0"/>
            </w:tcBorders>
            <w:shd w:val="clear" w:color="auto" w:fill="auto"/>
            <w:tcMar>
              <w:left w:w="15" w:type="dxa"/>
              <w:right w:w="15" w:type="dxa"/>
            </w:tcMar>
            <w:vAlign w:val="center"/>
          </w:tcPr>
          <w:p w14:paraId="2E3037C9">
            <w:pPr>
              <w:spacing w:line="315" w:lineRule="atLeast"/>
              <w:jc w:val="left"/>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例如突发事件应急、安全生产监管、消防安全监管、危化品安全治理、安全生产举报奖励等方面的文件。</w:t>
            </w:r>
          </w:p>
        </w:tc>
      </w:tr>
      <w:tr w14:paraId="0B08D9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727" w:type="dxa"/>
            <w:tcBorders>
              <w:top w:val="single" w:color="auto" w:sz="4" w:space="0"/>
              <w:left w:val="single" w:color="auto" w:sz="4" w:space="0"/>
              <w:bottom w:val="single" w:color="auto" w:sz="4" w:space="0"/>
              <w:right w:val="single" w:color="auto" w:sz="6" w:space="0"/>
            </w:tcBorders>
            <w:shd w:val="clear" w:color="auto" w:fill="auto"/>
            <w:tcMar>
              <w:left w:w="15" w:type="dxa"/>
              <w:right w:w="15" w:type="dxa"/>
            </w:tcMar>
            <w:vAlign w:val="center"/>
          </w:tcPr>
          <w:p w14:paraId="278D4F58">
            <w:pPr>
              <w:spacing w:line="315" w:lineRule="atLeast"/>
              <w:jc w:val="center"/>
              <w:textAlignment w:val="center"/>
              <w:rPr>
                <w:rFonts w:ascii="Times New Roman" w:hAnsi="Times New Roman" w:eastAsia="宋体" w:cs="Times New Roman"/>
                <w:kern w:val="0"/>
                <w:sz w:val="24"/>
              </w:rPr>
            </w:pPr>
            <w:r>
              <w:rPr>
                <w:rFonts w:ascii="Times New Roman" w:hAnsi="Times New Roman" w:eastAsia="宋体" w:cs="Times New Roman"/>
                <w:color w:val="000000"/>
                <w:kern w:val="0"/>
                <w:szCs w:val="21"/>
              </w:rPr>
              <w:t>7</w:t>
            </w:r>
          </w:p>
        </w:tc>
        <w:tc>
          <w:tcPr>
            <w:tcW w:w="1849" w:type="dxa"/>
            <w:tcBorders>
              <w:top w:val="single" w:color="auto" w:sz="4" w:space="0"/>
              <w:left w:val="nil"/>
              <w:bottom w:val="single" w:color="auto" w:sz="4" w:space="0"/>
              <w:right w:val="single" w:color="auto" w:sz="6" w:space="0"/>
            </w:tcBorders>
            <w:shd w:val="clear" w:color="auto" w:fill="auto"/>
            <w:tcMar>
              <w:left w:w="15" w:type="dxa"/>
              <w:right w:w="15" w:type="dxa"/>
            </w:tcMar>
            <w:vAlign w:val="center"/>
          </w:tcPr>
          <w:p w14:paraId="2C190AEA">
            <w:pPr>
              <w:spacing w:line="315" w:lineRule="atLeas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社会管理类文件</w:t>
            </w:r>
          </w:p>
        </w:tc>
        <w:tc>
          <w:tcPr>
            <w:tcW w:w="6290" w:type="dxa"/>
            <w:tcBorders>
              <w:top w:val="single" w:color="auto" w:sz="4" w:space="0"/>
              <w:left w:val="nil"/>
              <w:bottom w:val="single" w:color="auto" w:sz="4" w:space="0"/>
              <w:right w:val="single" w:color="auto" w:sz="4" w:space="0"/>
            </w:tcBorders>
            <w:shd w:val="clear" w:color="auto" w:fill="auto"/>
            <w:tcMar>
              <w:left w:w="15" w:type="dxa"/>
              <w:right w:w="15" w:type="dxa"/>
            </w:tcMar>
            <w:vAlign w:val="center"/>
          </w:tcPr>
          <w:p w14:paraId="67EA5277">
            <w:pPr>
              <w:spacing w:line="315" w:lineRule="atLeast"/>
              <w:jc w:val="left"/>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例如治安管理、户籍和居住证管理、公共信用信息管理、社会组织管理、行政区划调整、综合执法改革等方面的文件。</w:t>
            </w:r>
          </w:p>
        </w:tc>
      </w:tr>
      <w:tr w14:paraId="2A6CBD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727" w:type="dxa"/>
            <w:tcBorders>
              <w:top w:val="single" w:color="auto" w:sz="4" w:space="0"/>
              <w:left w:val="single" w:color="auto" w:sz="6" w:space="0"/>
              <w:bottom w:val="single" w:color="auto" w:sz="6" w:space="0"/>
              <w:right w:val="single" w:color="auto" w:sz="6" w:space="0"/>
            </w:tcBorders>
            <w:shd w:val="clear" w:color="auto" w:fill="auto"/>
            <w:tcMar>
              <w:left w:w="15" w:type="dxa"/>
              <w:right w:w="15" w:type="dxa"/>
            </w:tcMar>
            <w:vAlign w:val="center"/>
          </w:tcPr>
          <w:p w14:paraId="46AB8963">
            <w:pPr>
              <w:spacing w:line="315" w:lineRule="atLeast"/>
              <w:jc w:val="center"/>
              <w:textAlignment w:val="center"/>
              <w:rPr>
                <w:rFonts w:ascii="Times New Roman" w:hAnsi="Times New Roman" w:eastAsia="宋体" w:cs="Times New Roman"/>
                <w:kern w:val="0"/>
                <w:sz w:val="24"/>
              </w:rPr>
            </w:pPr>
            <w:r>
              <w:rPr>
                <w:rFonts w:ascii="Times New Roman" w:hAnsi="Times New Roman" w:eastAsia="宋体" w:cs="Times New Roman"/>
                <w:color w:val="000000"/>
                <w:kern w:val="0"/>
                <w:szCs w:val="21"/>
              </w:rPr>
              <w:t>8</w:t>
            </w:r>
          </w:p>
        </w:tc>
        <w:tc>
          <w:tcPr>
            <w:tcW w:w="1849" w:type="dxa"/>
            <w:tcBorders>
              <w:top w:val="single" w:color="auto" w:sz="4" w:space="0"/>
              <w:left w:val="nil"/>
              <w:bottom w:val="single" w:color="auto" w:sz="6" w:space="0"/>
              <w:right w:val="single" w:color="auto" w:sz="6" w:space="0"/>
            </w:tcBorders>
            <w:shd w:val="clear" w:color="auto" w:fill="auto"/>
            <w:tcMar>
              <w:left w:w="15" w:type="dxa"/>
              <w:right w:w="15" w:type="dxa"/>
            </w:tcMar>
            <w:vAlign w:val="center"/>
          </w:tcPr>
          <w:p w14:paraId="680BA3CD">
            <w:pPr>
              <w:spacing w:line="315" w:lineRule="atLeas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社会保障类文件</w:t>
            </w:r>
          </w:p>
        </w:tc>
        <w:tc>
          <w:tcPr>
            <w:tcW w:w="6290" w:type="dxa"/>
            <w:tcBorders>
              <w:top w:val="single" w:color="auto" w:sz="4" w:space="0"/>
              <w:left w:val="nil"/>
              <w:bottom w:val="single" w:color="auto" w:sz="6" w:space="0"/>
              <w:right w:val="single" w:color="auto" w:sz="6" w:space="0"/>
            </w:tcBorders>
            <w:shd w:val="clear" w:color="auto" w:fill="auto"/>
            <w:tcMar>
              <w:left w:w="15" w:type="dxa"/>
              <w:right w:w="15" w:type="dxa"/>
            </w:tcMar>
            <w:vAlign w:val="center"/>
          </w:tcPr>
          <w:p w14:paraId="39AC7430">
            <w:pPr>
              <w:spacing w:line="315" w:lineRule="atLeast"/>
              <w:jc w:val="left"/>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例如社会保险、社会救助、社会福利、养老服务、住房保障、减灾救济、抚恤优抚、公益事业发展等方面的文件。</w:t>
            </w:r>
          </w:p>
        </w:tc>
      </w:tr>
      <w:tr w14:paraId="63EE8B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727" w:type="dxa"/>
            <w:tcBorders>
              <w:top w:val="nil"/>
              <w:left w:val="single" w:color="auto" w:sz="6" w:space="0"/>
              <w:bottom w:val="single" w:color="auto" w:sz="6" w:space="0"/>
              <w:right w:val="single" w:color="auto" w:sz="6" w:space="0"/>
            </w:tcBorders>
            <w:shd w:val="clear" w:color="auto" w:fill="auto"/>
            <w:tcMar>
              <w:left w:w="15" w:type="dxa"/>
              <w:right w:w="15" w:type="dxa"/>
            </w:tcMar>
            <w:vAlign w:val="center"/>
          </w:tcPr>
          <w:p w14:paraId="137DF1AB">
            <w:pPr>
              <w:spacing w:line="315" w:lineRule="atLeast"/>
              <w:jc w:val="center"/>
              <w:textAlignment w:val="center"/>
              <w:rPr>
                <w:rFonts w:ascii="Times New Roman" w:hAnsi="Times New Roman" w:eastAsia="宋体" w:cs="Times New Roman"/>
                <w:kern w:val="0"/>
                <w:sz w:val="24"/>
              </w:rPr>
            </w:pPr>
            <w:r>
              <w:rPr>
                <w:rFonts w:ascii="Times New Roman" w:hAnsi="Times New Roman" w:eastAsia="宋体" w:cs="Times New Roman"/>
                <w:color w:val="000000"/>
                <w:kern w:val="0"/>
                <w:szCs w:val="21"/>
              </w:rPr>
              <w:t>9</w:t>
            </w:r>
          </w:p>
        </w:tc>
        <w:tc>
          <w:tcPr>
            <w:tcW w:w="1849" w:type="dxa"/>
            <w:tcBorders>
              <w:top w:val="nil"/>
              <w:left w:val="nil"/>
              <w:bottom w:val="single" w:color="auto" w:sz="6" w:space="0"/>
              <w:right w:val="single" w:color="auto" w:sz="6" w:space="0"/>
            </w:tcBorders>
            <w:shd w:val="clear" w:color="auto" w:fill="auto"/>
            <w:tcMar>
              <w:left w:w="15" w:type="dxa"/>
              <w:right w:w="15" w:type="dxa"/>
            </w:tcMar>
            <w:vAlign w:val="center"/>
          </w:tcPr>
          <w:p w14:paraId="6FDC83C0">
            <w:pPr>
              <w:spacing w:line="315" w:lineRule="atLeas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劳动就业类文件</w:t>
            </w:r>
          </w:p>
        </w:tc>
        <w:tc>
          <w:tcPr>
            <w:tcW w:w="6290" w:type="dxa"/>
            <w:tcBorders>
              <w:top w:val="nil"/>
              <w:left w:val="nil"/>
              <w:bottom w:val="single" w:color="auto" w:sz="6" w:space="0"/>
              <w:right w:val="single" w:color="auto" w:sz="6" w:space="0"/>
            </w:tcBorders>
            <w:shd w:val="clear" w:color="auto" w:fill="auto"/>
            <w:tcMar>
              <w:left w:w="15" w:type="dxa"/>
              <w:right w:w="15" w:type="dxa"/>
            </w:tcMar>
            <w:vAlign w:val="center"/>
          </w:tcPr>
          <w:p w14:paraId="53736072">
            <w:pPr>
              <w:spacing w:line="315" w:lineRule="atLeast"/>
              <w:jc w:val="left"/>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例如安全劳动保护、就业创业促进、人才引进、人才培育、人才服务保障等方面的文件。</w:t>
            </w:r>
          </w:p>
        </w:tc>
      </w:tr>
      <w:tr w14:paraId="1B40B4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727" w:type="dxa"/>
            <w:tcBorders>
              <w:top w:val="nil"/>
              <w:left w:val="single" w:color="auto" w:sz="6" w:space="0"/>
              <w:bottom w:val="single" w:color="auto" w:sz="4" w:space="0"/>
              <w:right w:val="single" w:color="auto" w:sz="6" w:space="0"/>
            </w:tcBorders>
            <w:shd w:val="clear" w:color="auto" w:fill="auto"/>
            <w:tcMar>
              <w:left w:w="15" w:type="dxa"/>
              <w:right w:w="15" w:type="dxa"/>
            </w:tcMar>
            <w:vAlign w:val="center"/>
          </w:tcPr>
          <w:p w14:paraId="09D5481B">
            <w:pPr>
              <w:spacing w:line="315" w:lineRule="atLeast"/>
              <w:jc w:val="center"/>
              <w:textAlignment w:val="center"/>
              <w:rPr>
                <w:rFonts w:ascii="Times New Roman" w:hAnsi="Times New Roman" w:eastAsia="宋体" w:cs="Times New Roman"/>
                <w:kern w:val="0"/>
                <w:sz w:val="24"/>
              </w:rPr>
            </w:pPr>
            <w:r>
              <w:rPr>
                <w:rFonts w:ascii="Times New Roman" w:hAnsi="Times New Roman" w:eastAsia="宋体" w:cs="Times New Roman"/>
                <w:color w:val="000000"/>
                <w:kern w:val="0"/>
                <w:szCs w:val="21"/>
              </w:rPr>
              <w:t>10</w:t>
            </w:r>
          </w:p>
        </w:tc>
        <w:tc>
          <w:tcPr>
            <w:tcW w:w="1849" w:type="dxa"/>
            <w:tcBorders>
              <w:top w:val="nil"/>
              <w:left w:val="nil"/>
              <w:bottom w:val="single" w:color="auto" w:sz="4" w:space="0"/>
              <w:right w:val="single" w:color="auto" w:sz="6" w:space="0"/>
            </w:tcBorders>
            <w:shd w:val="clear" w:color="auto" w:fill="auto"/>
            <w:tcMar>
              <w:left w:w="15" w:type="dxa"/>
              <w:right w:w="15" w:type="dxa"/>
            </w:tcMar>
            <w:vAlign w:val="center"/>
          </w:tcPr>
          <w:p w14:paraId="5B192FFB">
            <w:pPr>
              <w:spacing w:line="315" w:lineRule="atLeas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科教文卫类文件</w:t>
            </w:r>
          </w:p>
        </w:tc>
        <w:tc>
          <w:tcPr>
            <w:tcW w:w="6290" w:type="dxa"/>
            <w:tcBorders>
              <w:top w:val="nil"/>
              <w:left w:val="nil"/>
              <w:bottom w:val="single" w:color="auto" w:sz="4" w:space="0"/>
              <w:right w:val="single" w:color="auto" w:sz="6" w:space="0"/>
            </w:tcBorders>
            <w:shd w:val="clear" w:color="auto" w:fill="auto"/>
            <w:tcMar>
              <w:left w:w="15" w:type="dxa"/>
              <w:right w:w="15" w:type="dxa"/>
            </w:tcMar>
            <w:vAlign w:val="center"/>
          </w:tcPr>
          <w:p w14:paraId="335746A7">
            <w:pPr>
              <w:spacing w:line="315" w:lineRule="atLeast"/>
              <w:jc w:val="left"/>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例如支持科技创新、支持教育发展、文旅产业发展、历史文化保护利用、医药卫生管理、公共体育设施管理、体育事业和产业发展等方面的文件。</w:t>
            </w:r>
          </w:p>
        </w:tc>
      </w:tr>
      <w:tr w14:paraId="48036C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727" w:type="dxa"/>
            <w:tcBorders>
              <w:top w:val="single" w:color="auto" w:sz="4" w:space="0"/>
              <w:left w:val="single" w:color="auto" w:sz="6" w:space="0"/>
              <w:bottom w:val="single" w:color="auto" w:sz="6" w:space="0"/>
              <w:right w:val="single" w:color="auto" w:sz="6" w:space="0"/>
            </w:tcBorders>
            <w:shd w:val="clear" w:color="auto" w:fill="auto"/>
            <w:tcMar>
              <w:left w:w="15" w:type="dxa"/>
              <w:right w:w="15" w:type="dxa"/>
            </w:tcMar>
            <w:vAlign w:val="center"/>
          </w:tcPr>
          <w:p w14:paraId="18C66352">
            <w:pPr>
              <w:spacing w:line="315" w:lineRule="atLeast"/>
              <w:jc w:val="center"/>
              <w:textAlignment w:val="center"/>
              <w:rPr>
                <w:rFonts w:ascii="Times New Roman" w:hAnsi="Times New Roman" w:eastAsia="宋体" w:cs="Times New Roman"/>
                <w:kern w:val="0"/>
                <w:sz w:val="24"/>
              </w:rPr>
            </w:pPr>
            <w:r>
              <w:rPr>
                <w:rFonts w:ascii="Times New Roman" w:hAnsi="Times New Roman" w:eastAsia="宋体" w:cs="Times New Roman"/>
                <w:color w:val="000000"/>
                <w:kern w:val="0"/>
                <w:szCs w:val="21"/>
              </w:rPr>
              <w:t>11</w:t>
            </w:r>
          </w:p>
        </w:tc>
        <w:tc>
          <w:tcPr>
            <w:tcW w:w="1849" w:type="dxa"/>
            <w:tcBorders>
              <w:top w:val="single" w:color="auto" w:sz="4" w:space="0"/>
              <w:left w:val="nil"/>
              <w:bottom w:val="single" w:color="auto" w:sz="6" w:space="0"/>
              <w:right w:val="single" w:color="auto" w:sz="6" w:space="0"/>
            </w:tcBorders>
            <w:shd w:val="clear" w:color="auto" w:fill="auto"/>
            <w:tcMar>
              <w:left w:w="15" w:type="dxa"/>
              <w:right w:w="15" w:type="dxa"/>
            </w:tcMar>
            <w:vAlign w:val="center"/>
          </w:tcPr>
          <w:p w14:paraId="2823BA5A">
            <w:pPr>
              <w:spacing w:line="315" w:lineRule="atLeas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自然资源类文件</w:t>
            </w:r>
          </w:p>
        </w:tc>
        <w:tc>
          <w:tcPr>
            <w:tcW w:w="6290" w:type="dxa"/>
            <w:tcBorders>
              <w:top w:val="single" w:color="auto" w:sz="4" w:space="0"/>
              <w:left w:val="nil"/>
              <w:bottom w:val="single" w:color="auto" w:sz="6" w:space="0"/>
              <w:right w:val="single" w:color="auto" w:sz="6" w:space="0"/>
            </w:tcBorders>
            <w:shd w:val="clear" w:color="auto" w:fill="auto"/>
            <w:tcMar>
              <w:left w:w="15" w:type="dxa"/>
              <w:right w:w="15" w:type="dxa"/>
            </w:tcMar>
            <w:vAlign w:val="center"/>
          </w:tcPr>
          <w:p w14:paraId="69CB351E">
            <w:pPr>
              <w:spacing w:line="315" w:lineRule="atLeast"/>
              <w:jc w:val="left"/>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例如土地、矿产、森林、水等各类重要自然资源的管理使用等方面的文件。</w:t>
            </w:r>
          </w:p>
        </w:tc>
      </w:tr>
      <w:tr w14:paraId="1F140C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727" w:type="dxa"/>
            <w:tcBorders>
              <w:top w:val="single" w:color="auto" w:sz="4" w:space="0"/>
              <w:left w:val="single" w:color="auto" w:sz="6" w:space="0"/>
              <w:bottom w:val="single" w:color="auto" w:sz="4" w:space="0"/>
              <w:right w:val="single" w:color="auto" w:sz="6" w:space="0"/>
            </w:tcBorders>
            <w:shd w:val="clear" w:color="auto" w:fill="auto"/>
            <w:tcMar>
              <w:left w:w="15" w:type="dxa"/>
              <w:right w:w="15" w:type="dxa"/>
            </w:tcMar>
            <w:vAlign w:val="center"/>
          </w:tcPr>
          <w:p w14:paraId="598E143D">
            <w:pPr>
              <w:spacing w:line="315" w:lineRule="atLeast"/>
              <w:jc w:val="center"/>
              <w:textAlignment w:val="center"/>
              <w:rPr>
                <w:rFonts w:ascii="Times New Roman" w:hAnsi="Times New Roman" w:eastAsia="宋体" w:cs="Times New Roman"/>
                <w:kern w:val="0"/>
                <w:sz w:val="24"/>
              </w:rPr>
            </w:pPr>
            <w:r>
              <w:rPr>
                <w:rFonts w:ascii="Times New Roman" w:hAnsi="Times New Roman" w:eastAsia="宋体" w:cs="Times New Roman"/>
                <w:color w:val="000000"/>
                <w:kern w:val="0"/>
                <w:szCs w:val="21"/>
              </w:rPr>
              <w:t>12</w:t>
            </w:r>
          </w:p>
        </w:tc>
        <w:tc>
          <w:tcPr>
            <w:tcW w:w="1849" w:type="dxa"/>
            <w:tcBorders>
              <w:top w:val="single" w:color="auto" w:sz="4" w:space="0"/>
              <w:left w:val="nil"/>
              <w:bottom w:val="single" w:color="auto" w:sz="4" w:space="0"/>
              <w:right w:val="single" w:color="auto" w:sz="6" w:space="0"/>
            </w:tcBorders>
            <w:shd w:val="clear" w:color="auto" w:fill="auto"/>
            <w:tcMar>
              <w:left w:w="15" w:type="dxa"/>
              <w:right w:w="15" w:type="dxa"/>
            </w:tcMar>
            <w:vAlign w:val="center"/>
          </w:tcPr>
          <w:p w14:paraId="41969912">
            <w:pPr>
              <w:spacing w:line="315" w:lineRule="atLeas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环境保护类文件</w:t>
            </w:r>
          </w:p>
        </w:tc>
        <w:tc>
          <w:tcPr>
            <w:tcW w:w="6290" w:type="dxa"/>
            <w:tcBorders>
              <w:top w:val="single" w:color="auto" w:sz="4" w:space="0"/>
              <w:left w:val="nil"/>
              <w:bottom w:val="single" w:color="auto" w:sz="4" w:space="0"/>
              <w:right w:val="single" w:color="auto" w:sz="6" w:space="0"/>
            </w:tcBorders>
            <w:shd w:val="clear" w:color="auto" w:fill="auto"/>
            <w:tcMar>
              <w:left w:w="15" w:type="dxa"/>
              <w:right w:w="15" w:type="dxa"/>
            </w:tcMar>
            <w:vAlign w:val="center"/>
          </w:tcPr>
          <w:p w14:paraId="0DB21F86">
            <w:pPr>
              <w:spacing w:line="315" w:lineRule="atLeast"/>
              <w:jc w:val="left"/>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例如大气污染防治、水污染防治等方面的文件。</w:t>
            </w:r>
          </w:p>
        </w:tc>
      </w:tr>
      <w:tr w14:paraId="56A381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3" w:hRule="atLeast"/>
          <w:jc w:val="center"/>
        </w:trPr>
        <w:tc>
          <w:tcPr>
            <w:tcW w:w="727" w:type="dxa"/>
            <w:tcBorders>
              <w:top w:val="single" w:color="auto" w:sz="4" w:space="0"/>
              <w:left w:val="single" w:color="auto" w:sz="4" w:space="0"/>
              <w:bottom w:val="single" w:color="auto" w:sz="6" w:space="0"/>
              <w:right w:val="single" w:color="auto" w:sz="6" w:space="0"/>
            </w:tcBorders>
            <w:shd w:val="clear" w:color="auto" w:fill="auto"/>
            <w:tcMar>
              <w:left w:w="15" w:type="dxa"/>
              <w:right w:w="15" w:type="dxa"/>
            </w:tcMar>
            <w:vAlign w:val="center"/>
          </w:tcPr>
          <w:p w14:paraId="6A3C18E6">
            <w:pPr>
              <w:spacing w:line="315" w:lineRule="atLeast"/>
              <w:jc w:val="center"/>
              <w:textAlignment w:val="center"/>
              <w:rPr>
                <w:rFonts w:ascii="Times New Roman" w:hAnsi="Times New Roman" w:eastAsia="宋体" w:cs="Times New Roman"/>
                <w:kern w:val="0"/>
                <w:sz w:val="24"/>
              </w:rPr>
            </w:pPr>
            <w:r>
              <w:rPr>
                <w:rFonts w:ascii="Times New Roman" w:hAnsi="Times New Roman" w:eastAsia="宋体" w:cs="Times New Roman"/>
                <w:color w:val="000000"/>
                <w:kern w:val="0"/>
                <w:szCs w:val="21"/>
              </w:rPr>
              <w:t>13</w:t>
            </w:r>
          </w:p>
        </w:tc>
        <w:tc>
          <w:tcPr>
            <w:tcW w:w="1849" w:type="dxa"/>
            <w:tcBorders>
              <w:top w:val="single" w:color="auto" w:sz="4" w:space="0"/>
              <w:left w:val="nil"/>
              <w:bottom w:val="single" w:color="auto" w:sz="6" w:space="0"/>
              <w:right w:val="single" w:color="auto" w:sz="6" w:space="0"/>
            </w:tcBorders>
            <w:shd w:val="clear" w:color="auto" w:fill="auto"/>
            <w:tcMar>
              <w:left w:w="15" w:type="dxa"/>
              <w:right w:w="15" w:type="dxa"/>
            </w:tcMar>
            <w:vAlign w:val="center"/>
          </w:tcPr>
          <w:p w14:paraId="4D0A8E51">
            <w:pPr>
              <w:spacing w:line="315" w:lineRule="atLeas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交通管理类文件</w:t>
            </w:r>
          </w:p>
        </w:tc>
        <w:tc>
          <w:tcPr>
            <w:tcW w:w="6290" w:type="dxa"/>
            <w:tcBorders>
              <w:top w:val="single" w:color="auto" w:sz="4" w:space="0"/>
              <w:left w:val="nil"/>
              <w:bottom w:val="single" w:color="auto" w:sz="6" w:space="0"/>
              <w:right w:val="single" w:color="auto" w:sz="4" w:space="0"/>
            </w:tcBorders>
            <w:shd w:val="clear" w:color="auto" w:fill="auto"/>
            <w:tcMar>
              <w:left w:w="15" w:type="dxa"/>
              <w:right w:w="15" w:type="dxa"/>
            </w:tcMar>
            <w:vAlign w:val="center"/>
          </w:tcPr>
          <w:p w14:paraId="23237E7C">
            <w:pPr>
              <w:spacing w:line="315" w:lineRule="atLeast"/>
              <w:jc w:val="left"/>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例如道路交通安全、公共交通发展、超限超载治理、禁限行管理、农村公路管理养护等方面的文件。</w:t>
            </w:r>
          </w:p>
        </w:tc>
      </w:tr>
      <w:tr w14:paraId="32B51A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727" w:type="dxa"/>
            <w:tcBorders>
              <w:top w:val="nil"/>
              <w:left w:val="single" w:color="auto" w:sz="4" w:space="0"/>
              <w:bottom w:val="single" w:color="auto" w:sz="4" w:space="0"/>
              <w:right w:val="single" w:color="auto" w:sz="6" w:space="0"/>
            </w:tcBorders>
            <w:shd w:val="clear" w:color="auto" w:fill="auto"/>
            <w:tcMar>
              <w:left w:w="15" w:type="dxa"/>
              <w:right w:w="15" w:type="dxa"/>
            </w:tcMar>
            <w:vAlign w:val="center"/>
          </w:tcPr>
          <w:p w14:paraId="7FB466E7">
            <w:pPr>
              <w:spacing w:line="315" w:lineRule="atLeast"/>
              <w:jc w:val="center"/>
              <w:textAlignment w:val="center"/>
              <w:rPr>
                <w:rFonts w:ascii="Times New Roman" w:hAnsi="Times New Roman" w:eastAsia="宋体" w:cs="Times New Roman"/>
                <w:kern w:val="0"/>
                <w:sz w:val="24"/>
              </w:rPr>
            </w:pPr>
            <w:r>
              <w:rPr>
                <w:rFonts w:ascii="Times New Roman" w:hAnsi="Times New Roman" w:eastAsia="宋体" w:cs="Times New Roman"/>
                <w:color w:val="000000"/>
                <w:kern w:val="0"/>
                <w:szCs w:val="21"/>
              </w:rPr>
              <w:t>14</w:t>
            </w:r>
          </w:p>
        </w:tc>
        <w:tc>
          <w:tcPr>
            <w:tcW w:w="1849" w:type="dxa"/>
            <w:tcBorders>
              <w:top w:val="nil"/>
              <w:left w:val="nil"/>
              <w:bottom w:val="single" w:color="auto" w:sz="4" w:space="0"/>
              <w:right w:val="single" w:color="auto" w:sz="6" w:space="0"/>
            </w:tcBorders>
            <w:shd w:val="clear" w:color="auto" w:fill="auto"/>
            <w:tcMar>
              <w:left w:w="15" w:type="dxa"/>
              <w:right w:w="15" w:type="dxa"/>
            </w:tcMar>
            <w:vAlign w:val="center"/>
          </w:tcPr>
          <w:p w14:paraId="4188A2A2">
            <w:pPr>
              <w:spacing w:line="315" w:lineRule="atLeas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转发上级类文件</w:t>
            </w:r>
          </w:p>
        </w:tc>
        <w:tc>
          <w:tcPr>
            <w:tcW w:w="6290" w:type="dxa"/>
            <w:tcBorders>
              <w:top w:val="nil"/>
              <w:left w:val="nil"/>
              <w:bottom w:val="single" w:color="auto" w:sz="4" w:space="0"/>
              <w:right w:val="single" w:color="auto" w:sz="4" w:space="0"/>
            </w:tcBorders>
            <w:shd w:val="clear" w:color="auto" w:fill="auto"/>
            <w:tcMar>
              <w:left w:w="15" w:type="dxa"/>
              <w:right w:w="15" w:type="dxa"/>
            </w:tcMar>
            <w:vAlign w:val="center"/>
          </w:tcPr>
          <w:p w14:paraId="360F657F">
            <w:pPr>
              <w:spacing w:line="315" w:lineRule="atLeast"/>
              <w:jc w:val="left"/>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例如转发上级机关行政规范性文件，转发文件中提出具体实施措施，并涉及不特定公民、法人或者其他组织的权利义务。</w:t>
            </w:r>
          </w:p>
        </w:tc>
      </w:tr>
      <w:tr w14:paraId="591A8C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727" w:type="dxa"/>
            <w:tcBorders>
              <w:top w:val="single" w:color="auto" w:sz="4" w:space="0"/>
              <w:left w:val="single" w:color="auto" w:sz="4" w:space="0"/>
              <w:bottom w:val="single" w:color="auto" w:sz="6" w:space="0"/>
              <w:right w:val="single" w:color="auto" w:sz="6" w:space="0"/>
            </w:tcBorders>
            <w:shd w:val="clear" w:color="auto" w:fill="auto"/>
            <w:tcMar>
              <w:left w:w="15" w:type="dxa"/>
              <w:right w:w="15" w:type="dxa"/>
            </w:tcMar>
            <w:vAlign w:val="center"/>
          </w:tcPr>
          <w:p w14:paraId="5ACB436A">
            <w:pPr>
              <w:spacing w:line="315" w:lineRule="atLeast"/>
              <w:jc w:val="center"/>
              <w:textAlignment w:val="center"/>
              <w:rPr>
                <w:rFonts w:ascii="Times New Roman" w:hAnsi="Times New Roman" w:eastAsia="宋体" w:cs="Times New Roman"/>
                <w:kern w:val="0"/>
                <w:sz w:val="24"/>
              </w:rPr>
            </w:pPr>
            <w:r>
              <w:rPr>
                <w:rFonts w:ascii="Times New Roman" w:hAnsi="Times New Roman" w:eastAsia="宋体" w:cs="Times New Roman"/>
                <w:color w:val="000000"/>
                <w:kern w:val="0"/>
                <w:szCs w:val="21"/>
              </w:rPr>
              <w:t>15</w:t>
            </w:r>
          </w:p>
        </w:tc>
        <w:tc>
          <w:tcPr>
            <w:tcW w:w="1849" w:type="dxa"/>
            <w:tcBorders>
              <w:top w:val="single" w:color="auto" w:sz="4" w:space="0"/>
              <w:left w:val="nil"/>
              <w:bottom w:val="single" w:color="auto" w:sz="6" w:space="0"/>
              <w:right w:val="single" w:color="auto" w:sz="6" w:space="0"/>
            </w:tcBorders>
            <w:shd w:val="clear" w:color="auto" w:fill="auto"/>
            <w:tcMar>
              <w:left w:w="15" w:type="dxa"/>
              <w:right w:w="15" w:type="dxa"/>
            </w:tcMar>
            <w:vAlign w:val="center"/>
          </w:tcPr>
          <w:p w14:paraId="6ECAD360">
            <w:pPr>
              <w:spacing w:line="315" w:lineRule="atLeas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文件清理类文件</w:t>
            </w:r>
          </w:p>
        </w:tc>
        <w:tc>
          <w:tcPr>
            <w:tcW w:w="6290" w:type="dxa"/>
            <w:tcBorders>
              <w:top w:val="single" w:color="auto" w:sz="4" w:space="0"/>
              <w:left w:val="nil"/>
              <w:bottom w:val="single" w:color="auto" w:sz="6" w:space="0"/>
              <w:right w:val="single" w:color="auto" w:sz="4" w:space="0"/>
            </w:tcBorders>
            <w:shd w:val="clear" w:color="auto" w:fill="auto"/>
            <w:tcMar>
              <w:left w:w="15" w:type="dxa"/>
              <w:right w:w="15" w:type="dxa"/>
            </w:tcMar>
            <w:vAlign w:val="center"/>
          </w:tcPr>
          <w:p w14:paraId="142620DD">
            <w:pPr>
              <w:spacing w:line="315" w:lineRule="atLeast"/>
              <w:jc w:val="left"/>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例如行政规范性文件清理结果的通知，废止、宣布失效、修改部分行政规范性文件的通知。</w:t>
            </w:r>
          </w:p>
        </w:tc>
      </w:tr>
      <w:tr w14:paraId="32724E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727" w:type="dxa"/>
            <w:tcBorders>
              <w:top w:val="nil"/>
              <w:left w:val="single" w:color="auto" w:sz="4" w:space="0"/>
              <w:bottom w:val="single" w:color="auto" w:sz="4" w:space="0"/>
              <w:right w:val="single" w:color="auto" w:sz="6" w:space="0"/>
            </w:tcBorders>
            <w:shd w:val="clear" w:color="auto" w:fill="auto"/>
            <w:tcMar>
              <w:left w:w="15" w:type="dxa"/>
              <w:right w:w="15" w:type="dxa"/>
            </w:tcMar>
            <w:vAlign w:val="center"/>
          </w:tcPr>
          <w:p w14:paraId="76ECF8BE">
            <w:pPr>
              <w:spacing w:line="315" w:lineRule="atLeast"/>
              <w:jc w:val="center"/>
              <w:textAlignment w:val="center"/>
              <w:rPr>
                <w:rFonts w:ascii="Times New Roman" w:hAnsi="Times New Roman" w:eastAsia="宋体" w:cs="Times New Roman"/>
                <w:kern w:val="0"/>
                <w:sz w:val="24"/>
              </w:rPr>
            </w:pPr>
            <w:r>
              <w:rPr>
                <w:rFonts w:ascii="Times New Roman" w:hAnsi="Times New Roman" w:eastAsia="宋体" w:cs="Times New Roman"/>
                <w:color w:val="000000"/>
                <w:kern w:val="0"/>
                <w:szCs w:val="21"/>
              </w:rPr>
              <w:t>16</w:t>
            </w:r>
          </w:p>
        </w:tc>
        <w:tc>
          <w:tcPr>
            <w:tcW w:w="1849" w:type="dxa"/>
            <w:tcBorders>
              <w:top w:val="nil"/>
              <w:left w:val="nil"/>
              <w:bottom w:val="single" w:color="auto" w:sz="4" w:space="0"/>
              <w:right w:val="single" w:color="auto" w:sz="6" w:space="0"/>
            </w:tcBorders>
            <w:shd w:val="clear" w:color="auto" w:fill="auto"/>
            <w:tcMar>
              <w:left w:w="15" w:type="dxa"/>
              <w:right w:w="15" w:type="dxa"/>
            </w:tcMar>
            <w:vAlign w:val="center"/>
          </w:tcPr>
          <w:p w14:paraId="1C1B6536">
            <w:pPr>
              <w:spacing w:line="315" w:lineRule="atLeas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其他类文件</w:t>
            </w:r>
          </w:p>
        </w:tc>
        <w:tc>
          <w:tcPr>
            <w:tcW w:w="6290" w:type="dxa"/>
            <w:tcBorders>
              <w:top w:val="nil"/>
              <w:left w:val="nil"/>
              <w:bottom w:val="single" w:color="auto" w:sz="4" w:space="0"/>
              <w:right w:val="single" w:color="auto" w:sz="4" w:space="0"/>
            </w:tcBorders>
            <w:shd w:val="clear" w:color="auto" w:fill="auto"/>
            <w:tcMar>
              <w:left w:w="15" w:type="dxa"/>
              <w:right w:w="15" w:type="dxa"/>
            </w:tcMar>
            <w:vAlign w:val="center"/>
          </w:tcPr>
          <w:p w14:paraId="265B70F7">
            <w:pPr>
              <w:spacing w:line="315" w:lineRule="atLeast"/>
              <w:jc w:val="left"/>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Cs w:val="21"/>
              </w:rPr>
              <w:t>其他符合《宁夏回族自治区行政规范性文件制定和备案办法》第三条规定的行政规范性文件。包括涉及公民、法人或者其他组织权利义务，并在全县或乡镇范围内具有普遍约束力，一定时期内反复适用的公告、通告、决定等。</w:t>
            </w:r>
          </w:p>
        </w:tc>
      </w:tr>
      <w:tr w14:paraId="4B32E5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203" w:hRule="atLeast"/>
          <w:jc w:val="center"/>
        </w:trPr>
        <w:tc>
          <w:tcPr>
            <w:tcW w:w="8866" w:type="dxa"/>
            <w:gridSpan w:val="3"/>
            <w:tcBorders>
              <w:top w:val="single" w:color="auto" w:sz="4" w:space="0"/>
              <w:left w:val="single" w:color="auto" w:sz="4" w:space="0"/>
              <w:bottom w:val="single" w:color="auto" w:sz="4" w:space="0"/>
              <w:right w:val="single" w:color="auto" w:sz="4" w:space="0"/>
            </w:tcBorders>
            <w:shd w:val="clear" w:color="auto" w:fill="auto"/>
            <w:tcMar>
              <w:left w:w="15" w:type="dxa"/>
              <w:right w:w="15" w:type="dxa"/>
            </w:tcMar>
            <w:vAlign w:val="center"/>
          </w:tcPr>
          <w:p w14:paraId="23253102">
            <w:pPr>
              <w:spacing w:line="315" w:lineRule="atLeast"/>
              <w:jc w:val="left"/>
              <w:rPr>
                <w:rFonts w:ascii="Times New Roman" w:hAnsi="Times New Roman" w:eastAsia="仿宋_GB2312" w:cs="国标仿宋"/>
                <w:color w:val="000000"/>
                <w:kern w:val="0"/>
                <w:szCs w:val="21"/>
              </w:rPr>
            </w:pPr>
            <w:r>
              <w:rPr>
                <w:rFonts w:ascii="Times New Roman" w:hAnsi="Times New Roman" w:eastAsia="仿宋_GB2312" w:cs="国标仿宋"/>
                <w:b/>
                <w:bCs/>
                <w:color w:val="000000"/>
                <w:kern w:val="0"/>
                <w:szCs w:val="21"/>
              </w:rPr>
              <w:t>提示：</w:t>
            </w:r>
            <w:r>
              <w:rPr>
                <w:rFonts w:ascii="Times New Roman" w:hAnsi="Times New Roman" w:eastAsia="仿宋_GB2312" w:cs="国标仿宋"/>
                <w:color w:val="000000"/>
                <w:kern w:val="0"/>
                <w:szCs w:val="21"/>
              </w:rPr>
              <w:t>1.</w:t>
            </w:r>
            <w:r>
              <w:rPr>
                <w:rFonts w:hint="eastAsia" w:ascii="Times New Roman" w:hAnsi="Times New Roman" w:eastAsia="仿宋_GB2312" w:cs="国标仿宋"/>
                <w:color w:val="000000"/>
                <w:kern w:val="0"/>
                <w:szCs w:val="21"/>
              </w:rPr>
              <w:t>下列文件不属于行政规范性文件：（一）会议文件：包括会议通知、会议纪要、会议讲话材料等；（二）商洽性工作函：包括机关之间的商洽工作、询问和答复，向有关主管部门请求批准等；（三）不涉及公民、法人和其他组织权利义务的工作规划、计划、要点；（四）内部考核、行政责任追究等方面的文件；（五）发文机关内部工作制度；（六）人事任免及工作表彰、通报；（七）成立工作领导小组、协调机构的通知；（八）对小区、地名的命名的批复；（九）征地补偿、安置方案；（十）公示办事时间、办事地点等事项的便民通告；（十一）行政机关对公务员、行政机关职员、公办学校教职工、医疗机构工作人员及全额拨款事业单位职工、国有企业领导的人事、工资、绩效等方面管理的文件；（十二）财政部门会计核算制度等技术文件及下达的预算、分配资金、批复项目文件等；（十三）行业技术标准文件、技术操作规程；（十四）涉密文件；（十五）其他不符合《宁夏回族自治区行政规范性文件制定和备案办法》第三条规定的文件，均不纳入合法性审查范围。</w:t>
            </w:r>
          </w:p>
          <w:p w14:paraId="2ABEDEDB">
            <w:pPr>
              <w:spacing w:line="315" w:lineRule="atLeast"/>
              <w:ind w:firstLine="420" w:firstLineChars="200"/>
              <w:jc w:val="left"/>
              <w:rPr>
                <w:rFonts w:ascii="Times New Roman" w:hAnsi="Times New Roman" w:eastAsia="国标仿宋" w:cs="国标仿宋"/>
                <w:color w:val="000000"/>
                <w:kern w:val="0"/>
                <w:szCs w:val="21"/>
              </w:rPr>
            </w:pPr>
            <w:r>
              <w:rPr>
                <w:rFonts w:ascii="Times New Roman" w:hAnsi="Times New Roman" w:eastAsia="仿宋_GB2312" w:cs="国标仿宋"/>
                <w:color w:val="000000"/>
                <w:kern w:val="0"/>
                <w:szCs w:val="21"/>
              </w:rPr>
              <w:t>2.</w:t>
            </w:r>
            <w:r>
              <w:rPr>
                <w:rFonts w:hint="eastAsia" w:ascii="Times New Roman" w:hAnsi="Times New Roman" w:eastAsia="仿宋_GB2312" w:cs="国标仿宋"/>
                <w:color w:val="000000"/>
                <w:kern w:val="0"/>
                <w:szCs w:val="21"/>
              </w:rPr>
              <w:t>行政机关为实施专项行动或者阶段性任务，部署有关工作，明确有关部门工作职责和工作要求的方案（包括工作方案或者实施方案），不属于行政规范性文件，但内容涉及不特定的公民、法人或者其他组织权利义务的，属于行政规范性文件；行政机关的指导意见原则上不属于行政规范性文件，但文件内容涉及管理职权或者行政措施，而且影响公民、法人或者其他组织权利义务的，属于行政规范性文件。</w:t>
            </w:r>
          </w:p>
        </w:tc>
      </w:tr>
    </w:tbl>
    <w:p w14:paraId="46E77E89">
      <w:pPr>
        <w:spacing w:line="580" w:lineRule="exact"/>
        <w:ind w:firstLine="640" w:firstLineChars="200"/>
        <w:rPr>
          <w:rFonts w:hint="eastAsia" w:ascii="黑体" w:hAnsi="宋体" w:eastAsia="黑体" w:cs="黑体"/>
          <w:color w:val="333333"/>
          <w:kern w:val="0"/>
          <w:sz w:val="31"/>
          <w:szCs w:val="31"/>
          <w:shd w:val="clear" w:color="auto" w:fill="FFFFFF"/>
        </w:rPr>
      </w:pPr>
      <w:r>
        <w:rPr>
          <w:rFonts w:hint="eastAsia" w:ascii="Times New Roman" w:hAnsi="Times New Roman" w:eastAsia="黑体" w:cs="黑体"/>
          <w:color w:val="333333"/>
          <w:kern w:val="0"/>
          <w:sz w:val="32"/>
          <w:szCs w:val="32"/>
          <w:shd w:val="clear" w:color="auto" w:fill="FFFFFF"/>
        </w:rPr>
        <w:t>二、重大行政决策</w:t>
      </w:r>
    </w:p>
    <w:p w14:paraId="2A4CE00E">
      <w:pPr>
        <w:spacing w:line="580" w:lineRule="exact"/>
        <w:ind w:firstLine="620" w:firstLineChars="200"/>
        <w:rPr>
          <w:rFonts w:ascii="黑体" w:hAnsi="宋体" w:eastAsia="黑体" w:cs="黑体"/>
          <w:color w:val="333333"/>
          <w:kern w:val="0"/>
          <w:sz w:val="31"/>
          <w:szCs w:val="31"/>
          <w:shd w:val="clear" w:color="auto" w:fill="FFFFFF"/>
        </w:rPr>
      </w:pPr>
      <w:r>
        <w:rPr>
          <w:rFonts w:hint="eastAsia" w:ascii="Times New Roman" w:hAnsi="Times New Roman" w:eastAsia="仿宋_GB2312" w:cs="仿宋_GB2312"/>
          <w:b/>
          <w:color w:val="333333"/>
          <w:kern w:val="0"/>
          <w:sz w:val="31"/>
          <w:szCs w:val="31"/>
          <w:shd w:val="clear" w:color="auto" w:fill="FFFFFF"/>
        </w:rPr>
        <w:t>依据：</w:t>
      </w:r>
      <w:r>
        <w:rPr>
          <w:rFonts w:hint="eastAsia" w:ascii="仿宋_GB2312" w:hAnsi="宋体" w:eastAsia="仿宋_GB2312" w:cs="仿宋_GB2312"/>
          <w:color w:val="333333"/>
          <w:kern w:val="0"/>
          <w:sz w:val="31"/>
          <w:szCs w:val="31"/>
          <w:shd w:val="clear" w:color="auto" w:fill="FFFFFF"/>
        </w:rPr>
        <w:t>国务院《重大行政决策程序暂行条例》《宁夏回族自治区重大行政决策程序规定》。</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231"/>
        <w:gridCol w:w="5979"/>
      </w:tblGrid>
      <w:tr w14:paraId="12D7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93" w:type="dxa"/>
            <w:tcBorders>
              <w:top w:val="single" w:color="auto" w:sz="4" w:space="0"/>
              <w:left w:val="single" w:color="auto" w:sz="4" w:space="0"/>
            </w:tcBorders>
            <w:vAlign w:val="center"/>
          </w:tcPr>
          <w:p w14:paraId="5DE4FA88">
            <w:pPr>
              <w:spacing w:line="315" w:lineRule="atLeast"/>
              <w:jc w:val="center"/>
              <w:textAlignment w:val="center"/>
              <w:rPr>
                <w:rFonts w:ascii="Calibri" w:hAnsi="Calibri" w:eastAsia="宋体" w:cs="Times New Roman"/>
                <w:kern w:val="0"/>
                <w:sz w:val="24"/>
              </w:rPr>
            </w:pPr>
            <w:r>
              <w:rPr>
                <w:rFonts w:ascii="Times New Roman" w:hAnsi="Times New Roman" w:eastAsia="国标黑体" w:cs="Times New Roman"/>
                <w:color w:val="000000"/>
                <w:kern w:val="0"/>
                <w:szCs w:val="21"/>
              </w:rPr>
              <w:t>序号</w:t>
            </w:r>
          </w:p>
        </w:tc>
        <w:tc>
          <w:tcPr>
            <w:tcW w:w="2231" w:type="dxa"/>
            <w:tcBorders>
              <w:top w:val="single" w:color="auto" w:sz="4" w:space="0"/>
            </w:tcBorders>
            <w:vAlign w:val="center"/>
          </w:tcPr>
          <w:p w14:paraId="00CB008F">
            <w:pPr>
              <w:spacing w:line="315" w:lineRule="atLeast"/>
              <w:jc w:val="center"/>
              <w:textAlignment w:val="center"/>
              <w:rPr>
                <w:rFonts w:ascii="Calibri" w:hAnsi="Calibri" w:eastAsia="宋体" w:cs="Times New Roman"/>
                <w:kern w:val="0"/>
                <w:sz w:val="24"/>
              </w:rPr>
            </w:pPr>
            <w:r>
              <w:rPr>
                <w:rFonts w:ascii="Times New Roman" w:hAnsi="Times New Roman" w:eastAsia="国标黑体" w:cs="Times New Roman"/>
                <w:color w:val="000000"/>
                <w:kern w:val="0"/>
                <w:szCs w:val="21"/>
              </w:rPr>
              <w:t>事项名称</w:t>
            </w:r>
          </w:p>
        </w:tc>
        <w:tc>
          <w:tcPr>
            <w:tcW w:w="5979" w:type="dxa"/>
            <w:tcBorders>
              <w:top w:val="single" w:color="auto" w:sz="4" w:space="0"/>
              <w:right w:val="single" w:color="auto" w:sz="4" w:space="0"/>
            </w:tcBorders>
            <w:vAlign w:val="center"/>
          </w:tcPr>
          <w:p w14:paraId="36FC6474">
            <w:pPr>
              <w:spacing w:line="315" w:lineRule="atLeast"/>
              <w:jc w:val="center"/>
              <w:textAlignment w:val="center"/>
              <w:rPr>
                <w:rFonts w:ascii="Calibri" w:hAnsi="Calibri" w:eastAsia="宋体" w:cs="Times New Roman"/>
                <w:kern w:val="0"/>
                <w:sz w:val="24"/>
              </w:rPr>
            </w:pPr>
            <w:r>
              <w:rPr>
                <w:rFonts w:ascii="Times New Roman" w:hAnsi="Times New Roman" w:eastAsia="国标黑体" w:cs="Times New Roman"/>
                <w:color w:val="000000"/>
                <w:kern w:val="0"/>
                <w:szCs w:val="21"/>
              </w:rPr>
              <w:t>具体示例</w:t>
            </w:r>
          </w:p>
        </w:tc>
      </w:tr>
      <w:tr w14:paraId="3E58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793" w:type="dxa"/>
            <w:vMerge w:val="restart"/>
            <w:tcBorders>
              <w:left w:val="single" w:color="auto" w:sz="4" w:space="0"/>
            </w:tcBorders>
            <w:vAlign w:val="center"/>
          </w:tcPr>
          <w:p w14:paraId="08770F0A">
            <w:pPr>
              <w:jc w:val="center"/>
              <w:rPr>
                <w:rFonts w:ascii="Calibri" w:hAnsi="Calibri" w:eastAsia="宋体" w:cs="Times New Roman"/>
              </w:rPr>
            </w:pPr>
            <w:r>
              <w:rPr>
                <w:rFonts w:ascii="Times New Roman" w:hAnsi="Times New Roman" w:eastAsia="宋体" w:cs="Times New Roman"/>
                <w:color w:val="000000"/>
                <w:szCs w:val="21"/>
              </w:rPr>
              <w:t>1</w:t>
            </w:r>
          </w:p>
        </w:tc>
        <w:tc>
          <w:tcPr>
            <w:tcW w:w="2231" w:type="dxa"/>
            <w:vMerge w:val="restart"/>
            <w:vAlign w:val="center"/>
          </w:tcPr>
          <w:p w14:paraId="07FEAA00">
            <w:pPr>
              <w:jc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重大公共政策和措施</w:t>
            </w:r>
          </w:p>
        </w:tc>
        <w:tc>
          <w:tcPr>
            <w:tcW w:w="5979" w:type="dxa"/>
            <w:tcBorders>
              <w:right w:val="single" w:color="auto" w:sz="4" w:space="0"/>
            </w:tcBorders>
            <w:vAlign w:val="center"/>
          </w:tcPr>
          <w:p w14:paraId="5B54A40F">
            <w:pPr>
              <w:jc w:val="left"/>
              <w:rPr>
                <w:rFonts w:ascii="Calibri" w:hAnsi="Calibri" w:eastAsia="宋体" w:cs="Times New Roman"/>
                <w:kern w:val="0"/>
                <w:sz w:val="24"/>
              </w:rPr>
            </w:pPr>
            <w:r>
              <w:rPr>
                <w:rFonts w:ascii="Times New Roman" w:hAnsi="Times New Roman" w:eastAsia="仿宋_GB2312" w:cs="Times New Roman"/>
                <w:color w:val="000000"/>
                <w:kern w:val="0"/>
                <w:szCs w:val="21"/>
              </w:rPr>
              <w:t>制定有关劳动就业、社会保障、教育科技、医疗卫生、生育养老、文化体育、住房保障等公共服务方面的重大公共政策和措施；</w:t>
            </w:r>
          </w:p>
        </w:tc>
      </w:tr>
      <w:tr w14:paraId="45F4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93" w:type="dxa"/>
            <w:vMerge w:val="continue"/>
            <w:tcBorders>
              <w:left w:val="single" w:color="auto" w:sz="4" w:space="0"/>
            </w:tcBorders>
          </w:tcPr>
          <w:p w14:paraId="14E7B76D">
            <w:pPr>
              <w:jc w:val="center"/>
              <w:rPr>
                <w:rFonts w:ascii="Calibri" w:hAnsi="Calibri" w:eastAsia="宋体" w:cs="Times New Roman"/>
              </w:rPr>
            </w:pPr>
          </w:p>
        </w:tc>
        <w:tc>
          <w:tcPr>
            <w:tcW w:w="2231" w:type="dxa"/>
            <w:vMerge w:val="continue"/>
          </w:tcPr>
          <w:p w14:paraId="28296B5E">
            <w:pPr>
              <w:jc w:val="center"/>
              <w:rPr>
                <w:rFonts w:ascii="Calibri" w:hAnsi="Calibri" w:eastAsia="宋体" w:cs="Times New Roman"/>
              </w:rPr>
            </w:pPr>
          </w:p>
        </w:tc>
        <w:tc>
          <w:tcPr>
            <w:tcW w:w="5979" w:type="dxa"/>
            <w:tcBorders>
              <w:right w:val="single" w:color="auto" w:sz="4" w:space="0"/>
            </w:tcBorders>
            <w:vAlign w:val="center"/>
          </w:tcPr>
          <w:p w14:paraId="66CD3E08">
            <w:pPr>
              <w:jc w:val="left"/>
              <w:rPr>
                <w:rFonts w:ascii="Calibri" w:hAnsi="Calibri" w:eastAsia="宋体" w:cs="Times New Roman"/>
                <w:kern w:val="0"/>
                <w:sz w:val="24"/>
              </w:rPr>
            </w:pPr>
            <w:r>
              <w:rPr>
                <w:rFonts w:ascii="Times New Roman" w:hAnsi="Times New Roman" w:eastAsia="仿宋_GB2312" w:cs="Times New Roman"/>
                <w:color w:val="000000"/>
                <w:kern w:val="0"/>
                <w:szCs w:val="21"/>
              </w:rPr>
              <w:t>制定有关市场监管、社会管理、安全生产、城乡建设、交通管理、乡村振兴、民族宗教、劳动保护、生态环境保护等方面的重大公共政策和措施；</w:t>
            </w:r>
          </w:p>
        </w:tc>
      </w:tr>
      <w:tr w14:paraId="0FA7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93" w:type="dxa"/>
            <w:vMerge w:val="continue"/>
            <w:tcBorders>
              <w:left w:val="single" w:color="auto" w:sz="4" w:space="0"/>
            </w:tcBorders>
          </w:tcPr>
          <w:p w14:paraId="170D0C1B">
            <w:pPr>
              <w:jc w:val="center"/>
              <w:rPr>
                <w:rFonts w:ascii="Calibri" w:hAnsi="Calibri" w:eastAsia="宋体" w:cs="Times New Roman"/>
              </w:rPr>
            </w:pPr>
          </w:p>
        </w:tc>
        <w:tc>
          <w:tcPr>
            <w:tcW w:w="2231" w:type="dxa"/>
            <w:vMerge w:val="continue"/>
          </w:tcPr>
          <w:p w14:paraId="64C560FA">
            <w:pPr>
              <w:jc w:val="center"/>
              <w:rPr>
                <w:rFonts w:ascii="Calibri" w:hAnsi="Calibri" w:eastAsia="宋体" w:cs="Times New Roman"/>
              </w:rPr>
            </w:pPr>
          </w:p>
        </w:tc>
        <w:tc>
          <w:tcPr>
            <w:tcW w:w="5979" w:type="dxa"/>
            <w:tcBorders>
              <w:right w:val="single" w:color="auto" w:sz="4" w:space="0"/>
            </w:tcBorders>
            <w:vAlign w:val="center"/>
          </w:tcPr>
          <w:p w14:paraId="7528AFF0">
            <w:pPr>
              <w:jc w:val="left"/>
              <w:rPr>
                <w:rFonts w:ascii="Calibri" w:hAnsi="Calibri" w:eastAsia="宋体" w:cs="Times New Roman"/>
                <w:kern w:val="0"/>
                <w:sz w:val="24"/>
              </w:rPr>
            </w:pPr>
            <w:r>
              <w:rPr>
                <w:rFonts w:ascii="Times New Roman" w:hAnsi="Times New Roman" w:eastAsia="仿宋_GB2312" w:cs="Times New Roman"/>
                <w:color w:val="000000"/>
                <w:kern w:val="0"/>
                <w:szCs w:val="21"/>
              </w:rPr>
              <w:t>制定经济和社会发展方面重要的总体规划、国土空间规划、区域规划、产业规划和专项规划；</w:t>
            </w:r>
          </w:p>
        </w:tc>
      </w:tr>
      <w:tr w14:paraId="5174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793" w:type="dxa"/>
            <w:vMerge w:val="continue"/>
            <w:tcBorders>
              <w:left w:val="single" w:color="auto" w:sz="4" w:space="0"/>
            </w:tcBorders>
          </w:tcPr>
          <w:p w14:paraId="5438BF57">
            <w:pPr>
              <w:jc w:val="center"/>
              <w:rPr>
                <w:rFonts w:ascii="Calibri" w:hAnsi="Calibri" w:eastAsia="宋体" w:cs="Times New Roman"/>
              </w:rPr>
            </w:pPr>
          </w:p>
        </w:tc>
        <w:tc>
          <w:tcPr>
            <w:tcW w:w="2231" w:type="dxa"/>
            <w:vMerge w:val="continue"/>
          </w:tcPr>
          <w:p w14:paraId="0837C2B3">
            <w:pPr>
              <w:jc w:val="center"/>
              <w:rPr>
                <w:rFonts w:ascii="Calibri" w:hAnsi="Calibri" w:eastAsia="宋体" w:cs="Times New Roman"/>
              </w:rPr>
            </w:pPr>
          </w:p>
        </w:tc>
        <w:tc>
          <w:tcPr>
            <w:tcW w:w="5979" w:type="dxa"/>
            <w:tcBorders>
              <w:right w:val="single" w:color="auto" w:sz="4" w:space="0"/>
            </w:tcBorders>
            <w:vAlign w:val="center"/>
          </w:tcPr>
          <w:p w14:paraId="3B8870FA">
            <w:pPr>
              <w:jc w:val="left"/>
              <w:rPr>
                <w:rFonts w:ascii="Calibri" w:hAnsi="Calibri" w:eastAsia="宋体" w:cs="Times New Roman"/>
                <w:kern w:val="0"/>
                <w:sz w:val="24"/>
              </w:rPr>
            </w:pPr>
            <w:r>
              <w:rPr>
                <w:rFonts w:ascii="Times New Roman" w:hAnsi="Times New Roman" w:eastAsia="仿宋_GB2312" w:cs="Times New Roman"/>
                <w:color w:val="000000"/>
                <w:kern w:val="0"/>
                <w:szCs w:val="21"/>
              </w:rPr>
              <w:t>制定开发利用或者保护水、土地、能源、矿产、生物等重要自然资源的重大公共政策和措施；</w:t>
            </w:r>
          </w:p>
        </w:tc>
      </w:tr>
      <w:tr w14:paraId="1CD2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793" w:type="dxa"/>
            <w:vMerge w:val="restart"/>
            <w:tcBorders>
              <w:left w:val="single" w:color="auto" w:sz="4" w:space="0"/>
            </w:tcBorders>
            <w:vAlign w:val="center"/>
          </w:tcPr>
          <w:p w14:paraId="15CF7164">
            <w:pPr>
              <w:jc w:val="center"/>
              <w:rPr>
                <w:rFonts w:ascii="Calibri" w:hAnsi="Calibri" w:eastAsia="宋体" w:cs="Times New Roman"/>
              </w:rPr>
            </w:pPr>
            <w:r>
              <w:rPr>
                <w:rFonts w:ascii="Times New Roman" w:hAnsi="Times New Roman" w:eastAsia="宋体" w:cs="Times New Roman"/>
                <w:color w:val="000000"/>
                <w:szCs w:val="21"/>
              </w:rPr>
              <w:t>1</w:t>
            </w:r>
          </w:p>
        </w:tc>
        <w:tc>
          <w:tcPr>
            <w:tcW w:w="2231" w:type="dxa"/>
            <w:vMerge w:val="restart"/>
            <w:vAlign w:val="center"/>
          </w:tcPr>
          <w:p w14:paraId="111D4490">
            <w:pPr>
              <w:jc w:val="center"/>
              <w:rPr>
                <w:rFonts w:ascii="Calibri" w:hAnsi="Calibri" w:eastAsia="宋体" w:cs="Times New Roman"/>
              </w:rPr>
            </w:pPr>
            <w:r>
              <w:rPr>
                <w:rFonts w:hint="eastAsia" w:ascii="Times New Roman" w:hAnsi="Times New Roman" w:eastAsia="仿宋_GB2312" w:cs="Times New Roman"/>
                <w:color w:val="000000"/>
                <w:kern w:val="0"/>
                <w:szCs w:val="21"/>
                <w:lang w:bidi="ar"/>
              </w:rPr>
              <w:t>重大公共政策和措施</w:t>
            </w:r>
          </w:p>
        </w:tc>
        <w:tc>
          <w:tcPr>
            <w:tcW w:w="5979" w:type="dxa"/>
            <w:tcBorders>
              <w:right w:val="single" w:color="auto" w:sz="4" w:space="0"/>
            </w:tcBorders>
            <w:vAlign w:val="center"/>
          </w:tcPr>
          <w:p w14:paraId="5F3E6D96">
            <w:pPr>
              <w:jc w:val="left"/>
              <w:rPr>
                <w:rFonts w:ascii="Calibri" w:hAnsi="Calibri" w:eastAsia="宋体" w:cs="Times New Roman"/>
                <w:kern w:val="0"/>
                <w:sz w:val="24"/>
              </w:rPr>
            </w:pPr>
            <w:r>
              <w:rPr>
                <w:rFonts w:ascii="Times New Roman" w:hAnsi="Times New Roman" w:eastAsia="仿宋_GB2312" w:cs="Times New Roman"/>
                <w:color w:val="000000"/>
                <w:kern w:val="0"/>
                <w:szCs w:val="21"/>
              </w:rPr>
              <w:t>制定开发利用或者保护历史文化街区、传统村落以及其他重要文化资源的重大公共政策和措施；</w:t>
            </w:r>
          </w:p>
        </w:tc>
      </w:tr>
      <w:tr w14:paraId="6FC5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8" w:hRule="atLeast"/>
          <w:jc w:val="center"/>
        </w:trPr>
        <w:tc>
          <w:tcPr>
            <w:tcW w:w="793" w:type="dxa"/>
            <w:vMerge w:val="continue"/>
            <w:tcBorders>
              <w:left w:val="single" w:color="auto" w:sz="4" w:space="0"/>
            </w:tcBorders>
            <w:vAlign w:val="center"/>
          </w:tcPr>
          <w:p w14:paraId="29ED6F1D">
            <w:pPr>
              <w:jc w:val="center"/>
              <w:rPr>
                <w:rFonts w:ascii="Calibri" w:hAnsi="Calibri" w:eastAsia="宋体" w:cs="Times New Roman"/>
              </w:rPr>
            </w:pPr>
          </w:p>
        </w:tc>
        <w:tc>
          <w:tcPr>
            <w:tcW w:w="2231" w:type="dxa"/>
            <w:vMerge w:val="continue"/>
            <w:vAlign w:val="center"/>
          </w:tcPr>
          <w:p w14:paraId="470B564C">
            <w:pPr>
              <w:jc w:val="center"/>
              <w:rPr>
                <w:rFonts w:ascii="Calibri" w:hAnsi="Calibri" w:eastAsia="宋体" w:cs="Times New Roman"/>
              </w:rPr>
            </w:pPr>
          </w:p>
        </w:tc>
        <w:tc>
          <w:tcPr>
            <w:tcW w:w="5979" w:type="dxa"/>
            <w:tcBorders>
              <w:right w:val="single" w:color="auto" w:sz="4" w:space="0"/>
            </w:tcBorders>
            <w:vAlign w:val="center"/>
          </w:tcPr>
          <w:p w14:paraId="05AAF6E1">
            <w:pPr>
              <w:jc w:val="left"/>
              <w:rPr>
                <w:rFonts w:ascii="Calibri" w:hAnsi="Calibri" w:eastAsia="宋体" w:cs="Times New Roman"/>
                <w:kern w:val="0"/>
                <w:sz w:val="24"/>
              </w:rPr>
            </w:pPr>
            <w:r>
              <w:rPr>
                <w:rFonts w:ascii="Times New Roman" w:hAnsi="Times New Roman" w:eastAsia="仿宋_GB2312" w:cs="Times New Roman"/>
                <w:color w:val="000000"/>
                <w:kern w:val="0"/>
                <w:szCs w:val="21"/>
              </w:rPr>
              <w:t>决定在本行政区域实施的重大公共建设项目</w:t>
            </w:r>
            <w:r>
              <w:rPr>
                <w:rFonts w:hint="eastAsia" w:ascii="Times New Roman" w:hAnsi="Times New Roman" w:eastAsia="仿宋_GB2312" w:cs="Times New Roman"/>
                <w:color w:val="000000"/>
                <w:kern w:val="0"/>
                <w:szCs w:val="21"/>
              </w:rPr>
              <w:t>，如：1.</w:t>
            </w:r>
            <w:r>
              <w:rPr>
                <w:rFonts w:ascii="Times New Roman" w:hAnsi="Times New Roman" w:eastAsia="仿宋_GB2312" w:cs="Times New Roman"/>
                <w:color w:val="000000"/>
                <w:kern w:val="0"/>
                <w:szCs w:val="21"/>
              </w:rPr>
              <w:t>政府投资的大型科教文卫体育设施场馆、垃圾和污水处理设施、轨道交通设施、车站、大型城市广场、公园等重大公共建设项目；</w:t>
            </w:r>
            <w:r>
              <w:rPr>
                <w:rFonts w:hint="eastAsia" w:ascii="Times New Roman" w:hAnsi="Times New Roman" w:eastAsia="仿宋_GB2312" w:cs="Times New Roman"/>
                <w:color w:val="000000"/>
                <w:kern w:val="0"/>
                <w:szCs w:val="21"/>
              </w:rPr>
              <w:t>2.</w:t>
            </w:r>
            <w:r>
              <w:rPr>
                <w:rFonts w:ascii="Times New Roman" w:hAnsi="Times New Roman" w:eastAsia="仿宋_GB2312" w:cs="Times New Roman"/>
                <w:color w:val="000000"/>
                <w:kern w:val="0"/>
                <w:szCs w:val="21"/>
              </w:rPr>
              <w:t>需经政府核准，投资规模大、社会关注度高、对公众利益有重大影响、引领带动效益明显的重大公共建设项目；</w:t>
            </w:r>
            <w:r>
              <w:rPr>
                <w:rFonts w:hint="eastAsia" w:ascii="Times New Roman" w:hAnsi="Times New Roman" w:eastAsia="仿宋_GB2312" w:cs="Times New Roman"/>
                <w:color w:val="000000"/>
                <w:kern w:val="0"/>
                <w:szCs w:val="21"/>
              </w:rPr>
              <w:t>3.</w:t>
            </w:r>
            <w:r>
              <w:rPr>
                <w:rFonts w:ascii="Times New Roman" w:hAnsi="Times New Roman" w:eastAsia="仿宋_GB2312" w:cs="Times New Roman"/>
                <w:color w:val="000000"/>
                <w:kern w:val="0"/>
                <w:szCs w:val="21"/>
              </w:rPr>
              <w:t>决定在本行政区域实施的其他重大公共建设项目。</w:t>
            </w:r>
          </w:p>
        </w:tc>
      </w:tr>
      <w:tr w14:paraId="6C49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8" w:hRule="atLeast"/>
          <w:jc w:val="center"/>
        </w:trPr>
        <w:tc>
          <w:tcPr>
            <w:tcW w:w="793" w:type="dxa"/>
            <w:vMerge w:val="continue"/>
            <w:tcBorders>
              <w:left w:val="single" w:color="auto" w:sz="4" w:space="0"/>
              <w:bottom w:val="single" w:color="auto" w:sz="4" w:space="0"/>
            </w:tcBorders>
            <w:vAlign w:val="center"/>
          </w:tcPr>
          <w:p w14:paraId="58BDA9AE">
            <w:pPr>
              <w:jc w:val="center"/>
              <w:rPr>
                <w:rFonts w:ascii="Calibri" w:hAnsi="Calibri" w:eastAsia="宋体" w:cs="Times New Roman"/>
              </w:rPr>
            </w:pPr>
          </w:p>
        </w:tc>
        <w:tc>
          <w:tcPr>
            <w:tcW w:w="2231" w:type="dxa"/>
            <w:vMerge w:val="continue"/>
            <w:tcBorders>
              <w:bottom w:val="single" w:color="auto" w:sz="4" w:space="0"/>
            </w:tcBorders>
            <w:vAlign w:val="center"/>
          </w:tcPr>
          <w:p w14:paraId="628E16CD">
            <w:pPr>
              <w:jc w:val="center"/>
              <w:rPr>
                <w:rFonts w:ascii="Calibri" w:hAnsi="Calibri" w:eastAsia="宋体" w:cs="Times New Roman"/>
              </w:rPr>
            </w:pPr>
          </w:p>
        </w:tc>
        <w:tc>
          <w:tcPr>
            <w:tcW w:w="5979" w:type="dxa"/>
            <w:tcBorders>
              <w:bottom w:val="single" w:color="auto" w:sz="4" w:space="0"/>
              <w:right w:val="single" w:color="auto" w:sz="4" w:space="0"/>
            </w:tcBorders>
            <w:vAlign w:val="center"/>
          </w:tcPr>
          <w:p w14:paraId="20FCE6C3">
            <w:pPr>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决定对经济社会发展有重大影响、涉及重大公共利益或者社会公众切身利益的其他重大事项</w:t>
            </w:r>
            <w:r>
              <w:rPr>
                <w:rFonts w:hint="eastAsia" w:ascii="Times New Roman" w:hAnsi="Times New Roman" w:eastAsia="仿宋_GB2312" w:cs="Times New Roman"/>
                <w:color w:val="000000"/>
                <w:kern w:val="0"/>
                <w:szCs w:val="21"/>
              </w:rPr>
              <w:t>，如：1.</w:t>
            </w:r>
            <w:r>
              <w:rPr>
                <w:rFonts w:ascii="Times New Roman" w:hAnsi="Times New Roman" w:eastAsia="仿宋_GB2312" w:cs="Times New Roman"/>
                <w:color w:val="000000"/>
                <w:kern w:val="0"/>
                <w:szCs w:val="21"/>
              </w:rPr>
              <w:t>重大国有资产处置事项；</w:t>
            </w:r>
            <w:r>
              <w:rPr>
                <w:rFonts w:hint="eastAsia" w:ascii="Times New Roman" w:hAnsi="Times New Roman" w:eastAsia="仿宋_GB2312" w:cs="Times New Roman"/>
                <w:color w:val="000000"/>
                <w:kern w:val="0"/>
                <w:szCs w:val="21"/>
              </w:rPr>
              <w:t>2.</w:t>
            </w:r>
            <w:r>
              <w:rPr>
                <w:rFonts w:ascii="Times New Roman" w:hAnsi="Times New Roman" w:eastAsia="仿宋_GB2312" w:cs="Times New Roman"/>
                <w:color w:val="000000"/>
                <w:kern w:val="0"/>
                <w:szCs w:val="21"/>
              </w:rPr>
              <w:t>行政管理体制改革事项；</w:t>
            </w:r>
            <w:r>
              <w:rPr>
                <w:rFonts w:hint="eastAsia" w:ascii="Times New Roman" w:hAnsi="Times New Roman" w:eastAsia="仿宋_GB2312" w:cs="Times New Roman"/>
                <w:color w:val="000000"/>
                <w:kern w:val="0"/>
                <w:szCs w:val="21"/>
              </w:rPr>
              <w:t>3.</w:t>
            </w:r>
            <w:r>
              <w:rPr>
                <w:rFonts w:ascii="Times New Roman" w:hAnsi="Times New Roman" w:eastAsia="仿宋_GB2312" w:cs="Times New Roman"/>
                <w:color w:val="000000"/>
                <w:kern w:val="0"/>
                <w:szCs w:val="21"/>
              </w:rPr>
              <w:t>区域协调发展重大事项；</w:t>
            </w:r>
            <w:r>
              <w:rPr>
                <w:rFonts w:hint="eastAsia" w:ascii="Times New Roman" w:hAnsi="Times New Roman" w:eastAsia="仿宋_GB2312" w:cs="Times New Roman"/>
                <w:color w:val="000000"/>
                <w:kern w:val="0"/>
                <w:szCs w:val="21"/>
              </w:rPr>
              <w:t>4.</w:t>
            </w:r>
            <w:r>
              <w:rPr>
                <w:rFonts w:ascii="Times New Roman" w:hAnsi="Times New Roman" w:eastAsia="仿宋_GB2312" w:cs="Times New Roman"/>
                <w:color w:val="000000"/>
                <w:kern w:val="0"/>
                <w:szCs w:val="21"/>
              </w:rPr>
              <w:t>对经济社会发展和民生改善有直接、广泛和重要影响的其他重大事项。如重大招商引资项目、重大改革事项、行政区划调整事项、财政、国资方面的重大政策措施、属于社会风险评估范围的重大决策事项等。</w:t>
            </w:r>
          </w:p>
        </w:tc>
      </w:tr>
      <w:tr w14:paraId="2B29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793" w:type="dxa"/>
            <w:tcBorders>
              <w:top w:val="single" w:color="auto" w:sz="4" w:space="0"/>
              <w:left w:val="single" w:color="auto" w:sz="4" w:space="0"/>
            </w:tcBorders>
            <w:vAlign w:val="center"/>
          </w:tcPr>
          <w:p w14:paraId="4D4B1C69">
            <w:pPr>
              <w:spacing w:line="315" w:lineRule="atLeast"/>
              <w:jc w:val="center"/>
              <w:textAlignment w:val="center"/>
              <w:rPr>
                <w:rFonts w:ascii="Calibri" w:hAnsi="Calibri" w:eastAsia="宋体" w:cs="Times New Roman"/>
                <w:kern w:val="0"/>
                <w:sz w:val="24"/>
              </w:rPr>
            </w:pPr>
            <w:r>
              <w:rPr>
                <w:rFonts w:ascii="Times New Roman" w:hAnsi="Times New Roman" w:eastAsia="宋体" w:cs="Times New Roman"/>
                <w:kern w:val="0"/>
                <w:szCs w:val="21"/>
              </w:rPr>
              <w:t>2</w:t>
            </w:r>
          </w:p>
        </w:tc>
        <w:tc>
          <w:tcPr>
            <w:tcW w:w="8210" w:type="dxa"/>
            <w:gridSpan w:val="2"/>
            <w:tcBorders>
              <w:top w:val="single" w:color="auto" w:sz="4" w:space="0"/>
              <w:right w:val="single" w:color="auto" w:sz="4" w:space="0"/>
            </w:tcBorders>
            <w:vAlign w:val="center"/>
          </w:tcPr>
          <w:p w14:paraId="797874F8">
            <w:pPr>
              <w:spacing w:line="315" w:lineRule="atLeast"/>
              <w:jc w:val="center"/>
              <w:textAlignment w:val="center"/>
              <w:rPr>
                <w:rFonts w:ascii="Calibri" w:hAnsi="Calibri" w:eastAsia="宋体" w:cs="Times New Roman"/>
                <w:kern w:val="0"/>
                <w:sz w:val="24"/>
              </w:rPr>
            </w:pPr>
            <w:r>
              <w:rPr>
                <w:rFonts w:ascii="Times New Roman" w:hAnsi="Times New Roman" w:eastAsia="仿宋_GB2312" w:cs="Times New Roman"/>
                <w:kern w:val="21"/>
                <w:szCs w:val="21"/>
              </w:rPr>
              <w:t>其他符合《重大行政决策程序暂行条例》第三条规定的县政府重大行政决策事项。</w:t>
            </w:r>
          </w:p>
        </w:tc>
      </w:tr>
      <w:tr w14:paraId="7068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9003" w:type="dxa"/>
            <w:gridSpan w:val="3"/>
            <w:tcBorders>
              <w:left w:val="single" w:color="auto" w:sz="4" w:space="0"/>
              <w:bottom w:val="single" w:color="auto" w:sz="4" w:space="0"/>
              <w:right w:val="single" w:color="auto" w:sz="4" w:space="0"/>
            </w:tcBorders>
            <w:vAlign w:val="center"/>
          </w:tcPr>
          <w:p w14:paraId="26CF716D">
            <w:pPr>
              <w:rPr>
                <w:rFonts w:ascii="Calibri" w:hAnsi="Calibri" w:eastAsia="宋体" w:cs="Times New Roman"/>
              </w:rPr>
            </w:pPr>
            <w:r>
              <w:rPr>
                <w:rFonts w:ascii="Times New Roman" w:hAnsi="Times New Roman" w:eastAsia="仿宋_GB2312" w:cs="Times New Roman"/>
                <w:b/>
                <w:bCs/>
                <w:kern w:val="21"/>
                <w:szCs w:val="21"/>
                <w:lang w:bidi="ar"/>
              </w:rPr>
              <w:t>提示：</w:t>
            </w:r>
            <w:r>
              <w:rPr>
                <w:rFonts w:ascii="Times New Roman" w:hAnsi="Times New Roman" w:eastAsia="仿宋_GB2312" w:cs="Times New Roman"/>
                <w:kern w:val="21"/>
                <w:szCs w:val="21"/>
                <w:lang w:bidi="ar"/>
              </w:rPr>
              <w:t>法律、行政法规对重大决策事项的决策程序另有规定的，依照其规定。财政政策、货币政策等宏观调控决策，以及突发事件应急处置决策不适用本条例。执行上级机关交办的任务明确、可直接执行的决策部署任务，或者执行上级机关的紧急命令需要立即作出的决策可以不列入重大行政决策事项目录。</w:t>
            </w:r>
          </w:p>
        </w:tc>
      </w:tr>
    </w:tbl>
    <w:p w14:paraId="03EC2627">
      <w:pPr>
        <w:spacing w:line="540" w:lineRule="atLeast"/>
        <w:ind w:firstLine="646"/>
        <w:textAlignment w:val="center"/>
        <w:rPr>
          <w:rFonts w:ascii="Times New Roman" w:hAnsi="Times New Roman" w:eastAsia="黑体" w:cs="黑体"/>
          <w:color w:val="333333"/>
          <w:kern w:val="0"/>
          <w:sz w:val="32"/>
          <w:szCs w:val="32"/>
          <w:shd w:val="clear" w:color="auto" w:fill="FFFFFF"/>
        </w:rPr>
      </w:pPr>
      <w:r>
        <w:rPr>
          <w:rFonts w:ascii="Times New Roman" w:hAnsi="Times New Roman" w:eastAsia="黑体" w:cs="黑体"/>
          <w:color w:val="333333"/>
          <w:kern w:val="0"/>
          <w:sz w:val="32"/>
          <w:szCs w:val="32"/>
          <w:shd w:val="clear" w:color="auto" w:fill="FFFFFF"/>
        </w:rPr>
        <w:t>三、行政协议</w:t>
      </w:r>
    </w:p>
    <w:tbl>
      <w:tblPr>
        <w:tblStyle w:val="13"/>
        <w:tblW w:w="894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871"/>
        <w:gridCol w:w="2130"/>
        <w:gridCol w:w="5943"/>
      </w:tblGrid>
      <w:tr w14:paraId="3DEDA6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871" w:type="dxa"/>
            <w:tcBorders>
              <w:top w:val="single" w:color="000000" w:sz="6" w:space="0"/>
              <w:left w:val="single" w:color="000000" w:sz="6" w:space="0"/>
              <w:bottom w:val="single" w:color="000000" w:sz="6" w:space="0"/>
              <w:right w:val="single" w:color="000000" w:sz="6" w:space="0"/>
            </w:tcBorders>
            <w:shd w:val="clear" w:color="auto" w:fill="auto"/>
            <w:tcMar>
              <w:left w:w="15" w:type="dxa"/>
              <w:right w:w="15" w:type="dxa"/>
            </w:tcMar>
            <w:vAlign w:val="center"/>
          </w:tcPr>
          <w:p w14:paraId="4B247C73">
            <w:pPr>
              <w:spacing w:line="315" w:lineRule="atLeast"/>
              <w:jc w:val="center"/>
              <w:textAlignment w:val="center"/>
              <w:rPr>
                <w:rFonts w:ascii="Times New Roman" w:hAnsi="Times New Roman" w:eastAsia="国标黑体" w:cs="Times New Roman"/>
                <w:color w:val="000000"/>
                <w:kern w:val="0"/>
                <w:szCs w:val="21"/>
              </w:rPr>
            </w:pPr>
            <w:r>
              <w:rPr>
                <w:rFonts w:ascii="Times New Roman" w:hAnsi="Times New Roman" w:eastAsia="国标黑体" w:cs="Times New Roman"/>
                <w:color w:val="000000"/>
                <w:kern w:val="0"/>
                <w:szCs w:val="21"/>
              </w:rPr>
              <w:t>序号</w:t>
            </w:r>
          </w:p>
        </w:tc>
        <w:tc>
          <w:tcPr>
            <w:tcW w:w="2130" w:type="dxa"/>
            <w:tcBorders>
              <w:top w:val="single" w:color="auto" w:sz="6" w:space="0"/>
              <w:left w:val="nil"/>
              <w:bottom w:val="single" w:color="auto" w:sz="6" w:space="0"/>
              <w:right w:val="single" w:color="auto" w:sz="6" w:space="0"/>
            </w:tcBorders>
            <w:shd w:val="clear" w:color="auto" w:fill="auto"/>
            <w:tcMar>
              <w:left w:w="15" w:type="dxa"/>
              <w:right w:w="15" w:type="dxa"/>
            </w:tcMar>
            <w:vAlign w:val="center"/>
          </w:tcPr>
          <w:p w14:paraId="22D32691">
            <w:pPr>
              <w:spacing w:line="315" w:lineRule="atLeast"/>
              <w:jc w:val="center"/>
              <w:textAlignment w:val="center"/>
              <w:rPr>
                <w:rFonts w:ascii="Times New Roman" w:hAnsi="Times New Roman" w:eastAsia="国标黑体" w:cs="Times New Roman"/>
                <w:color w:val="000000"/>
                <w:kern w:val="0"/>
                <w:szCs w:val="21"/>
              </w:rPr>
            </w:pPr>
            <w:r>
              <w:rPr>
                <w:rFonts w:ascii="Times New Roman" w:hAnsi="Times New Roman" w:eastAsia="国标黑体" w:cs="Times New Roman"/>
                <w:color w:val="000000"/>
                <w:kern w:val="0"/>
                <w:szCs w:val="21"/>
              </w:rPr>
              <w:t>事项名称</w:t>
            </w:r>
          </w:p>
        </w:tc>
        <w:tc>
          <w:tcPr>
            <w:tcW w:w="5943" w:type="dxa"/>
            <w:tcBorders>
              <w:top w:val="single" w:color="auto" w:sz="6" w:space="0"/>
              <w:left w:val="nil"/>
              <w:bottom w:val="single" w:color="auto" w:sz="6" w:space="0"/>
              <w:right w:val="single" w:color="auto" w:sz="6" w:space="0"/>
            </w:tcBorders>
            <w:shd w:val="clear" w:color="auto" w:fill="auto"/>
            <w:tcMar>
              <w:left w:w="15" w:type="dxa"/>
              <w:right w:w="15" w:type="dxa"/>
            </w:tcMar>
            <w:vAlign w:val="center"/>
          </w:tcPr>
          <w:p w14:paraId="537A8F1B">
            <w:pPr>
              <w:spacing w:line="315" w:lineRule="atLeast"/>
              <w:jc w:val="center"/>
              <w:textAlignment w:val="center"/>
              <w:rPr>
                <w:rFonts w:ascii="Times New Roman" w:hAnsi="Times New Roman" w:eastAsia="国标黑体" w:cs="Times New Roman"/>
                <w:color w:val="000000"/>
                <w:kern w:val="0"/>
                <w:szCs w:val="21"/>
              </w:rPr>
            </w:pPr>
            <w:r>
              <w:rPr>
                <w:rFonts w:ascii="Times New Roman" w:hAnsi="Times New Roman" w:eastAsia="国标黑体" w:cs="Times New Roman"/>
                <w:color w:val="000000"/>
                <w:kern w:val="0"/>
                <w:szCs w:val="21"/>
              </w:rPr>
              <w:t>具体示例</w:t>
            </w:r>
          </w:p>
        </w:tc>
      </w:tr>
      <w:tr w14:paraId="2F714A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79" w:hRule="atLeast"/>
          <w:jc w:val="center"/>
        </w:trPr>
        <w:tc>
          <w:tcPr>
            <w:tcW w:w="871" w:type="dxa"/>
            <w:tcBorders>
              <w:top w:val="nil"/>
              <w:left w:val="single" w:color="auto" w:sz="6" w:space="0"/>
              <w:bottom w:val="single" w:color="auto" w:sz="4" w:space="0"/>
              <w:right w:val="single" w:color="auto" w:sz="6" w:space="0"/>
            </w:tcBorders>
            <w:shd w:val="clear" w:color="auto" w:fill="auto"/>
            <w:tcMar>
              <w:left w:w="15" w:type="dxa"/>
              <w:right w:w="15" w:type="dxa"/>
            </w:tcMar>
            <w:vAlign w:val="center"/>
          </w:tcPr>
          <w:p w14:paraId="75A8733B">
            <w:pPr>
              <w:spacing w:line="315" w:lineRule="atLeast"/>
              <w:jc w:val="center"/>
              <w:textAlignment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1</w:t>
            </w:r>
          </w:p>
        </w:tc>
        <w:tc>
          <w:tcPr>
            <w:tcW w:w="2130" w:type="dxa"/>
            <w:tcBorders>
              <w:top w:val="nil"/>
              <w:left w:val="nil"/>
              <w:bottom w:val="single" w:color="auto" w:sz="4" w:space="0"/>
              <w:right w:val="single" w:color="auto" w:sz="6" w:space="0"/>
            </w:tcBorders>
            <w:shd w:val="clear" w:color="auto" w:fill="auto"/>
            <w:tcMar>
              <w:left w:w="15" w:type="dxa"/>
              <w:right w:w="15" w:type="dxa"/>
            </w:tcMar>
            <w:vAlign w:val="center"/>
          </w:tcPr>
          <w:p w14:paraId="35AB8646">
            <w:pPr>
              <w:spacing w:line="315" w:lineRule="atLeast"/>
              <w:jc w:val="left"/>
              <w:textAlignment w:val="center"/>
              <w:rPr>
                <w:rFonts w:ascii="Times New Roman" w:hAnsi="Times New Roman" w:eastAsia="仿宋_GB2312" w:cs="Times New Roman"/>
                <w:kern w:val="21"/>
                <w:szCs w:val="21"/>
              </w:rPr>
            </w:pPr>
            <w:r>
              <w:rPr>
                <w:rFonts w:hint="eastAsia" w:ascii="Times New Roman" w:hAnsi="Times New Roman" w:eastAsia="仿宋_GB2312" w:cs="Times New Roman"/>
                <w:kern w:val="21"/>
                <w:szCs w:val="21"/>
                <w:lang w:bidi="ar"/>
              </w:rPr>
              <w:t>特许经营协议</w:t>
            </w:r>
          </w:p>
        </w:tc>
        <w:tc>
          <w:tcPr>
            <w:tcW w:w="5943" w:type="dxa"/>
            <w:tcBorders>
              <w:top w:val="nil"/>
              <w:left w:val="nil"/>
              <w:bottom w:val="single" w:color="auto" w:sz="4" w:space="0"/>
              <w:right w:val="single" w:color="auto" w:sz="6" w:space="0"/>
            </w:tcBorders>
            <w:shd w:val="clear" w:color="auto" w:fill="auto"/>
            <w:tcMar>
              <w:left w:w="15" w:type="dxa"/>
              <w:right w:w="15" w:type="dxa"/>
            </w:tcMar>
            <w:vAlign w:val="center"/>
          </w:tcPr>
          <w:p w14:paraId="1FC5C083">
            <w:pPr>
              <w:spacing w:line="315" w:lineRule="atLeast"/>
              <w:jc w:val="left"/>
              <w:textAlignment w:val="center"/>
              <w:rPr>
                <w:rFonts w:ascii="Times New Roman" w:hAnsi="Times New Roman" w:eastAsia="仿宋_GB2312" w:cs="Times New Roman"/>
                <w:kern w:val="21"/>
                <w:szCs w:val="21"/>
              </w:rPr>
            </w:pPr>
            <w:r>
              <w:rPr>
                <w:rFonts w:hint="eastAsia" w:ascii="Times New Roman" w:hAnsi="Times New Roman" w:eastAsia="仿宋_GB2312" w:cs="Times New Roman"/>
                <w:kern w:val="21"/>
                <w:szCs w:val="21"/>
                <w:lang w:bidi="ar"/>
              </w:rPr>
              <w:t>城市供水、供气、供热、公共交通、污水处理、垃圾处理特许经营协议等。</w:t>
            </w:r>
          </w:p>
        </w:tc>
      </w:tr>
      <w:tr w14:paraId="40AB82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18" w:hRule="atLeast"/>
          <w:jc w:val="center"/>
        </w:trPr>
        <w:tc>
          <w:tcPr>
            <w:tcW w:w="871" w:type="dxa"/>
            <w:tcBorders>
              <w:top w:val="single" w:color="auto" w:sz="4" w:space="0"/>
              <w:left w:val="single" w:color="auto" w:sz="4" w:space="0"/>
              <w:bottom w:val="single" w:color="auto" w:sz="4" w:space="0"/>
              <w:right w:val="single" w:color="auto" w:sz="6" w:space="0"/>
            </w:tcBorders>
            <w:shd w:val="clear" w:color="auto" w:fill="auto"/>
            <w:tcMar>
              <w:left w:w="15" w:type="dxa"/>
              <w:right w:w="15" w:type="dxa"/>
            </w:tcMar>
            <w:vAlign w:val="center"/>
          </w:tcPr>
          <w:p w14:paraId="67001843">
            <w:pPr>
              <w:spacing w:line="315" w:lineRule="atLeast"/>
              <w:jc w:val="center"/>
              <w:textAlignment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w:t>
            </w:r>
          </w:p>
        </w:tc>
        <w:tc>
          <w:tcPr>
            <w:tcW w:w="2130" w:type="dxa"/>
            <w:tcBorders>
              <w:top w:val="single" w:color="auto" w:sz="4" w:space="0"/>
              <w:left w:val="nil"/>
              <w:bottom w:val="single" w:color="auto" w:sz="4" w:space="0"/>
              <w:right w:val="single" w:color="auto" w:sz="6" w:space="0"/>
            </w:tcBorders>
            <w:shd w:val="clear" w:color="auto" w:fill="auto"/>
            <w:tcMar>
              <w:left w:w="15" w:type="dxa"/>
              <w:right w:w="15" w:type="dxa"/>
            </w:tcMar>
            <w:vAlign w:val="center"/>
          </w:tcPr>
          <w:p w14:paraId="7BD8F85A">
            <w:pPr>
              <w:spacing w:line="315" w:lineRule="atLeast"/>
              <w:jc w:val="left"/>
              <w:textAlignment w:val="center"/>
              <w:rPr>
                <w:rFonts w:ascii="Times New Roman" w:hAnsi="Times New Roman" w:eastAsia="仿宋_GB2312" w:cs="Times New Roman"/>
                <w:kern w:val="21"/>
                <w:szCs w:val="21"/>
              </w:rPr>
            </w:pPr>
            <w:r>
              <w:rPr>
                <w:rFonts w:hint="eastAsia" w:ascii="Times New Roman" w:hAnsi="Times New Roman" w:eastAsia="仿宋_GB2312" w:cs="Times New Roman"/>
                <w:kern w:val="21"/>
                <w:szCs w:val="21"/>
                <w:lang w:bidi="ar"/>
              </w:rPr>
              <w:t>征收征用补偿协议</w:t>
            </w:r>
          </w:p>
        </w:tc>
        <w:tc>
          <w:tcPr>
            <w:tcW w:w="5943" w:type="dxa"/>
            <w:tcBorders>
              <w:top w:val="single" w:color="auto" w:sz="4" w:space="0"/>
              <w:left w:val="nil"/>
              <w:bottom w:val="single" w:color="auto" w:sz="4" w:space="0"/>
              <w:right w:val="single" w:color="auto" w:sz="4" w:space="0"/>
            </w:tcBorders>
            <w:shd w:val="clear" w:color="auto" w:fill="auto"/>
            <w:tcMar>
              <w:left w:w="15" w:type="dxa"/>
              <w:right w:w="15" w:type="dxa"/>
            </w:tcMar>
            <w:vAlign w:val="center"/>
          </w:tcPr>
          <w:p w14:paraId="2D324039">
            <w:pPr>
              <w:spacing w:line="315" w:lineRule="atLeast"/>
              <w:jc w:val="left"/>
              <w:textAlignment w:val="center"/>
              <w:rPr>
                <w:rFonts w:ascii="Times New Roman" w:hAnsi="Times New Roman" w:eastAsia="仿宋_GB2312" w:cs="Times New Roman"/>
                <w:kern w:val="21"/>
                <w:szCs w:val="21"/>
              </w:rPr>
            </w:pPr>
            <w:r>
              <w:rPr>
                <w:rFonts w:hint="eastAsia" w:ascii="Times New Roman" w:hAnsi="Times New Roman" w:eastAsia="仿宋_GB2312" w:cs="Times New Roman"/>
                <w:kern w:val="21"/>
                <w:szCs w:val="21"/>
                <w:lang w:bidi="ar"/>
              </w:rPr>
              <w:t>旧城改造项目房屋征收补偿协议、房屋拆迁补偿安置协议、地上附着物及青苗补偿协议等。</w:t>
            </w:r>
          </w:p>
        </w:tc>
      </w:tr>
      <w:tr w14:paraId="42324C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99" w:hRule="atLeast"/>
          <w:jc w:val="center"/>
        </w:trPr>
        <w:tc>
          <w:tcPr>
            <w:tcW w:w="871" w:type="dxa"/>
            <w:tcBorders>
              <w:top w:val="single" w:color="auto" w:sz="4" w:space="0"/>
              <w:left w:val="single" w:color="auto" w:sz="6" w:space="0"/>
              <w:bottom w:val="single" w:color="auto" w:sz="4" w:space="0"/>
              <w:right w:val="single" w:color="auto" w:sz="6" w:space="0"/>
            </w:tcBorders>
            <w:shd w:val="clear" w:color="auto" w:fill="auto"/>
            <w:tcMar>
              <w:left w:w="15" w:type="dxa"/>
              <w:right w:w="15" w:type="dxa"/>
            </w:tcMar>
            <w:vAlign w:val="center"/>
          </w:tcPr>
          <w:p w14:paraId="4CB3166D">
            <w:pPr>
              <w:spacing w:line="315" w:lineRule="atLeast"/>
              <w:jc w:val="center"/>
              <w:textAlignment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w:t>
            </w:r>
          </w:p>
        </w:tc>
        <w:tc>
          <w:tcPr>
            <w:tcW w:w="2130" w:type="dxa"/>
            <w:tcBorders>
              <w:top w:val="single" w:color="auto" w:sz="4" w:space="0"/>
              <w:left w:val="nil"/>
              <w:bottom w:val="single" w:color="auto" w:sz="4" w:space="0"/>
              <w:right w:val="single" w:color="auto" w:sz="6" w:space="0"/>
            </w:tcBorders>
            <w:shd w:val="clear" w:color="auto" w:fill="auto"/>
            <w:tcMar>
              <w:left w:w="15" w:type="dxa"/>
              <w:right w:w="15" w:type="dxa"/>
            </w:tcMar>
            <w:vAlign w:val="center"/>
          </w:tcPr>
          <w:p w14:paraId="146CE9DD">
            <w:pPr>
              <w:spacing w:line="315" w:lineRule="atLeast"/>
              <w:jc w:val="left"/>
              <w:textAlignment w:val="center"/>
              <w:rPr>
                <w:rFonts w:ascii="Times New Roman" w:hAnsi="Times New Roman" w:eastAsia="仿宋_GB2312" w:cs="Times New Roman"/>
                <w:kern w:val="21"/>
                <w:szCs w:val="21"/>
              </w:rPr>
            </w:pPr>
            <w:r>
              <w:rPr>
                <w:rFonts w:hint="eastAsia" w:ascii="Times New Roman" w:hAnsi="Times New Roman" w:eastAsia="仿宋_GB2312" w:cs="Times New Roman"/>
                <w:kern w:val="21"/>
                <w:szCs w:val="21"/>
                <w:lang w:bidi="ar"/>
              </w:rPr>
              <w:t>国有自然资源使用权出让协议</w:t>
            </w:r>
          </w:p>
        </w:tc>
        <w:tc>
          <w:tcPr>
            <w:tcW w:w="5943" w:type="dxa"/>
            <w:tcBorders>
              <w:top w:val="single" w:color="auto" w:sz="4" w:space="0"/>
              <w:left w:val="nil"/>
              <w:bottom w:val="single" w:color="auto" w:sz="4" w:space="0"/>
              <w:right w:val="single" w:color="auto" w:sz="6" w:space="0"/>
            </w:tcBorders>
            <w:shd w:val="clear" w:color="auto" w:fill="auto"/>
            <w:tcMar>
              <w:left w:w="15" w:type="dxa"/>
              <w:right w:w="15" w:type="dxa"/>
            </w:tcMar>
            <w:vAlign w:val="center"/>
          </w:tcPr>
          <w:p w14:paraId="104AA49A">
            <w:pPr>
              <w:spacing w:line="315" w:lineRule="atLeast"/>
              <w:jc w:val="left"/>
              <w:textAlignment w:val="center"/>
              <w:rPr>
                <w:rFonts w:ascii="Times New Roman" w:hAnsi="Times New Roman" w:eastAsia="仿宋_GB2312" w:cs="Times New Roman"/>
                <w:kern w:val="21"/>
                <w:szCs w:val="21"/>
              </w:rPr>
            </w:pPr>
            <w:r>
              <w:rPr>
                <w:rFonts w:ascii="Times New Roman" w:hAnsi="Times New Roman" w:eastAsia="仿宋_GB2312" w:cs="Times New Roman"/>
                <w:kern w:val="21"/>
                <w:szCs w:val="21"/>
                <w:lang w:bidi="ar"/>
              </w:rPr>
              <w:t>国有土地使用权出让协议、矿业权出让协议等</w:t>
            </w:r>
            <w:r>
              <w:rPr>
                <w:rFonts w:hint="eastAsia" w:ascii="Times New Roman" w:hAnsi="Times New Roman" w:eastAsia="仿宋_GB2312" w:cs="Times New Roman"/>
                <w:kern w:val="21"/>
                <w:szCs w:val="21"/>
                <w:lang w:bidi="ar"/>
              </w:rPr>
              <w:t>。</w:t>
            </w:r>
          </w:p>
        </w:tc>
      </w:tr>
      <w:tr w14:paraId="057CE5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59" w:hRule="atLeast"/>
          <w:jc w:val="center"/>
        </w:trPr>
        <w:tc>
          <w:tcPr>
            <w:tcW w:w="871" w:type="dxa"/>
            <w:tcBorders>
              <w:top w:val="single" w:color="auto" w:sz="4" w:space="0"/>
              <w:left w:val="single" w:color="auto" w:sz="4" w:space="0"/>
              <w:bottom w:val="single" w:color="auto" w:sz="4" w:space="0"/>
              <w:right w:val="single" w:color="auto" w:sz="6" w:space="0"/>
            </w:tcBorders>
            <w:shd w:val="clear" w:color="auto" w:fill="auto"/>
            <w:tcMar>
              <w:left w:w="15" w:type="dxa"/>
              <w:right w:w="15" w:type="dxa"/>
            </w:tcMar>
            <w:vAlign w:val="center"/>
          </w:tcPr>
          <w:p w14:paraId="37825905">
            <w:pPr>
              <w:spacing w:line="315" w:lineRule="atLeast"/>
              <w:jc w:val="center"/>
              <w:textAlignment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w:t>
            </w:r>
          </w:p>
        </w:tc>
        <w:tc>
          <w:tcPr>
            <w:tcW w:w="2130" w:type="dxa"/>
            <w:tcBorders>
              <w:top w:val="single" w:color="auto" w:sz="4" w:space="0"/>
              <w:left w:val="nil"/>
              <w:bottom w:val="single" w:color="auto" w:sz="4" w:space="0"/>
              <w:right w:val="single" w:color="auto" w:sz="6" w:space="0"/>
            </w:tcBorders>
            <w:shd w:val="clear" w:color="auto" w:fill="auto"/>
            <w:tcMar>
              <w:left w:w="15" w:type="dxa"/>
              <w:right w:w="15" w:type="dxa"/>
            </w:tcMar>
            <w:vAlign w:val="center"/>
          </w:tcPr>
          <w:p w14:paraId="64EE27A6">
            <w:pPr>
              <w:spacing w:line="315" w:lineRule="atLeast"/>
              <w:jc w:val="left"/>
              <w:textAlignment w:val="center"/>
              <w:rPr>
                <w:rFonts w:ascii="Times New Roman" w:hAnsi="Times New Roman" w:eastAsia="仿宋_GB2312" w:cs="Times New Roman"/>
                <w:kern w:val="21"/>
                <w:szCs w:val="21"/>
              </w:rPr>
            </w:pPr>
            <w:r>
              <w:rPr>
                <w:rFonts w:hint="eastAsia" w:ascii="Times New Roman" w:hAnsi="Times New Roman" w:eastAsia="仿宋_GB2312" w:cs="Times New Roman"/>
                <w:kern w:val="21"/>
                <w:szCs w:val="21"/>
                <w:lang w:bidi="ar"/>
              </w:rPr>
              <w:t>保障性住房有关协议</w:t>
            </w:r>
          </w:p>
        </w:tc>
        <w:tc>
          <w:tcPr>
            <w:tcW w:w="5943" w:type="dxa"/>
            <w:tcBorders>
              <w:top w:val="single" w:color="auto" w:sz="4" w:space="0"/>
              <w:left w:val="nil"/>
              <w:bottom w:val="single" w:color="auto" w:sz="4" w:space="0"/>
              <w:right w:val="single" w:color="auto" w:sz="4" w:space="0"/>
            </w:tcBorders>
            <w:shd w:val="clear" w:color="auto" w:fill="auto"/>
            <w:tcMar>
              <w:left w:w="15" w:type="dxa"/>
              <w:right w:w="15" w:type="dxa"/>
            </w:tcMar>
            <w:vAlign w:val="center"/>
          </w:tcPr>
          <w:p w14:paraId="4369361E">
            <w:pPr>
              <w:spacing w:line="315" w:lineRule="atLeast"/>
              <w:jc w:val="left"/>
              <w:textAlignment w:val="center"/>
              <w:rPr>
                <w:rFonts w:ascii="Times New Roman" w:hAnsi="Times New Roman" w:eastAsia="仿宋_GB2312" w:cs="Times New Roman"/>
                <w:kern w:val="21"/>
                <w:szCs w:val="21"/>
              </w:rPr>
            </w:pPr>
            <w:r>
              <w:rPr>
                <w:rFonts w:ascii="Times New Roman" w:hAnsi="Times New Roman" w:eastAsia="仿宋_GB2312" w:cs="Times New Roman"/>
                <w:kern w:val="21"/>
                <w:szCs w:val="21"/>
                <w:lang w:bidi="ar"/>
              </w:rPr>
              <w:t>政府投资的保障性住房租赁、买卖等协议、保障性住房租赁协议、配建协议等</w:t>
            </w:r>
            <w:r>
              <w:rPr>
                <w:rFonts w:hint="eastAsia" w:ascii="Times New Roman" w:hAnsi="Times New Roman" w:eastAsia="仿宋_GB2312" w:cs="Times New Roman"/>
                <w:kern w:val="21"/>
                <w:szCs w:val="21"/>
                <w:lang w:bidi="ar"/>
              </w:rPr>
              <w:t>。</w:t>
            </w:r>
          </w:p>
        </w:tc>
      </w:tr>
      <w:tr w14:paraId="0E64B3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92" w:hRule="atLeast"/>
          <w:jc w:val="center"/>
        </w:trPr>
        <w:tc>
          <w:tcPr>
            <w:tcW w:w="871" w:type="dxa"/>
            <w:tcBorders>
              <w:top w:val="single" w:color="auto" w:sz="4" w:space="0"/>
              <w:left w:val="single" w:color="auto" w:sz="6" w:space="0"/>
              <w:bottom w:val="single" w:color="auto" w:sz="6" w:space="0"/>
              <w:right w:val="single" w:color="auto" w:sz="6" w:space="0"/>
            </w:tcBorders>
            <w:shd w:val="clear" w:color="auto" w:fill="auto"/>
            <w:tcMar>
              <w:left w:w="15" w:type="dxa"/>
              <w:right w:w="15" w:type="dxa"/>
            </w:tcMar>
            <w:vAlign w:val="center"/>
          </w:tcPr>
          <w:p w14:paraId="7EF4D843">
            <w:pPr>
              <w:spacing w:line="315" w:lineRule="atLeas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color w:val="000000"/>
                <w:kern w:val="0"/>
                <w:szCs w:val="21"/>
              </w:rPr>
              <w:t>5</w:t>
            </w:r>
          </w:p>
        </w:tc>
        <w:tc>
          <w:tcPr>
            <w:tcW w:w="2130" w:type="dxa"/>
            <w:tcBorders>
              <w:top w:val="single" w:color="auto" w:sz="4" w:space="0"/>
              <w:left w:val="nil"/>
              <w:bottom w:val="single" w:color="auto" w:sz="6" w:space="0"/>
              <w:right w:val="single" w:color="auto" w:sz="6" w:space="0"/>
            </w:tcBorders>
            <w:shd w:val="clear" w:color="auto" w:fill="auto"/>
            <w:tcMar>
              <w:left w:w="15" w:type="dxa"/>
              <w:right w:w="15" w:type="dxa"/>
            </w:tcMar>
            <w:vAlign w:val="center"/>
          </w:tcPr>
          <w:p w14:paraId="0D789B28">
            <w:pPr>
              <w:spacing w:line="315" w:lineRule="atLeast"/>
              <w:jc w:val="left"/>
              <w:textAlignment w:val="center"/>
              <w:rPr>
                <w:rFonts w:ascii="Times New Roman" w:hAnsi="Times New Roman" w:eastAsia="仿宋_GB2312" w:cs="Times New Roman"/>
                <w:kern w:val="21"/>
                <w:szCs w:val="21"/>
              </w:rPr>
            </w:pPr>
            <w:r>
              <w:rPr>
                <w:rFonts w:hint="eastAsia" w:ascii="Times New Roman" w:hAnsi="Times New Roman" w:eastAsia="仿宋_GB2312" w:cs="Times New Roman"/>
                <w:kern w:val="21"/>
                <w:szCs w:val="21"/>
                <w:lang w:bidi="ar"/>
              </w:rPr>
              <w:t>县政府作为一方当事人订立的其他行政协议</w:t>
            </w:r>
          </w:p>
        </w:tc>
        <w:tc>
          <w:tcPr>
            <w:tcW w:w="5943" w:type="dxa"/>
            <w:tcBorders>
              <w:top w:val="single" w:color="auto" w:sz="4" w:space="0"/>
              <w:left w:val="nil"/>
              <w:bottom w:val="single" w:color="auto" w:sz="6" w:space="0"/>
              <w:right w:val="single" w:color="auto" w:sz="6" w:space="0"/>
            </w:tcBorders>
            <w:shd w:val="clear" w:color="auto" w:fill="auto"/>
            <w:tcMar>
              <w:left w:w="15" w:type="dxa"/>
              <w:right w:w="15" w:type="dxa"/>
            </w:tcMar>
            <w:vAlign w:val="center"/>
          </w:tcPr>
          <w:p w14:paraId="7DFE3B71">
            <w:pPr>
              <w:spacing w:line="315" w:lineRule="atLeast"/>
              <w:jc w:val="left"/>
              <w:textAlignment w:val="center"/>
              <w:rPr>
                <w:rFonts w:ascii="Times New Roman" w:hAnsi="Times New Roman" w:eastAsia="仿宋_GB2312" w:cs="Times New Roman"/>
                <w:kern w:val="21"/>
                <w:szCs w:val="21"/>
              </w:rPr>
            </w:pPr>
            <w:r>
              <w:rPr>
                <w:rFonts w:hint="eastAsia" w:ascii="Times New Roman" w:hAnsi="Times New Roman" w:eastAsia="仿宋_GB2312" w:cs="Times New Roman"/>
                <w:kern w:val="21"/>
                <w:szCs w:val="21"/>
                <w:lang w:bidi="ar"/>
              </w:rPr>
              <w:t>框架合作协议，招商引资协议，政府协议等。</w:t>
            </w:r>
          </w:p>
        </w:tc>
      </w:tr>
      <w:tr w14:paraId="3BE921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6" w:hRule="atLeast"/>
          <w:jc w:val="center"/>
        </w:trPr>
        <w:tc>
          <w:tcPr>
            <w:tcW w:w="8944" w:type="dxa"/>
            <w:gridSpan w:val="3"/>
            <w:tcBorders>
              <w:top w:val="single" w:color="auto" w:sz="4" w:space="0"/>
              <w:left w:val="single" w:color="auto" w:sz="6" w:space="0"/>
              <w:bottom w:val="single" w:color="auto" w:sz="6" w:space="0"/>
              <w:right w:val="single" w:color="auto" w:sz="6" w:space="0"/>
            </w:tcBorders>
            <w:shd w:val="clear" w:color="auto" w:fill="auto"/>
            <w:tcMar>
              <w:left w:w="15" w:type="dxa"/>
              <w:right w:w="15" w:type="dxa"/>
            </w:tcMar>
            <w:vAlign w:val="center"/>
          </w:tcPr>
          <w:p w14:paraId="7A951A0C">
            <w:pPr>
              <w:spacing w:line="315" w:lineRule="atLeast"/>
              <w:jc w:val="left"/>
              <w:textAlignment w:val="center"/>
              <w:rPr>
                <w:rFonts w:ascii="Times New Roman" w:hAnsi="Times New Roman" w:eastAsia="宋体" w:cs="Times New Roman"/>
                <w:kern w:val="0"/>
                <w:szCs w:val="21"/>
              </w:rPr>
            </w:pPr>
            <w:r>
              <w:rPr>
                <w:rFonts w:hint="eastAsia" w:ascii="Times New Roman" w:hAnsi="Times New Roman" w:eastAsia="仿宋_GB2312" w:cs="Times New Roman"/>
                <w:kern w:val="21"/>
                <w:szCs w:val="21"/>
                <w:lang w:bidi="ar"/>
              </w:rPr>
              <w:t>备注：政府采购合同、劳动合同以及科技、课题合同按国家和自治区有关规定执行。</w:t>
            </w:r>
          </w:p>
        </w:tc>
      </w:tr>
    </w:tbl>
    <w:p w14:paraId="0DB917CD">
      <w:pPr>
        <w:spacing w:line="540" w:lineRule="atLeast"/>
        <w:ind w:firstLine="646"/>
        <w:textAlignment w:val="center"/>
        <w:rPr>
          <w:rFonts w:ascii="Times New Roman" w:hAnsi="Times New Roman" w:eastAsia="黑体" w:cs="黑体"/>
          <w:color w:val="333333"/>
          <w:kern w:val="0"/>
          <w:sz w:val="32"/>
          <w:szCs w:val="32"/>
          <w:shd w:val="clear" w:color="auto" w:fill="FFFFFF"/>
        </w:rPr>
      </w:pPr>
      <w:r>
        <w:rPr>
          <w:rFonts w:ascii="Times New Roman" w:hAnsi="Times New Roman" w:eastAsia="黑体" w:cs="黑体"/>
          <w:color w:val="333333"/>
          <w:kern w:val="0"/>
          <w:sz w:val="32"/>
          <w:szCs w:val="32"/>
          <w:shd w:val="clear" w:color="auto" w:fill="FFFFFF"/>
        </w:rPr>
        <w:t>四、其他行政涉法事项</w:t>
      </w:r>
    </w:p>
    <w:tbl>
      <w:tblPr>
        <w:tblStyle w:val="13"/>
        <w:tblW w:w="892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862"/>
        <w:gridCol w:w="2117"/>
        <w:gridCol w:w="5946"/>
      </w:tblGrid>
      <w:tr w14:paraId="5526A0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74" w:hRule="atLeast"/>
          <w:jc w:val="center"/>
        </w:trPr>
        <w:tc>
          <w:tcPr>
            <w:tcW w:w="862" w:type="dxa"/>
            <w:tcBorders>
              <w:top w:val="single" w:color="000000" w:sz="6" w:space="0"/>
              <w:left w:val="single" w:color="000000" w:sz="6" w:space="0"/>
              <w:bottom w:val="single" w:color="auto" w:sz="4" w:space="0"/>
              <w:right w:val="single" w:color="000000" w:sz="6" w:space="0"/>
            </w:tcBorders>
            <w:shd w:val="clear" w:color="auto" w:fill="auto"/>
            <w:tcMar>
              <w:left w:w="15" w:type="dxa"/>
              <w:right w:w="15" w:type="dxa"/>
            </w:tcMar>
            <w:vAlign w:val="center"/>
          </w:tcPr>
          <w:p w14:paraId="13C4CC4E">
            <w:pPr>
              <w:spacing w:line="315" w:lineRule="atLeast"/>
              <w:jc w:val="center"/>
              <w:textAlignment w:val="center"/>
              <w:rPr>
                <w:rFonts w:ascii="Times New Roman" w:hAnsi="Times New Roman" w:eastAsia="国标黑体" w:cs="Times New Roman"/>
                <w:color w:val="000000"/>
                <w:kern w:val="0"/>
                <w:szCs w:val="21"/>
              </w:rPr>
            </w:pPr>
            <w:r>
              <w:rPr>
                <w:rFonts w:ascii="Times New Roman" w:hAnsi="Times New Roman" w:eastAsia="国标黑体" w:cs="Times New Roman"/>
                <w:color w:val="000000"/>
                <w:kern w:val="0"/>
                <w:szCs w:val="21"/>
              </w:rPr>
              <w:t>序号</w:t>
            </w:r>
          </w:p>
        </w:tc>
        <w:tc>
          <w:tcPr>
            <w:tcW w:w="2117" w:type="dxa"/>
            <w:tcBorders>
              <w:top w:val="single" w:color="auto" w:sz="6" w:space="0"/>
              <w:left w:val="nil"/>
              <w:bottom w:val="single" w:color="auto" w:sz="4" w:space="0"/>
              <w:right w:val="single" w:color="auto" w:sz="6" w:space="0"/>
            </w:tcBorders>
            <w:shd w:val="clear" w:color="auto" w:fill="auto"/>
            <w:tcMar>
              <w:left w:w="15" w:type="dxa"/>
              <w:right w:w="15" w:type="dxa"/>
            </w:tcMar>
            <w:vAlign w:val="center"/>
          </w:tcPr>
          <w:p w14:paraId="431CB3D4">
            <w:pPr>
              <w:spacing w:line="315" w:lineRule="atLeast"/>
              <w:jc w:val="center"/>
              <w:textAlignment w:val="center"/>
              <w:rPr>
                <w:rFonts w:ascii="Times New Roman" w:hAnsi="Times New Roman" w:eastAsia="国标黑体" w:cs="Times New Roman"/>
                <w:color w:val="000000"/>
                <w:kern w:val="0"/>
                <w:szCs w:val="21"/>
              </w:rPr>
            </w:pPr>
            <w:r>
              <w:rPr>
                <w:rFonts w:ascii="Times New Roman" w:hAnsi="Times New Roman" w:eastAsia="国标黑体" w:cs="Times New Roman"/>
                <w:color w:val="000000"/>
                <w:kern w:val="0"/>
                <w:szCs w:val="21"/>
              </w:rPr>
              <w:t>事项名称</w:t>
            </w:r>
          </w:p>
        </w:tc>
        <w:tc>
          <w:tcPr>
            <w:tcW w:w="5946" w:type="dxa"/>
            <w:tcBorders>
              <w:top w:val="single" w:color="auto" w:sz="6" w:space="0"/>
              <w:left w:val="nil"/>
              <w:bottom w:val="single" w:color="auto" w:sz="4" w:space="0"/>
              <w:right w:val="single" w:color="auto" w:sz="6" w:space="0"/>
            </w:tcBorders>
            <w:shd w:val="clear" w:color="auto" w:fill="auto"/>
            <w:tcMar>
              <w:left w:w="15" w:type="dxa"/>
              <w:right w:w="15" w:type="dxa"/>
            </w:tcMar>
            <w:vAlign w:val="center"/>
          </w:tcPr>
          <w:p w14:paraId="40350F1E">
            <w:pPr>
              <w:spacing w:line="315" w:lineRule="atLeast"/>
              <w:jc w:val="center"/>
              <w:textAlignment w:val="center"/>
              <w:rPr>
                <w:rFonts w:ascii="Times New Roman" w:hAnsi="Times New Roman" w:eastAsia="国标黑体" w:cs="Times New Roman"/>
                <w:color w:val="000000"/>
                <w:kern w:val="0"/>
                <w:szCs w:val="21"/>
              </w:rPr>
            </w:pPr>
            <w:r>
              <w:rPr>
                <w:rFonts w:ascii="Times New Roman" w:hAnsi="Times New Roman" w:eastAsia="国标黑体" w:cs="Times New Roman"/>
                <w:color w:val="000000"/>
                <w:kern w:val="0"/>
                <w:szCs w:val="21"/>
              </w:rPr>
              <w:t>依据和审查内容</w:t>
            </w:r>
          </w:p>
        </w:tc>
      </w:tr>
      <w:tr w14:paraId="420696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37" w:hRule="atLeast"/>
          <w:jc w:val="center"/>
        </w:trPr>
        <w:tc>
          <w:tcPr>
            <w:tcW w:w="862" w:type="dxa"/>
            <w:tcBorders>
              <w:top w:val="single" w:color="auto" w:sz="4" w:space="0"/>
              <w:left w:val="single" w:color="auto" w:sz="4" w:space="0"/>
              <w:bottom w:val="single" w:color="auto" w:sz="4" w:space="0"/>
              <w:right w:val="single" w:color="auto" w:sz="6" w:space="0"/>
            </w:tcBorders>
            <w:shd w:val="clear" w:color="auto" w:fill="auto"/>
            <w:tcMar>
              <w:left w:w="15" w:type="dxa"/>
              <w:right w:w="15" w:type="dxa"/>
            </w:tcMar>
            <w:vAlign w:val="center"/>
          </w:tcPr>
          <w:p w14:paraId="2CB76191">
            <w:pPr>
              <w:spacing w:line="315" w:lineRule="atLeast"/>
              <w:jc w:val="center"/>
              <w:textAlignment w:val="center"/>
              <w:rPr>
                <w:rFonts w:ascii="Times New Roman" w:hAnsi="Times New Roman" w:eastAsia="宋体" w:cs="Times New Roman"/>
                <w:kern w:val="0"/>
                <w:sz w:val="24"/>
              </w:rPr>
            </w:pPr>
            <w:r>
              <w:rPr>
                <w:rFonts w:ascii="Times New Roman" w:hAnsi="Times New Roman" w:eastAsia="宋体" w:cs="Times New Roman"/>
                <w:color w:val="000000"/>
                <w:kern w:val="0"/>
                <w:szCs w:val="21"/>
              </w:rPr>
              <w:t>1</w:t>
            </w:r>
          </w:p>
        </w:tc>
        <w:tc>
          <w:tcPr>
            <w:tcW w:w="2117" w:type="dxa"/>
            <w:tcBorders>
              <w:top w:val="single" w:color="auto" w:sz="4" w:space="0"/>
              <w:left w:val="nil"/>
              <w:bottom w:val="single" w:color="auto" w:sz="4" w:space="0"/>
              <w:right w:val="single" w:color="auto" w:sz="6" w:space="0"/>
            </w:tcBorders>
            <w:shd w:val="clear" w:color="auto" w:fill="auto"/>
            <w:tcMar>
              <w:left w:w="15" w:type="dxa"/>
              <w:right w:w="15" w:type="dxa"/>
            </w:tcMar>
            <w:vAlign w:val="center"/>
          </w:tcPr>
          <w:p w14:paraId="342B34A0">
            <w:pPr>
              <w:spacing w:line="315" w:lineRule="atLeast"/>
              <w:textAlignment w:val="center"/>
              <w:rPr>
                <w:rFonts w:ascii="Times New Roman" w:hAnsi="Times New Roman" w:eastAsia="仿宋_GB2312" w:cs="Times New Roman"/>
                <w:kern w:val="21"/>
                <w:szCs w:val="21"/>
              </w:rPr>
            </w:pPr>
            <w:r>
              <w:rPr>
                <w:rFonts w:hint="eastAsia" w:ascii="Times New Roman" w:hAnsi="Times New Roman" w:eastAsia="仿宋_GB2312" w:cs="Times New Roman"/>
                <w:kern w:val="21"/>
                <w:szCs w:val="21"/>
                <w:lang w:bidi="ar"/>
              </w:rPr>
              <w:t>县委、县政府联合印发的规范性文件；经县委、县政府同意，以县委办、县政府办名义联合印发的规范性文件；县委、县政府批转的其他文件</w:t>
            </w:r>
          </w:p>
        </w:tc>
        <w:tc>
          <w:tcPr>
            <w:tcW w:w="5946" w:type="dxa"/>
            <w:tcBorders>
              <w:top w:val="single" w:color="auto" w:sz="4" w:space="0"/>
              <w:left w:val="nil"/>
              <w:bottom w:val="single" w:color="auto" w:sz="4" w:space="0"/>
              <w:right w:val="single" w:color="auto" w:sz="4" w:space="0"/>
            </w:tcBorders>
            <w:shd w:val="clear" w:color="auto" w:fill="auto"/>
            <w:tcMar>
              <w:left w:w="15" w:type="dxa"/>
              <w:right w:w="15" w:type="dxa"/>
            </w:tcMar>
            <w:vAlign w:val="center"/>
          </w:tcPr>
          <w:p w14:paraId="03BEC77D">
            <w:pPr>
              <w:spacing w:line="315" w:lineRule="atLeast"/>
              <w:textAlignment w:val="center"/>
              <w:rPr>
                <w:rFonts w:ascii="Times New Roman" w:hAnsi="Times New Roman" w:eastAsia="仿宋_GB2312" w:cs="Times New Roman"/>
                <w:kern w:val="21"/>
                <w:szCs w:val="21"/>
              </w:rPr>
            </w:pPr>
            <w:r>
              <w:rPr>
                <w:rFonts w:hint="eastAsia" w:ascii="Times New Roman" w:hAnsi="Times New Roman" w:eastAsia="仿宋_GB2312" w:cs="Times New Roman"/>
                <w:kern w:val="21"/>
                <w:szCs w:val="21"/>
                <w:lang w:bidi="ar"/>
              </w:rPr>
              <w:t>依据《宁夏回族自治区行政规范性文件合法性审核办法》、《吴忠市人民政府办公室关于印发〈关于全面推行行政规范性文件合法性审核机制的实施方案〉〈吴忠市人民政府行政规范性文件合法性审核工作流程〉〈吴忠市人民政府涉法事务法制审核工作流程〉的通知》，重点审查涉及政府的主体、权限、程序、内容等是否符合相关法律法规规章规定。</w:t>
            </w:r>
          </w:p>
        </w:tc>
      </w:tr>
      <w:tr w14:paraId="37592A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5" w:hRule="atLeast"/>
          <w:jc w:val="center"/>
        </w:trPr>
        <w:tc>
          <w:tcPr>
            <w:tcW w:w="862" w:type="dxa"/>
            <w:tcBorders>
              <w:top w:val="single" w:color="auto" w:sz="4" w:space="0"/>
              <w:left w:val="single" w:color="auto" w:sz="4" w:space="0"/>
              <w:bottom w:val="single" w:color="auto" w:sz="4" w:space="0"/>
              <w:right w:val="single" w:color="auto" w:sz="6" w:space="0"/>
            </w:tcBorders>
            <w:shd w:val="clear" w:color="auto" w:fill="auto"/>
            <w:tcMar>
              <w:left w:w="15" w:type="dxa"/>
              <w:right w:w="15" w:type="dxa"/>
            </w:tcMar>
            <w:vAlign w:val="center"/>
          </w:tcPr>
          <w:p w14:paraId="7A56CEE6">
            <w:pPr>
              <w:wordWrap w:val="0"/>
              <w:spacing w:line="555" w:lineRule="atLeast"/>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w:t>
            </w:r>
          </w:p>
        </w:tc>
        <w:tc>
          <w:tcPr>
            <w:tcW w:w="2117" w:type="dxa"/>
            <w:tcBorders>
              <w:top w:val="single" w:color="auto" w:sz="4" w:space="0"/>
              <w:left w:val="nil"/>
              <w:bottom w:val="single" w:color="auto" w:sz="4" w:space="0"/>
              <w:right w:val="single" w:color="auto" w:sz="6" w:space="0"/>
            </w:tcBorders>
            <w:shd w:val="clear" w:color="auto" w:fill="auto"/>
            <w:tcMar>
              <w:left w:w="15" w:type="dxa"/>
              <w:right w:w="15" w:type="dxa"/>
            </w:tcMar>
            <w:vAlign w:val="center"/>
          </w:tcPr>
          <w:p w14:paraId="4D5CB3F1">
            <w:pPr>
              <w:spacing w:line="315" w:lineRule="atLeast"/>
              <w:textAlignment w:val="center"/>
              <w:rPr>
                <w:rFonts w:ascii="Times New Roman" w:hAnsi="Times New Roman" w:eastAsia="仿宋_GB2312" w:cs="Times New Roman"/>
                <w:kern w:val="21"/>
                <w:szCs w:val="21"/>
              </w:rPr>
            </w:pPr>
            <w:r>
              <w:rPr>
                <w:rFonts w:hint="eastAsia" w:ascii="Times New Roman" w:hAnsi="Times New Roman" w:eastAsia="仿宋_GB2312" w:cs="Times New Roman"/>
                <w:kern w:val="21"/>
                <w:szCs w:val="21"/>
                <w:lang w:bidi="ar"/>
              </w:rPr>
              <w:t>需要进行合法性审查的其他文件和事项（如非行政规范性文件、县政府信息公开答复书等）。</w:t>
            </w:r>
          </w:p>
        </w:tc>
        <w:tc>
          <w:tcPr>
            <w:tcW w:w="5946" w:type="dxa"/>
            <w:tcBorders>
              <w:top w:val="single" w:color="auto" w:sz="4" w:space="0"/>
              <w:left w:val="nil"/>
              <w:bottom w:val="single" w:color="auto" w:sz="4" w:space="0"/>
              <w:right w:val="single" w:color="auto" w:sz="4" w:space="0"/>
            </w:tcBorders>
            <w:shd w:val="clear" w:color="auto" w:fill="auto"/>
            <w:tcMar>
              <w:left w:w="15" w:type="dxa"/>
              <w:right w:w="15" w:type="dxa"/>
            </w:tcMar>
            <w:vAlign w:val="center"/>
          </w:tcPr>
          <w:p w14:paraId="05D90AD7">
            <w:pPr>
              <w:spacing w:line="315" w:lineRule="atLeast"/>
              <w:textAlignment w:val="center"/>
              <w:rPr>
                <w:rFonts w:ascii="Times New Roman" w:hAnsi="Times New Roman" w:eastAsia="仿宋_GB2312" w:cs="Times New Roman"/>
                <w:kern w:val="21"/>
                <w:szCs w:val="21"/>
              </w:rPr>
            </w:pPr>
            <w:r>
              <w:rPr>
                <w:rFonts w:hint="eastAsia" w:ascii="Times New Roman" w:hAnsi="Times New Roman" w:eastAsia="仿宋_GB2312" w:cs="Times New Roman"/>
                <w:kern w:val="21"/>
                <w:szCs w:val="21"/>
                <w:lang w:bidi="ar"/>
              </w:rPr>
              <w:t>依据《宁夏回族自治区行政规范性文件合法性审核办法》，根据审查事项把握确定。</w:t>
            </w:r>
          </w:p>
        </w:tc>
      </w:tr>
    </w:tbl>
    <w:p w14:paraId="6BF7CF64">
      <w:pPr>
        <w:rPr>
          <w:rFonts w:ascii="Times New Roman" w:hAnsi="Times New Roman" w:eastAsia="宋体" w:cs="Times New Roman"/>
        </w:rPr>
      </w:pPr>
    </w:p>
    <w:p w14:paraId="0F72BBED">
      <w:pPr>
        <w:pStyle w:val="4"/>
        <w:ind w:firstLine="320"/>
      </w:pPr>
    </w:p>
    <w:p w14:paraId="295489D5">
      <w:pPr>
        <w:pStyle w:val="4"/>
        <w:ind w:firstLine="320"/>
        <w:rPr>
          <w:rFonts w:hint="eastAsia"/>
        </w:rPr>
      </w:pPr>
    </w:p>
    <w:p w14:paraId="1C627238">
      <w:pPr>
        <w:pStyle w:val="4"/>
        <w:ind w:firstLine="320"/>
        <w:rPr>
          <w:rFonts w:hint="eastAsia"/>
        </w:rPr>
      </w:pPr>
    </w:p>
    <w:p w14:paraId="2B5250BD">
      <w:pPr>
        <w:pStyle w:val="4"/>
        <w:ind w:firstLine="320"/>
        <w:rPr>
          <w:rFonts w:hint="eastAsia"/>
        </w:rPr>
      </w:pPr>
    </w:p>
    <w:p w14:paraId="1AFD795A">
      <w:pPr>
        <w:pStyle w:val="4"/>
        <w:ind w:firstLine="320"/>
        <w:rPr>
          <w:rFonts w:hint="eastAsia"/>
        </w:rPr>
      </w:pPr>
    </w:p>
    <w:p w14:paraId="605B979D">
      <w:pPr>
        <w:pStyle w:val="4"/>
        <w:ind w:firstLine="320"/>
        <w:rPr>
          <w:rFonts w:hint="eastAsia"/>
        </w:rPr>
      </w:pPr>
    </w:p>
    <w:p w14:paraId="3B3B9BEF">
      <w:pPr>
        <w:pStyle w:val="4"/>
        <w:ind w:firstLine="320"/>
        <w:rPr>
          <w:rFonts w:hint="eastAsia"/>
        </w:rPr>
      </w:pPr>
    </w:p>
    <w:p w14:paraId="3C3AE25A">
      <w:pPr>
        <w:pStyle w:val="4"/>
        <w:ind w:firstLine="320"/>
        <w:rPr>
          <w:rFonts w:hint="eastAsia"/>
        </w:rPr>
      </w:pPr>
    </w:p>
    <w:p w14:paraId="63159A49">
      <w:pPr>
        <w:pStyle w:val="4"/>
        <w:ind w:firstLine="320"/>
        <w:rPr>
          <w:rFonts w:hint="eastAsia"/>
        </w:rPr>
      </w:pPr>
    </w:p>
    <w:p w14:paraId="5AD5B089">
      <w:pPr>
        <w:pStyle w:val="4"/>
        <w:ind w:firstLine="320"/>
        <w:rPr>
          <w:rFonts w:hint="eastAsia"/>
        </w:rPr>
      </w:pPr>
    </w:p>
    <w:p w14:paraId="6488686B">
      <w:pPr>
        <w:pStyle w:val="4"/>
        <w:ind w:firstLine="320"/>
        <w:rPr>
          <w:rFonts w:hint="eastAsia"/>
        </w:rPr>
      </w:pPr>
    </w:p>
    <w:p w14:paraId="300EEB97">
      <w:pPr>
        <w:pStyle w:val="4"/>
        <w:ind w:firstLine="320"/>
        <w:rPr>
          <w:rFonts w:hint="eastAsia"/>
        </w:rPr>
      </w:pPr>
    </w:p>
    <w:p w14:paraId="59A5C99B">
      <w:pPr>
        <w:pStyle w:val="4"/>
        <w:ind w:firstLine="320"/>
        <w:rPr>
          <w:rFonts w:hint="eastAsia"/>
        </w:rPr>
      </w:pPr>
    </w:p>
    <w:p w14:paraId="4C3D9C1E">
      <w:pPr>
        <w:pStyle w:val="4"/>
        <w:ind w:firstLine="320"/>
        <w:rPr>
          <w:rFonts w:hint="eastAsia"/>
        </w:rPr>
      </w:pPr>
    </w:p>
    <w:p w14:paraId="68EE74E1">
      <w:pPr>
        <w:pStyle w:val="4"/>
        <w:ind w:firstLine="320"/>
        <w:rPr>
          <w:rFonts w:hint="eastAsia"/>
        </w:rPr>
      </w:pPr>
    </w:p>
    <w:p w14:paraId="2C0E0DE1">
      <w:pPr>
        <w:pStyle w:val="4"/>
        <w:ind w:firstLine="320"/>
        <w:rPr>
          <w:rFonts w:hint="eastAsia"/>
        </w:rPr>
      </w:pPr>
    </w:p>
    <w:p w14:paraId="123F85D4">
      <w:pPr>
        <w:pStyle w:val="4"/>
        <w:ind w:firstLine="320"/>
        <w:rPr>
          <w:rFonts w:hint="eastAsia"/>
        </w:rPr>
      </w:pPr>
    </w:p>
    <w:p w14:paraId="0F1A8205">
      <w:pPr>
        <w:pStyle w:val="4"/>
        <w:ind w:firstLine="320"/>
        <w:rPr>
          <w:rFonts w:hint="eastAsia"/>
        </w:rPr>
      </w:pPr>
    </w:p>
    <w:p w14:paraId="00D3CACC">
      <w:pPr>
        <w:pStyle w:val="4"/>
        <w:ind w:firstLine="320"/>
        <w:rPr>
          <w:rFonts w:hint="eastAsia"/>
        </w:rPr>
      </w:pPr>
    </w:p>
    <w:p w14:paraId="7700221E">
      <w:pPr>
        <w:pStyle w:val="4"/>
        <w:ind w:firstLine="320"/>
        <w:rPr>
          <w:rFonts w:hint="eastAsia"/>
        </w:rPr>
      </w:pPr>
    </w:p>
    <w:p w14:paraId="3BA20421">
      <w:pPr>
        <w:pStyle w:val="4"/>
        <w:ind w:firstLine="320"/>
        <w:rPr>
          <w:rFonts w:hint="eastAsia"/>
        </w:rPr>
      </w:pPr>
    </w:p>
    <w:p w14:paraId="3D2CF142">
      <w:pPr>
        <w:pStyle w:val="4"/>
        <w:ind w:firstLine="320"/>
        <w:rPr>
          <w:rFonts w:hint="eastAsia"/>
        </w:rPr>
      </w:pPr>
    </w:p>
    <w:p w14:paraId="5A132847">
      <w:pPr>
        <w:pStyle w:val="4"/>
        <w:ind w:firstLine="320"/>
        <w:rPr>
          <w:rFonts w:hint="eastAsia"/>
        </w:rPr>
      </w:pPr>
    </w:p>
    <w:p w14:paraId="4C2E711C">
      <w:pPr>
        <w:pStyle w:val="4"/>
        <w:ind w:firstLine="320"/>
        <w:rPr>
          <w:rFonts w:hint="eastAsia"/>
        </w:rPr>
      </w:pPr>
    </w:p>
    <w:p w14:paraId="7AD6FCBE">
      <w:pPr>
        <w:pStyle w:val="4"/>
        <w:ind w:firstLine="320"/>
        <w:rPr>
          <w:rFonts w:hint="eastAsia"/>
        </w:rPr>
      </w:pPr>
    </w:p>
    <w:p w14:paraId="7D722838">
      <w:pPr>
        <w:pStyle w:val="4"/>
        <w:ind w:firstLine="320"/>
        <w:rPr>
          <w:rFonts w:hint="eastAsia"/>
        </w:rPr>
      </w:pPr>
    </w:p>
    <w:p w14:paraId="364171CD">
      <w:pPr>
        <w:pStyle w:val="4"/>
        <w:ind w:firstLine="320"/>
        <w:rPr>
          <w:rFonts w:hint="eastAsia"/>
        </w:rPr>
      </w:pPr>
    </w:p>
    <w:p w14:paraId="62F8E5A8">
      <w:pPr>
        <w:pStyle w:val="4"/>
        <w:ind w:firstLine="320"/>
        <w:rPr>
          <w:rFonts w:hint="eastAsia"/>
        </w:rPr>
      </w:pPr>
    </w:p>
    <w:p w14:paraId="7170F4CD">
      <w:pPr>
        <w:pStyle w:val="4"/>
        <w:ind w:firstLine="320"/>
        <w:rPr>
          <w:rFonts w:hint="eastAsia"/>
        </w:rPr>
      </w:pPr>
    </w:p>
    <w:p w14:paraId="01E8D695">
      <w:pPr>
        <w:pStyle w:val="4"/>
        <w:spacing w:line="500" w:lineRule="exact"/>
        <w:ind w:firstLine="320"/>
        <w:rPr>
          <w:rFonts w:hint="eastAsia"/>
        </w:rPr>
      </w:pPr>
    </w:p>
    <w:p w14:paraId="48E9C64A">
      <w:pPr>
        <w:pStyle w:val="4"/>
        <w:spacing w:line="500" w:lineRule="exact"/>
        <w:ind w:firstLine="320"/>
        <w:rPr>
          <w:rFonts w:hint="eastAsia"/>
        </w:rPr>
      </w:pPr>
    </w:p>
    <w:p w14:paraId="72B83F13">
      <w:pPr>
        <w:pStyle w:val="4"/>
        <w:spacing w:line="500" w:lineRule="exact"/>
        <w:ind w:firstLine="320"/>
        <w:rPr>
          <w:rFonts w:hint="eastAsia"/>
        </w:rPr>
      </w:pPr>
    </w:p>
    <w:p w14:paraId="1F873944">
      <w:pPr>
        <w:pStyle w:val="4"/>
        <w:ind w:firstLine="320"/>
        <w:rPr>
          <w:rFonts w:hint="eastAsia"/>
        </w:rPr>
      </w:pPr>
    </w:p>
    <w:p w14:paraId="5D16014B">
      <w:pPr>
        <w:pStyle w:val="4"/>
        <w:ind w:firstLine="320"/>
      </w:pPr>
    </w:p>
    <w:p w14:paraId="214DD0CB">
      <w:pPr>
        <w:spacing w:line="580" w:lineRule="exact"/>
        <w:ind w:firstLine="315" w:firstLineChars="150"/>
        <w:rPr>
          <w:rFonts w:ascii="Times New Roman" w:hAnsi="Times New Roman" w:eastAsia="仿宋_GB2312" w:cs="Times New Roman"/>
          <w:sz w:val="32"/>
          <w:szCs w:val="32"/>
        </w:rPr>
      </w:pPr>
      <w:r>
        <w:rPr>
          <w:rFonts w:ascii="Times New Roman" w:hAnsi="Times New Roman" w:eastAsia="仿宋_GB2312" w:cs="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443230</wp:posOffset>
                </wp:positionV>
                <wp:extent cx="5600700" cy="0"/>
                <wp:effectExtent l="0" t="0" r="1905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34.9pt;height:0pt;width:441pt;z-index:251660288;mso-width-relative:page;mso-height-relative:page;" filled="f" stroked="t" coordsize="21600,21600" o:gfxdata="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0FP6PSAAAABgEAAA8A&#10;AAAAAAAAAQAgAAAAIgAAAGRycy9kb3ducmV2LnhtbFBLAQIUABQAAAAIAIdO4kBPoP935AEAAKsD&#10;AAAOAAAAAAAAAAEAIAAAACEBAABkcnMvZTJvRG9jLnhtbFBLBQYAAAAABgAGAFkBAAB3BQAAAAA=&#10;">
                <v:fill on="f" focussize="0,0"/>
                <v:stroke weight="1.5pt" color="#000000" joinstyle="round"/>
                <v:imagedata o:title=""/>
                <o:lock v:ext="edit" aspectratio="f"/>
              </v:line>
            </w:pict>
          </mc:Fallback>
        </mc:AlternateContent>
      </w:r>
      <w:r>
        <w:rPr>
          <w:rFonts w:ascii="Times New Roman" w:hAnsi="Times New Roman" w:eastAsia="仿宋_GB2312"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47625</wp:posOffset>
                </wp:positionV>
                <wp:extent cx="5600700" cy="0"/>
                <wp:effectExtent l="17145" t="13335" r="11430" b="1524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3.75pt;height:0pt;width:441pt;z-index:251659264;mso-width-relative:page;mso-height-relative:page;" filled="f" stroked="t" coordsize="21600,21600" o:gfxdata="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D0NNEAAAAEAQAADwAA&#10;AAAAAAABACAAAAAiAAAAZHJzL2Rvd25yZXYueG1sUEsBAhQAFAAAAAgAh07iQAm15fbkAQAAqwMA&#10;AA4AAAAAAAAAAQAgAAAAIAEAAGRycy9lMm9Eb2MueG1sUEsFBgAAAAAGAAYAWQEAAHYFAAAAAA==&#10;">
                <v:fill on="f" focussize="0,0"/>
                <v:stroke weight="1.5pt" color="#000000" joinstyle="round"/>
                <v:imagedata o:title=""/>
                <o:lock v:ext="edit" aspectratio="f"/>
              </v:line>
            </w:pict>
          </mc:Fallback>
        </mc:AlternateContent>
      </w:r>
      <w:r>
        <w:rPr>
          <w:rFonts w:ascii="Times New Roman" w:hAnsi="Times New Roman" w:eastAsia="仿宋_GB2312" w:cs="Times New Roman"/>
          <w:sz w:val="28"/>
          <w:szCs w:val="28"/>
        </w:rPr>
        <w:t xml:space="preserve">盐池县人民政府办公室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2024年1</w:t>
      </w: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30</w:t>
      </w:r>
      <w:r>
        <w:rPr>
          <w:rFonts w:ascii="Times New Roman" w:hAnsi="Times New Roman" w:eastAsia="仿宋_GB2312" w:cs="Times New Roman"/>
          <w:sz w:val="28"/>
          <w:szCs w:val="28"/>
        </w:rPr>
        <w:t>日印发</w:t>
      </w:r>
    </w:p>
    <w:sectPr>
      <w:footerReference r:id="rId3" w:type="default"/>
      <w:footerReference r:id="rId4" w:type="even"/>
      <w:pgSz w:w="11906" w:h="16838"/>
      <w:pgMar w:top="1418" w:right="1474" w:bottom="1247" w:left="1588"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altName w:val="Times New Roman"/>
    <w:panose1 w:val="020B0604020202020204"/>
    <w:charset w:val="00"/>
    <w:family w:val="swiss"/>
    <w:pitch w:val="default"/>
    <w:sig w:usb0="00000000" w:usb1="00000000" w:usb2="00000000" w:usb3="00000000" w:csb0="000001FF" w:csb1="00000000"/>
  </w:font>
  <w:font w:name="国标黑体">
    <w:altName w:val="黑体"/>
    <w:panose1 w:val="00000000000000000000"/>
    <w:charset w:val="86"/>
    <w:family w:val="auto"/>
    <w:pitch w:val="default"/>
    <w:sig w:usb0="00000000" w:usb1="00000000" w:usb2="00000000" w:usb3="00000000" w:csb0="00040000" w:csb1="00000000"/>
  </w:font>
  <w:font w:name="国标仿宋">
    <w:altName w:val="方正仿宋_GBK"/>
    <w:panose1 w:val="00000000000000000000"/>
    <w:charset w:val="86"/>
    <w:family w:val="auto"/>
    <w:pitch w:val="default"/>
    <w:sig w:usb0="00000000" w:usb1="00000000" w:usb2="00000016" w:usb3="00000000" w:csb0="00060007"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6F5A">
    <w:pPr>
      <w:pStyle w:val="9"/>
      <w:wordWrap w:val="0"/>
      <w:jc w:val="right"/>
      <w:rPr>
        <w:rFonts w:ascii="Times New Roman" w:hAnsi="Times New Roman" w:cs="Times New Roman"/>
        <w:sz w:val="28"/>
        <w:szCs w:val="28"/>
      </w:rPr>
    </w:pPr>
    <w:sdt>
      <w:sdtPr>
        <w:id w:val="-1"/>
        <w:docPartObj>
          <w:docPartGallery w:val="AutoText"/>
        </w:docPartObj>
      </w:sdtPr>
      <w:sdtEndPr>
        <w:rPr>
          <w:rFonts w:ascii="Times New Roman" w:hAnsi="Times New Roman" w:cs="Times New Roman"/>
          <w:sz w:val="28"/>
          <w:szCs w:val="28"/>
        </w:rPr>
      </w:sdtEndPr>
      <w:sdtContent>
        <w:r>
          <w:rPr>
            <w:rFonts w:hint="eastAsia"/>
            <w:sz w:val="28"/>
            <w:szCs w:val="28"/>
          </w:rPr>
          <w:t>—</w:t>
        </w: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sdtContent>
    </w:sdt>
    <w:r>
      <w:rPr>
        <w:rFonts w:hint="eastAsia"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0128303"/>
      <w:docPartObj>
        <w:docPartGallery w:val="AutoText"/>
      </w:docPartObj>
    </w:sdtPr>
    <w:sdtEndPr>
      <w:rPr>
        <w:rFonts w:ascii="Times New Roman" w:hAnsi="Times New Roman" w:cs="Times New Roman"/>
        <w:sz w:val="28"/>
        <w:szCs w:val="28"/>
      </w:rPr>
    </w:sdtEndPr>
    <w:sdtContent>
      <w:p w14:paraId="2EAAD951">
        <w:pPr>
          <w:pStyle w:val="9"/>
          <w:rPr>
            <w:rFonts w:ascii="Times New Roman" w:hAnsi="Times New Roman" w:cs="Times New Roman"/>
            <w:sz w:val="28"/>
            <w:szCs w:val="28"/>
          </w:rPr>
        </w:pPr>
        <w:r>
          <w:rPr>
            <w:rFonts w:hint="eastAsia"/>
            <w:sz w:val="28"/>
            <w:szCs w:val="28"/>
          </w:rPr>
          <w:t>—</w:t>
        </w: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3MmZjNzhmYmRiNDc3MjhhOWM3MzA2ZjFiODJlY2EifQ=="/>
  </w:docVars>
  <w:rsids>
    <w:rsidRoot w:val="009D7102"/>
    <w:rsid w:val="0001573B"/>
    <w:rsid w:val="000606AB"/>
    <w:rsid w:val="00063FEE"/>
    <w:rsid w:val="000750C0"/>
    <w:rsid w:val="004C1375"/>
    <w:rsid w:val="00541C85"/>
    <w:rsid w:val="005F40DA"/>
    <w:rsid w:val="005F622C"/>
    <w:rsid w:val="0063359E"/>
    <w:rsid w:val="00787B01"/>
    <w:rsid w:val="007B477B"/>
    <w:rsid w:val="007D2542"/>
    <w:rsid w:val="007E151E"/>
    <w:rsid w:val="008A527B"/>
    <w:rsid w:val="009049D2"/>
    <w:rsid w:val="00997F05"/>
    <w:rsid w:val="009D12FB"/>
    <w:rsid w:val="009D7102"/>
    <w:rsid w:val="009F7EC3"/>
    <w:rsid w:val="00B01E6F"/>
    <w:rsid w:val="00B46C4E"/>
    <w:rsid w:val="00CC1596"/>
    <w:rsid w:val="00CF3359"/>
    <w:rsid w:val="00F13F3C"/>
    <w:rsid w:val="00F17832"/>
    <w:rsid w:val="00F3122C"/>
    <w:rsid w:val="00F9713A"/>
    <w:rsid w:val="00FA3C80"/>
    <w:rsid w:val="00FB630E"/>
    <w:rsid w:val="00FC5B4E"/>
    <w:rsid w:val="00FE031F"/>
    <w:rsid w:val="137038CF"/>
    <w:rsid w:val="22836F5F"/>
    <w:rsid w:val="280F42BA"/>
    <w:rsid w:val="50EA3D7A"/>
    <w:rsid w:val="54114D58"/>
    <w:rsid w:val="69CB3AF7"/>
    <w:rsid w:val="6B2A3D2A"/>
    <w:rsid w:val="7E054C37"/>
    <w:rsid w:val="FFBB4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9"/>
    <w:pPr>
      <w:widowControl/>
      <w:spacing w:before="100" w:beforeAutospacing="1" w:after="100" w:afterAutospacing="1"/>
      <w:jc w:val="left"/>
      <w:outlineLvl w:val="0"/>
    </w:pPr>
    <w:rPr>
      <w:rFonts w:ascii="黑体" w:hAnsi="黑体" w:eastAsia="黑体" w:cs="宋体"/>
      <w:b/>
      <w:bCs/>
      <w:kern w:val="36"/>
      <w:sz w:val="30"/>
      <w:szCs w:val="30"/>
    </w:rPr>
  </w:style>
  <w:style w:type="paragraph" w:styleId="7">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200" w:leftChars="200" w:firstLine="420" w:firstLineChars="200"/>
    </w:pPr>
    <w:rPr>
      <w:rFonts w:ascii="Times New Roman" w:cs="Times New Roman"/>
    </w:rPr>
  </w:style>
  <w:style w:type="paragraph" w:styleId="3">
    <w:name w:val="Body Text Indent"/>
    <w:basedOn w:val="1"/>
    <w:qFormat/>
    <w:uiPriority w:val="0"/>
    <w:pPr>
      <w:ind w:left="420"/>
    </w:pPr>
    <w:rPr>
      <w:rFonts w:ascii="仿宋_GB2312" w:eastAsia="仿宋_GB2312" w:cs="仿宋_GB2312"/>
      <w:sz w:val="32"/>
      <w:szCs w:val="32"/>
    </w:rPr>
  </w:style>
  <w:style w:type="paragraph" w:styleId="4">
    <w:name w:val="Body Text First Indent"/>
    <w:basedOn w:val="5"/>
    <w:qFormat/>
    <w:uiPriority w:val="0"/>
    <w:pPr>
      <w:ind w:firstLine="420" w:firstLineChars="100"/>
    </w:pPr>
  </w:style>
  <w:style w:type="paragraph" w:styleId="5">
    <w:name w:val="Body Text"/>
    <w:basedOn w:val="1"/>
    <w:next w:val="4"/>
    <w:qFormat/>
    <w:uiPriority w:val="0"/>
    <w:pPr>
      <w:jc w:val="center"/>
    </w:pPr>
    <w:rPr>
      <w:rFonts w:ascii="Calibri" w:hAnsi="Calibri" w:eastAsia="宋体" w:cs="Times New Roman"/>
      <w:sz w:val="32"/>
    </w:rPr>
  </w:style>
  <w:style w:type="paragraph" w:styleId="8">
    <w:name w:val="Balloon Text"/>
    <w:basedOn w:val="1"/>
    <w:link w:val="19"/>
    <w:qFormat/>
    <w:uiPriority w:val="0"/>
    <w:rPr>
      <w:sz w:val="18"/>
      <w:szCs w:val="18"/>
    </w:rPr>
  </w:style>
  <w:style w:type="paragraph" w:styleId="9">
    <w:name w:val="footer"/>
    <w:basedOn w:val="1"/>
    <w:link w:val="18"/>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Title"/>
    <w:basedOn w:val="1"/>
    <w:next w:val="1"/>
    <w:qFormat/>
    <w:uiPriority w:val="10"/>
    <w:pPr>
      <w:spacing w:before="240" w:after="60"/>
      <w:jc w:val="center"/>
      <w:outlineLvl w:val="0"/>
    </w:pPr>
    <w:rPr>
      <w:rFonts w:ascii="华文中宋" w:hAnsi="华文中宋" w:eastAsia="华文中宋" w:cstheme="majorBidi"/>
      <w:bCs/>
      <w:sz w:val="32"/>
      <w:szCs w:val="32"/>
    </w:rPr>
  </w:style>
  <w:style w:type="table" w:styleId="14">
    <w:name w:val="Table Grid"/>
    <w:basedOn w:val="1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customStyle="1" w:styleId="18">
    <w:name w:val="页脚 Char"/>
    <w:basedOn w:val="15"/>
    <w:link w:val="9"/>
    <w:qFormat/>
    <w:uiPriority w:val="99"/>
    <w:rPr>
      <w:rFonts w:asciiTheme="minorHAnsi" w:hAnsiTheme="minorHAnsi" w:eastAsiaTheme="minorEastAsia" w:cstheme="minorBidi"/>
      <w:kern w:val="2"/>
      <w:sz w:val="18"/>
      <w:szCs w:val="24"/>
    </w:rPr>
  </w:style>
  <w:style w:type="character" w:customStyle="1" w:styleId="19">
    <w:name w:val="批注框文本 Char"/>
    <w:basedOn w:val="15"/>
    <w:link w:val="8"/>
    <w:qFormat/>
    <w:uiPriority w:val="0"/>
    <w:rPr>
      <w:rFonts w:asciiTheme="minorHAnsi" w:hAnsiTheme="minorHAnsi" w:eastAsiaTheme="minorEastAsia" w:cstheme="minorBidi"/>
      <w:kern w:val="2"/>
      <w:sz w:val="18"/>
      <w:szCs w:val="18"/>
    </w:rPr>
  </w:style>
  <w:style w:type="character" w:customStyle="1" w:styleId="20">
    <w:name w:val="标题 2 Char"/>
    <w:basedOn w:val="15"/>
    <w:link w:val="7"/>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552</Words>
  <Characters>3150</Characters>
  <Lines>26</Lines>
  <Paragraphs>7</Paragraphs>
  <TotalTime>8</TotalTime>
  <ScaleCrop>false</ScaleCrop>
  <LinksUpToDate>false</LinksUpToDate>
  <CharactersWithSpaces>3695</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2024-12-30T17:07:00Z</dcterms:created>
  <dc:creator>Administrator</dc:creator>
  <cp:lastModifiedBy>qiling</cp:lastModifiedBy>
  <cp:lastPrinted>2024-12-30T17:15:00Z</cp:lastPrinted>
  <dcterms:modified xsi:type="dcterms:W3CDTF">2025-02-06T17:38:48Z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B62EC8C81DB3E4D92883A46735F40D33_43</vt:lpwstr>
  </property>
</Properties>
</file>